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3940" w:right="900" w:hanging="3068"/>
        <w:spacing w:after="0" w:line="503" w:lineRule="auto"/>
        <w:tabs>
          <w:tab w:leader="none" w:pos="12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2024</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420" w:right="880" w:hanging="2548"/>
        <w:spacing w:after="0" w:line="503" w:lineRule="auto"/>
        <w:tabs>
          <w:tab w:leader="none" w:pos="118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8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100, Louisville KY</w:t>
            </w:r>
          </w:p>
        </w:tc>
        <w:tc>
          <w:tcPr>
            <w:tcW w:w="35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9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 791-8800</w:t>
            </w:r>
          </w:p>
        </w:tc>
        <w:tc>
          <w:tcPr>
            <w:tcW w:w="14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8"/>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19"/>
                <w:szCs w:val="19"/>
                <w:color w:val="auto"/>
              </w:rPr>
            </w:pP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7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CREX</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w:t>
            </w:r>
          </w:p>
        </w:tc>
        <w:tc>
          <w:tcPr>
            <w:tcW w:w="22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spacing w:after="0"/>
              <w:rPr>
                <w:sz w:val="18"/>
                <w:szCs w:val="18"/>
                <w:color w:val="auto"/>
              </w:rPr>
            </w:pP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14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filer</w:t>
            </w:r>
          </w:p>
        </w:tc>
        <w:tc>
          <w:tcPr>
            <w:tcW w:w="2280" w:type="dxa"/>
            <w:vAlign w:val="bottom"/>
            <w:vMerge w:val="continue"/>
          </w:tcPr>
          <w:p>
            <w:pPr>
              <w:spacing w:after="0"/>
              <w:rPr>
                <w:sz w:val="15"/>
                <w:szCs w:val="15"/>
                <w:color w:val="auto"/>
              </w:rPr>
            </w:pPr>
          </w:p>
        </w:tc>
        <w:tc>
          <w:tcPr>
            <w:tcW w:w="402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9, 2024, the registrant had 10,446,659 shares of common stock outstanding.</w:t>
      </w:r>
    </w:p>
    <w:p>
      <w:pPr>
        <w:sectPr>
          <w:pgSz w:w="11900" w:h="16838" w:orient="portrait"/>
          <w:cols w:equalWidth="0" w:num="1">
            <w:col w:w="11240"/>
          </w:cols>
          <w:pgMar w:left="320" w:top="1116" w:right="339" w:bottom="177"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Acquisition Term Loan, net of $613 and $0 discount, respectively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Consolidation Term Loan, net of $655 and $747 discount, respectively</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portion of contingent consideration, at fair value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related party Acquisition Term Loan, net of $0 and $787 discount, respectively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related party Consolidation Term Loan, net of $0 and $94 discount, respectively</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contingent consideration, at fair value</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10,447 and 10,409 shares issued and</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(53,346)</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12,285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loss per common share</w:t>
            </w: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(0.14)</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940" w:type="dxa"/>
            <w:vAlign w:val="bottom"/>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shd w:val="clear" w:color="auto" w:fill="CCEEFF"/>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(0.14)</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10,421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7,351</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10,421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7,351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Consolidation Term Loan</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Secured Promissory Note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Term Loan (2022)</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ind w:right="1900"/>
        <w:spacing w:after="0" w:line="258" w:lineRule="auto"/>
        <w:rPr>
          <w:sz w:val="20"/>
          <w:szCs w:val="20"/>
          <w:color w:val="auto"/>
        </w:rPr>
      </w:pPr>
      <w:r>
        <w:rPr>
          <w:rFonts w:ascii="Times New Roman" w:cs="Times New Roman" w:eastAsia="Times New Roman" w:hAnsi="Times New Roman"/>
          <w:sz w:val="18"/>
          <w:szCs w:val="18"/>
          <w:color w:val="auto"/>
        </w:rPr>
        <w:t>Balance as of December 31, 2023 Stock-based compensation</w:t>
      </w:r>
    </w:p>
    <w:p>
      <w:pPr>
        <w:spacing w:after="0" w:line="250" w:lineRule="auto"/>
        <w:rPr>
          <w:sz w:val="20"/>
          <w:szCs w:val="20"/>
          <w:color w:val="auto"/>
        </w:rPr>
      </w:pPr>
      <w:r>
        <w:rPr>
          <w:rFonts w:ascii="Times New Roman" w:cs="Times New Roman" w:eastAsia="Times New Roman" w:hAnsi="Times New Roman"/>
          <w:sz w:val="18"/>
          <w:szCs w:val="18"/>
          <w:color w:val="auto"/>
        </w:rPr>
        <w:t>Shares issued to employees pursuant to the Retention Bonus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6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10,409,027</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37,632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-856615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-582295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340" w:space="280"/>
            <w:col w:w="662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2023</w:t>
            </w:r>
          </w:p>
        </w:tc>
        <w:tc>
          <w:tcPr>
            <w:tcW w:w="120" w:type="dxa"/>
            <w:vAlign w:val="bottom"/>
            <w:vMerge w:val="restart"/>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4"/>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7,266,382</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51,616</w:t>
            </w: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vendors as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13,934</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employees pursuant to the Retention Bonus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62,475</w:t>
            </w: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7,394,407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25,082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Condensed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Allure Global Solutions, Inc., a Georgia corporation (“Allure”), Creative Realities Canada, Inc., a Canadian corporation (“CRI Canada”), and Reflect Systems, Inc., a Delaware corporation ("Reflect").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23, 2023, the Company filed Articles of Amendment with the Secretary of State of the State of Minnesota to effectuate, effective March 27, 2023, a 1-for-3 reverse stock split of the shares of the Company's common stock, par value $0.01 per share. All share and per share information (including share and per share information related to share-based compensation) has been retroactively adjusted to reflect the reverse stock split within this Quarterly Report on Form 10-Q (“Report”).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reverse stock split, effective 12:01 am on March 27, 2023, every three shares of common stock then-issued and outstanding automatically combined into one share of common stock, with no change in par value per share. No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as of the same time as the reverse stock split, the number of shares of common stock available for issuance under the Company's equity compensation plans were reduced in proportion to the reverse stock split. The reverse stock split also resulted in reductions in the number of shares of common stock issuable upon exercising or vesting of equity awards in proportion to the reverse stock split and proportionate increases in exercise price or share-based performance criteria, if any, applicable to such awards. Similarly, the number of shares of common stock issuable upon exercise of outstanding warrants were reduced in proportion to the reverse stock split, and the exercise prices of outstanding warrants were proportionately increased.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ind w:left="160"/>
        <w:spacing w:after="0"/>
        <w:rPr>
          <w:sz w:val="20"/>
          <w:szCs w:val="20"/>
          <w:color w:val="auto"/>
        </w:rPr>
      </w:pPr>
      <w:r>
        <w:rPr>
          <w:rFonts w:ascii="Times New Roman" w:cs="Times New Roman" w:eastAsia="Times New Roman" w:hAnsi="Times New Roman"/>
          <w:sz w:val="18"/>
          <w:szCs w:val="18"/>
          <w:i w:val="1"/>
          <w:iCs w:val="1"/>
          <w:color w:val="auto"/>
        </w:rPr>
        <w:t>Liquidity and Financial Condition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2014-15, </w:t>
      </w:r>
      <w:r>
        <w:rPr>
          <w:rFonts w:ascii="Times New Roman" w:cs="Times New Roman" w:eastAsia="Times New Roman" w:hAnsi="Times New Roman"/>
          <w:sz w:val="18"/>
          <w:szCs w:val="18"/>
          <w:i w:val="1"/>
          <w:iCs w:val="1"/>
          <w:color w:val="auto"/>
        </w:rPr>
        <w:t>Disclosure of Uncertainties about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 (Subtopic 205-40)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has evaluated whether there are certain conditions and events, considered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that raise substantial doubt about the Company’s ability to continue as a going concern within one year after the date that the Condensed Consolidated Financial Statements are issued.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March 31, 2024, the Company has an accumulated deficit of $53,455, negative working capital of $22,418, including current debt obligations of $12,770, and cash of $2,899. For the three months ended March 31, 2024, the Company incurred an operating loss of $76 and generated positive net cash flows from operations of $1,938. Pursuant to the Second Amended and Restated Credit and Security Agreement (the "Credit Agreement") between the Company and Slipstream Communications, LLC ("Slipstream"), the Company is required and began to make monthly repayments of principal on the Consolidation Term Loan on September 1, 2023. The monthly principal payment is approximately $370 and will continue on the first day of each month thereafter until the Maturity Date on February 17, 2025, with total principal repayments of $3,593 during the twelve months subsequent to the reporting date of these Condensed Consolidated Financial Statements. In addition, the Company is required to repay the principal balance on the Acquisition Term Loan of $10,000 at maturity and resolve the contingent consideration, currently estimated for accounting purposes at $10,603, each of which mature on February 17, 2025. The Company does not have sufficient cash on hand or liquidity to make these principal repayments. The conditions and events raise substantial doubt about the Company's ability to continue as a going concern under the technical framework within ASU 205-40.</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these conditions, the Company plans to evaluate its available options for refinancing, via recapitalization, debt financing or equity financing, its upcoming obligations associated with the Acquisition Term Loan, Consolidation Term Loan, and contingent consideration. However, these plans have not been finalized, are subject to market conditions, and are not within the Company’s control, and therefore cannot be deemed probable. As a result, the Company has concluded that management's plans do not alleviate substantial doubt about the Company's ability to continue as a going concern.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Condensed Consolidated Financial Statements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Article 10 of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2023, included in the Company’s Annual Report on Form 10-K filed with the Securities and Exchange Commission on March 21, 2024, as amended on April 26, 2024.</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Creative Realities, Inc. and our wholly owned subsidiaries Allure, CRI Canada, and Reflect. All intercompany balances and transactions have been eliminated in consolidation,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2. Recently Issued Accounting Pronouncements Not Yet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Revenue Recognition</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involves multiple performance obligations, the obligations are analyzed to determine the separate units of accounting, whether the obligations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 with material extended payment terms as payment is typically due at or shortly after the time of the sale, typically ranging between thirty and ninety days. In those instances where the Company has material extended payment terms (most commonly in multi-year arrangements where the Company acts as an agent to a transaction on behalf of its customers), the Company evaluates and applies constraints to arrive at the revenue recognized in the period in which a contract is entered.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assets or unbilled receivables related to revenue recognized for services completed but not yet invoiced to the customers. A contract liability is recognized as deferred revenue when the Company invoices customers in advance of performing the related services under the terms of a contract. Deferred revenue is recognized as revenue when the Company has satisfied the related performance obligation.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4. Allowance for Credit Losses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from December 31, 2023 to March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00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year</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Amounts accrued</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Inventories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Impairment of Long-Lived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losses are recorded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value of an asset may not be recoverable.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Basic and Diluted Loss per Common Share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and diluted 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reserved for outstanding stock options, including stock options with performance restricted vesting, and warrants totaling approximately 6,222,800 and 7,339,582 at March 31, 2024 and 2023, respectively, were excluded from the computation of loss per share as the strike price on the options and warrants were higher than the Company's market price and therefore anti-dilutive.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8. Income Taxes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March 31, 2024 and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Goodwill and Intangible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follow the provisions of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Pursuant to ASC 350, goodwill acquired in a purchase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Definite-lived intangible assets are amortized straight-line in accordance with their identified useful lives.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Use of Estimates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contingent purchase consideration valuation, allowance for credit losses,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11. Contingent Consideration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12, 2021, the Company, Reflect, and other parties, entered into an Agreement and Plan of Merger (as amended on February 8, 2022 and February 11, 2023, the “Merger Agreement") pursuant to which a direct, wholly owned subsidiary of Creative Realities, CRI Acquisition Corporation, would merge with and into Reflect, with Reflect surviving the merger and becoming our wholly owned subsidiary, which transaction is referred to herein as the “Merger.” On February 17, 2022, the parties consummated the Merger. The Merger Agreement requires the Company to pay to the former Reflect stockholders additional contingent supplemental cash payments (the “Guaranteed Consideration”), if any, payable on or after February 17, 2025 (subject to the Extension Option described below, the “Guarantee Date”), in an amount by which the value of the CREX shares on such anniversary is less than $6.40 per share (such applicable amount, the “Guaranteed Price”), multiplied by the amount of CREX shares held by the Reflect stockholders on the Guarantee Date (subject to the Extension Option described below). The Company has recorded contingent liabilities related to the Guaranteed Consideration to reflect the Company's 1-for-3 reverse stock split that occurred on March 23, 2023. Accordingly, the amount of the Company's potential liability related to the contingent consideration is recorded at $19.20 per share.</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exercise an extension option (the “Extension Option”) to extend the Guarantee Date by six (6) months, from February 17, 2025 to August 17, 2025, if (i) the Extension Threshold Price is greater than or equal to 70% of the Guaranteed Price described above, and (ii) the Company provides written notice of its election to exercise the Extension Option no later than February 7, 2025. The “Extension Threshold Price” means the average closing price per share of Creative Realities common stock as reported on the Nasdaq Capital Market (or NYSE) in the fifteen (15) consecutive trading day period ending February 2, 2025. The Merger Agreement provides that if the Extension Threshold Price is less than 80% of the Guaranteed Price, then the Guaranteed Price will be increased by $1.00 per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FAIR VALUE MEASUREMENT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calculation of the fair value of the contingent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ASC 606 for revenue recognition. The following table disaggregates the Company’s revenue by major source for the three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4,322</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4,072</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5,622</w:t>
            </w:r>
          </w:p>
        </w:tc>
      </w:tr>
      <w:tr>
        <w:trPr>
          <w:trHeight w:val="210"/>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9,944</w:t>
            </w:r>
          </w:p>
        </w:tc>
      </w:tr>
      <w:tr>
        <w:trPr>
          <w:trHeight w:val="413"/>
        </w:trPr>
        <w:tc>
          <w:tcPr>
            <w:tcW w:w="7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Managed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license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sells support services that include access to technical support personnel for software and hardware troubleshooting. The Company offers a hosting service through our network operations center, or NOC, allowing the ability to monitor and support its customers’ networks 7 days a week, 24 hours a day. These contracts are generally 12-36 months in length and typically have autorenewal terms. Revenue is recognized over the term of the agreement in proportion to the costs incurred in fulfilling performance obligations under the contract.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fees are based on the level of service provided to end customers, which can range from monitoring the health of a customer’s network to supporting a sophisticated web-portal to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Installation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installation services associated with system hardware sales to customers and recognizes revenue upon completion of the installations. Installation services also include engineering and configuration services required to be performed to design and deploy a digital signage system that subsequently becomes an installation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in certain instances, not distinct as the customer contract contemplates an installed solution, inclusive of system hardware. In those instances, the arrangement is accounted for as a single performance obligation. Our customers may control the work-in-process and can make changes to the design specifications over the contract term. In these circumstances, revenues are recognized over time as the installation services are completed based on the relative portion of labor hours completed as a percentage of the budgeted hours for the installation. Typically, in large scale deployments that include installation services, the contract terms segregate performance obligations related to hardware sales and installation services by providing for different legal transfer of title and risk of loss. In those circumstances, installation services are deemed to be a separate performance obligation. In each instance, installation services are recognized at the time of completion. Installation services revenues are classified as “Installation Services” within our disaggregated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design and custom development sales represent fixed fee orders for work on a time and materials basis and are recognized as revenue when the application, feature, or custom software code has been received and delivery has occurred to the customer. Revenue is recognized generally upon customer acceptance (point-in-time) of the software product and verification that it meets the required specifications. Software is delivered to customers electronically.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Media revenues are derived from selling (i) promotion and sponsorship packages to monetize customer infrastructure assets, including mobile takeover or physical presence, or (ii) digital advertising inventory to advertisers on digital displays or other outdoor structures, owned or controlled by our customers, each within physical venues. We generally do not own the physical structures on which digital advertising we sell is displayed but instead sell advertising or sponsorship opportunities on behalf of our media network owner customers to brands and advertisers. The Company has concluded that it acts as an agent and reports media revenues on a net basis, with the Company recording its commission, which typically is between thirty percent (30%) and forty percent (40%) of the total media sales contract, as revenue in the consolidated financial statements.</w:t>
      </w:r>
    </w:p>
    <w:p>
      <w:pPr>
        <w:spacing w:after="0" w:line="187" w:lineRule="exact"/>
        <w:rPr>
          <w:sz w:val="20"/>
          <w:szCs w:val="20"/>
          <w:color w:val="auto"/>
        </w:rPr>
      </w:pPr>
    </w:p>
    <w:p>
      <w:pPr>
        <w:ind w:left="160" w:right="60" w:firstLine="648"/>
        <w:spacing w:after="0" w:line="258" w:lineRule="auto"/>
        <w:rPr>
          <w:sz w:val="20"/>
          <w:szCs w:val="20"/>
          <w:color w:val="auto"/>
        </w:rPr>
      </w:pPr>
      <w:r>
        <w:rPr>
          <w:rFonts w:ascii="Times New Roman" w:cs="Times New Roman" w:eastAsia="Times New Roman" w:hAnsi="Times New Roman"/>
          <w:sz w:val="18"/>
          <w:szCs w:val="18"/>
          <w:color w:val="auto"/>
        </w:rPr>
        <w:t>The media sales contracts we facilitate on behalf of our customers range from a single day to eight years. The Company facilitates billing advertisers on behalf of our customers and does not remit the net cash to our customer until the advertiser has paid the Company the fees owed for such advertising. Media revenue services are recognized when the Company has completed its performance obligations under the contract with our customers, which typically has concluded upon facilitating execution of contracts between our customer and a brand/advertiser. The Company applies time-based constraints in accordance with ASC 606 to evaluate the earned portion of the contract to record at execution.</w:t>
      </w:r>
    </w:p>
    <w:p>
      <w:pPr>
        <w:spacing w:after="0" w:line="183" w:lineRule="exact"/>
        <w:rPr>
          <w:sz w:val="20"/>
          <w:szCs w:val="20"/>
          <w:color w:val="auto"/>
        </w:rPr>
      </w:pPr>
    </w:p>
    <w:p>
      <w:pPr>
        <w:ind w:left="160" w:right="80" w:firstLine="648"/>
        <w:spacing w:after="0" w:line="282" w:lineRule="auto"/>
        <w:rPr>
          <w:sz w:val="20"/>
          <w:szCs w:val="20"/>
          <w:color w:val="auto"/>
        </w:rPr>
      </w:pPr>
      <w:r>
        <w:rPr>
          <w:rFonts w:ascii="Times New Roman" w:cs="Times New Roman" w:eastAsia="Times New Roman" w:hAnsi="Times New Roman"/>
          <w:sz w:val="18"/>
          <w:szCs w:val="18"/>
          <w:color w:val="auto"/>
        </w:rPr>
        <w:t>For revenues generated through the use of a subcontracted advertising agency, commissions are calculated based on a stated percentage of gross advertising revenue and reported in the Condensed Consolidated Statements of Operations within Sales and Marketing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SUPPLEMENTAL CASH FLOW STATEMENT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7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activities</w:t>
            </w:r>
          </w:p>
        </w:tc>
        <w:tc>
          <w:tcPr>
            <w:tcW w:w="26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gridSpan w:val="3"/>
            <w:vMerge w:val="continue"/>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36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1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6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Supplemental disclosure information for cash flow</w:t>
            </w:r>
          </w:p>
        </w:tc>
        <w:tc>
          <w:tcPr>
            <w:tcW w:w="15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6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11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36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675"/>
        </w:trPr>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INTANGIBLE ASSETS, INCLUDING GOODWILL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6,900</w:t>
            </w:r>
          </w:p>
        </w:tc>
        <w:tc>
          <w:tcPr>
            <w:tcW w:w="4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5,615</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5,284</w:t>
            </w: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internally developed software platform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6,462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6,080</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13,910</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13,910</w:t>
            </w: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Non-compete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34,177</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33,464</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10,192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9,402</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23,985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24,062</w:t>
            </w: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2024 and 2023, amortization of intangible assets charged to operations was $790 and $754, respectively.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Goodwill is subject to an impairment review at a reporting unit level, on an annual basis at September 30th each fiscal year, when an event occurs, or circumstances change that would indicate potential impairment. The Company has only one reporting unit, and therefore the entire goodwill is allocated to that reporting unit.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assessed the carrying value of goodwill at the reporting unit level based on an estimate of the fair value of its reporting unit. Fair value of the reporting unit was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Specifically, the Company gave significant consideration to actual historic financial results, including revenue growth rates in the current and preceding three years, further informed by known backlog and customer acquisitions. Based on the Company’s assessment, we determined that the fair value of our reporting unit exceeded its carrying value, and accordingly, the goodwill associated with the reporting unit was not considered to be impaired at September 30, 2023. No indicators of impairment were identified at March 31, 2024.</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that any changes in our projected 2024 results could potentially have a material impact on our assessment of goodwill impairment. The Company will continue to monitor the actual performance of its operations against expectations and assess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LOANS PAYABLE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debt with detachable warrants, as applicable, are shown in the table below. Further discussion of the debt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As of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22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Information</w:t>
            </w:r>
          </w:p>
        </w:tc>
        <w:tc>
          <w:tcPr>
            <w:tcW w:w="0" w:type="dxa"/>
            <w:vAlign w:val="bottom"/>
          </w:tcPr>
          <w:p>
            <w:pPr>
              <w:spacing w:after="0"/>
              <w:rPr>
                <w:sz w:val="1"/>
                <w:szCs w:val="1"/>
                <w:color w:val="auto"/>
              </w:rPr>
            </w:pPr>
          </w:p>
        </w:tc>
      </w:tr>
      <w:tr>
        <w:trPr>
          <w:trHeight w:val="191"/>
        </w:trPr>
        <w:tc>
          <w:tcPr>
            <w:tcW w:w="12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w:t>
            </w:r>
          </w:p>
        </w:tc>
        <w:tc>
          <w:tcPr>
            <w:tcW w:w="220" w:type="dxa"/>
            <w:vAlign w:val="bottom"/>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27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2/17/2022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2/15/2025</w:t>
            </w:r>
          </w:p>
        </w:tc>
        <w:tc>
          <w:tcPr>
            <w:tcW w:w="1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833,334</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per annum through maturity</w:t>
            </w:r>
          </w:p>
        </w:tc>
        <w:tc>
          <w:tcPr>
            <w:tcW w:w="0" w:type="dxa"/>
            <w:vAlign w:val="bottom"/>
          </w:tcPr>
          <w:p>
            <w:pPr>
              <w:spacing w:after="0"/>
              <w:rPr>
                <w:sz w:val="1"/>
                <w:szCs w:val="1"/>
                <w:color w:val="auto"/>
              </w:rPr>
            </w:pPr>
          </w:p>
        </w:tc>
      </w:tr>
      <w:tr>
        <w:trPr>
          <w:trHeight w:val="198"/>
        </w:trPr>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Consolidation</w:t>
            </w:r>
          </w:p>
        </w:tc>
        <w:tc>
          <w:tcPr>
            <w:tcW w:w="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4,038</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2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2/17/2022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2/15/2025</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898,165</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per annum through maturity</w:t>
            </w:r>
          </w:p>
        </w:tc>
        <w:tc>
          <w:tcPr>
            <w:tcW w:w="0" w:type="dxa"/>
            <w:vAlign w:val="bottom"/>
          </w:tcPr>
          <w:p>
            <w:pPr>
              <w:spacing w:after="0"/>
              <w:rPr>
                <w:sz w:val="1"/>
                <w:szCs w:val="1"/>
                <w:color w:val="auto"/>
              </w:rPr>
            </w:pPr>
          </w:p>
        </w:tc>
      </w:tr>
      <w:tr>
        <w:trPr>
          <w:trHeight w:val="256"/>
        </w:trPr>
        <w:tc>
          <w:tcPr>
            <w:tcW w:w="1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5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debt, gross</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14,038</w:t>
            </w:r>
          </w:p>
        </w:tc>
        <w:tc>
          <w:tcPr>
            <w:tcW w:w="1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Debt discount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(1,268)</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debt, net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current maturities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(12,770)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Long term debt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2023</w:t>
            </w: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Information</w:t>
            </w:r>
          </w:p>
        </w:tc>
        <w:tc>
          <w:tcPr>
            <w:tcW w:w="0" w:type="dxa"/>
            <w:vAlign w:val="bottom"/>
          </w:tcPr>
          <w:p>
            <w:pPr>
              <w:spacing w:after="0"/>
              <w:rPr>
                <w:sz w:val="1"/>
                <w:szCs w:val="1"/>
                <w:color w:val="auto"/>
              </w:rPr>
            </w:pPr>
          </w:p>
        </w:tc>
      </w:tr>
      <w:tr>
        <w:trPr>
          <w:trHeight w:val="191"/>
        </w:trPr>
        <w:tc>
          <w:tcPr>
            <w:tcW w:w="12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w:t>
            </w:r>
          </w:p>
        </w:tc>
        <w:tc>
          <w:tcPr>
            <w:tcW w:w="220" w:type="dxa"/>
            <w:vAlign w:val="bottom"/>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27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2/17/2022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2/15/2025</w:t>
            </w:r>
          </w:p>
        </w:tc>
        <w:tc>
          <w:tcPr>
            <w:tcW w:w="1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833,334</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per annum through maturity</w:t>
            </w:r>
          </w:p>
        </w:tc>
        <w:tc>
          <w:tcPr>
            <w:tcW w:w="0" w:type="dxa"/>
            <w:vAlign w:val="bottom"/>
          </w:tcPr>
          <w:p>
            <w:pPr>
              <w:spacing w:after="0"/>
              <w:rPr>
                <w:sz w:val="1"/>
                <w:szCs w:val="1"/>
                <w:color w:val="auto"/>
              </w:rPr>
            </w:pPr>
          </w:p>
        </w:tc>
      </w:tr>
      <w:tr>
        <w:trPr>
          <w:trHeight w:val="198"/>
        </w:trPr>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Consolidation</w:t>
            </w:r>
          </w:p>
        </w:tc>
        <w:tc>
          <w:tcPr>
            <w:tcW w:w="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5,147</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Loan</w:t>
            </w:r>
          </w:p>
        </w:tc>
        <w:tc>
          <w:tcPr>
            <w:tcW w:w="27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2/17/2022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2/15/2025</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898,165</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per annum through maturity</w:t>
            </w:r>
          </w:p>
        </w:tc>
        <w:tc>
          <w:tcPr>
            <w:tcW w:w="0" w:type="dxa"/>
            <w:vAlign w:val="bottom"/>
          </w:tcPr>
          <w:p>
            <w:pPr>
              <w:spacing w:after="0"/>
              <w:rPr>
                <w:sz w:val="1"/>
                <w:szCs w:val="1"/>
                <w:color w:val="auto"/>
              </w:rPr>
            </w:pPr>
          </w:p>
        </w:tc>
      </w:tr>
      <w:tr>
        <w:trPr>
          <w:trHeight w:val="256"/>
        </w:trPr>
        <w:tc>
          <w:tcPr>
            <w:tcW w:w="1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5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debt, gross</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15,147</w:t>
            </w:r>
          </w:p>
        </w:tc>
        <w:tc>
          <w:tcPr>
            <w:tcW w:w="1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Debt discount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(1,628)</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debt, net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13,519</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current maturities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Long term debt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9,829</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largest shareholder and investor, Slipstream, a related party is the holder of all of our outstanding debt instruments, including two term loans, and has beneficial ownership of approximately 29% of our common stock (on an as-converted, fully diluted basis including conversion of outstanding warrants, and assuming no other convertible securities, options and warrants are converted or exercised by other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Loan and Security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February 17, 2022, the Company and its subsidiaries (collectively, the “Borrowers”) refinanced their debt facilities with Slipstream, pursuant to the Credit Agreement. The Borrowers include Reflect, which became a wholly owned subsidiary of the Company as a result of the closing of the Merger. The debt facilities continue to be fully secured by all assets of the Borrowers.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also provides that the Company’s outstanding loans from Slipstream at December 31, 2021,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898,165 warrants). On the first day of each month, commencing March 1, 2022 through February 1, 2025, the Borrowers will make interest payments on the Consolidation Term Loan.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refinancing the existing debt with Slipstream, the Company issued to Slipstream a $10,000, 36-month senior secured term loan (the “Acquisition Term Loan”) resulting in $10,000 in gross proceeds, or $9,950 in net proceeds. The Acquisition Term Loan matures on February 17, 2025 (the “Maturity Date”) and has an interest rate of 8.0%, with 50.0% warrant coverage (or 833,334 warrants). On the first day of each month, commencing March 1, 2022 through February 1, 2025, the Borrowers will make interest-only payments on the Acquisition Term Loan. No principal payments on the Acquisition Term Loan are payable until the Maturity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COMMITMENTS AND CONTINGENCIES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the business, and there were no other such proceedings pending during the period covered by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we reported tax liability of $9 and $43, respectively. At March 31, 2024, the net deferred tax liabilities were $77 after valuation allowance, compared to net tax liabilities of $73 at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outstanding warrants accounted for as equity instruments in the Company's Condensed Consolidated Financial Statements totaling 4,587,002 at March 31, 2024 and December 31, 2023 with a weighted average exercise price of $4.90. The weighted average remaining contractual life of the outstanding warrants was 3.86 and 4.11 at March 31, 2024 and December 31,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gridSpan w:val="3"/>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A summary of outstanding options is included below:</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Time Vesting Options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Range of Exercise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Prices between</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00" w:type="dxa"/>
            <w:vAlign w:val="bottom"/>
            <w:gridSpan w:val="2"/>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$4.01 - $8.00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566,673</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566,673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3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95,791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662,464</w:t>
            </w:r>
          </w:p>
        </w:tc>
        <w:tc>
          <w:tcPr>
            <w:tcW w:w="80" w:type="dxa"/>
            <w:vAlign w:val="bottom"/>
            <w:tcBorders>
              <w:lef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662,464</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3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Performance Vesting Options</w:t>
            </w:r>
          </w:p>
        </w:tc>
        <w:tc>
          <w:tcPr>
            <w:tcW w:w="3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Market Vesting Options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Market Vesting Options</w:t>
            </w:r>
          </w:p>
        </w:tc>
        <w:tc>
          <w:tcPr>
            <w:tcW w:w="26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gridSpan w:val="2"/>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gridSpan w:val="2"/>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662,798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662,464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5.84 years as of March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to employees for the three months ended March 31, 2024 and 2023 of $3 and $225, respectively, was included in general and administrative expense in the Condensed Consolidated Financial Statements. At March 31, 2024, there was $12 of total unrecognized compensation expense related to unvested share-based awards with market vesting criteria for employees. Compensation expense related to market vesting options will be recognized over the next 11 months and will be adjusted for any future forfeitures as they occur.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Awards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recognized for the issuance of stock options to our non-employee Board of Directors, for the three months ended March 31, 2024 and 2023 was $0 and $43 and included in general and administrative expense in the Condensed Consolidated Financial Statements. At March 31, 2024, there was no unrecognized compensation expense related to share-based awards for non-employee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SIGNIFICANT CUSTOMERS/VENDORS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had four customers that accounted for 19%, 12%, 12%, and 11% of accounts receivable at March 31, 2024 and three customers that accounted for 28%, 25%, and 11% of accounts receivable at December 31, 2023.</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had four customers that accounted for 13%, 12%, 11%, and 10% of revenue for the three months ended March 31, 2024, compared to two customers that accounted for 31% and 13% of revenue for the three months ended March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Vendors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had two vendors that accounted for 26% and 13% of outstanding accounts payable at March 31, 2024, and one vendor that accounted for 38% of outstanding accounts payable at December 31,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2023, as filed with the Securities and Exchange Commission on March 21, 2024.</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21" w:lineRule="exact"/>
        <w:rPr>
          <w:sz w:val="20"/>
          <w:szCs w:val="20"/>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 management platform </w:t>
      </w:r>
      <w:r>
        <w:rPr>
          <w:rFonts w:ascii="Times New Roman" w:cs="Times New Roman" w:eastAsia="Times New Roman" w:hAnsi="Times New Roman"/>
          <w:sz w:val="18"/>
          <w:szCs w:val="18"/>
          <w:color w:val="auto"/>
        </w:rPr>
        <w:t>– Our customers are increasingly interested in monetizing their digital signage networks through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However, efficiently scheduling advertising content into digital signage playlists to meet campaign objectives can be a challenging and labor-intensive process for our customers. AdLogic, our home-grown, content management-agnostic platform, automates this process, allowing network owners to capture more revenue with less expense.</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sales </w:t>
      </w:r>
      <w:r>
        <w:rPr>
          <w:rFonts w:ascii="Times New Roman" w:cs="Times New Roman" w:eastAsia="Times New Roman" w:hAnsi="Times New Roman"/>
          <w:sz w:val="18"/>
          <w:szCs w:val="18"/>
          <w:color w:val="auto"/>
        </w:rPr>
        <w:t>– Few digital signage solution providers offer their customers media sales as a service. We have in-house media sales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elevate conversations with our customers interested in better understanding network monetization. We believe this meaningful differentiation in the sales process provides us an additional revenue stream compared to our competitors.</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QSRs,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6" w:lineRule="exact"/>
        <w:rPr>
          <w:rFonts w:ascii="Times New Roman" w:cs="Times New Roman" w:eastAsia="Times New Roman" w:hAnsi="Times New Roman"/>
          <w:sz w:val="18"/>
          <w:szCs w:val="18"/>
          <w:color w:val="auto"/>
        </w:rPr>
      </w:pPr>
    </w:p>
    <w:p>
      <w:pPr>
        <w:ind w:left="324" w:hanging="324"/>
        <w:spacing w:after="0" w:line="28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NOC in Louisville, Kentucky. The NOC resolves many issues remotely and when field support is required, it can be dispatched quickly from the NOC, leveraging our managed labor pool to resolve customer issues quickly and effectively.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point of sale systems, our proven ability to build scalable applications and integrations is a key advantage that customers can leverage to deliver more compelling and engaging experiences for their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the flexibility they need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w:t>
      </w:r>
    </w:p>
    <w:p>
      <w:pPr>
        <w:ind w:left="980" w:right="68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 o Media sales</w:t>
      </w: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2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and convenience store applications;</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Our Operating Expenses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operating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Company’s Condensed Consolidated Financial Statements included elsewhere in this Report. The Company’s Condensed Consolidated Financial Statements are prepared in conformity with GAAP.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share and per-share information.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9,944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1,136</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3,028</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2,898</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5,179</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196"/>
        </w:trPr>
        <w:tc>
          <w:tcPr>
            <w:tcW w:w="48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expenses (income):</w:t>
            </w: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432"/>
        </w:trPr>
        <w:tc>
          <w:tcPr>
            <w:tcW w:w="482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Sales increased $2,341, or 24%, for the three-month period ended March 31, 2024 as compared to the same period in 2023. Hardware revenues were $4,144, a decrease of $178, or 4%, for the three-month period ended March 31, 2024 as compared to the same period in 2023. While hardware revenues were effectively flat year over year, the composition in each period was substantially different, with the current period comprised of lower customer concentration (including no customer greater than 20% of hardware revenues) and an increasing number of customers making consistent, repeated purchases of similar solutions on a regular cadence. The prior period included a single customer that represented 62% of hardware revenues. Services and other revenues were $8,141, an increase of $2,519 or 45%, driven by increases in both installation and managed services revenues. Installation services revenue increased $1,213, or 128%, as a result of significant installation deployment activity during the period. Managed services revenue, which includes both SaaS and help desk technical subscription services were $4,774, an increase of $702, or 17%. The increase was driven by a combination of an increase in the quantity of licenses subject to software subscriptions on our platforms and an expansion in the average price per subscription license per month. The annual recurring run rate of our subscription license revenue, our highest margin service, grew 11% from $14,826 as of December 31, 2022 to $16,336 as of December 31, 2023 and has since expanded to $17,689 as of March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$675, or 13%, for the three-month period ended March 31, 2024 as compared to the same period in 2023 driven by a 17% increase in our managed service revenue, which is our highest margin, typically subscription-based revenue.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profit margin decreased to 47% from 51% driven by revenue mix during the current period as installation services, which is historically our lowest margin service, increased to 18% of total revenue as compared to 10% of total revenues in the prior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increased by $329, or 29%, for the three-month period ended March 31, 2024 as compared to the same period in 2023, driven primarily by the Company’s enhanced investments into sales and marketing activities, including incremental sales personnel and increased participation in industry trade show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generally include personnel and development tools costs associated with the continued development of the Company’s content management systems and other related application development. The Company capitalizes certain of these expenses and amortizes those costs through the Condensed Consolidated Statements of Operations on a straight-line basis over the economic useful life of the software feature or functionality. Research and development expenses increased by $142, or 39%, for the three-month period ended March 31, 2024 as compared to the same period in 2023 driven primarily by incremental headcount and a higher rate of bug and maintenance work as compared to capitalized activities during the quarter ended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effectively flat, increasing $130, or 4% during the three months ended March 31, 2024 as compared to the same period in 2023. The change is driven by an increase of $408 in personnel costs in the current period as a result of higher headcount due to scaled up operations in response to an increase in customer acquisition and associated planned deployments. This increase was partially offset by a $294 decrease in stock compensation expense in the current period as all outstanding time vested and performance awards for employees and directors were fully expensed as of December 31,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effectively flat, increasing $60, or 8%, in the three months ended March 31, 2024 compared to the same period in 2023. The Company currently expects depreciation and amortization expense to be approximately $800 per quarter for the remainder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Loans Payable</w:t>
      </w:r>
      <w:r>
        <w:rPr>
          <w:rFonts w:ascii="Times New Roman" w:cs="Times New Roman" w:eastAsia="Times New Roman" w:hAnsi="Times New Roman"/>
          <w:sz w:val="18"/>
          <w:szCs w:val="18"/>
          <w:color w:val="auto"/>
        </w:rPr>
        <w:t xml:space="preserve"> to the Condensed Consolidated Financial Statements for a discussion of the Company’s debt and related interest expense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contingent consideration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contingent consideration arrangement related to the Merger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 The change in the period represents the mark-to-market adjustment as of the balance sheet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Unaudited Quarterly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unaudited financial information derived from the Company’s quarterly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1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9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1,419</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&amp; equipment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8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r>
      <w:tr>
        <w:trPr>
          <w:trHeight w:val="413"/>
        </w:trPr>
        <w:tc>
          <w:tcPr>
            <w:tcW w:w="4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Nature of Organization and Operations</w:t>
      </w:r>
      <w:r>
        <w:rPr>
          <w:rFonts w:ascii="Times New Roman" w:cs="Times New Roman" w:eastAsia="Times New Roman" w:hAnsi="Times New Roman"/>
          <w:sz w:val="18"/>
          <w:szCs w:val="18"/>
          <w:color w:val="auto"/>
        </w:rPr>
        <w:t xml:space="preserve"> to the accompanying Condensed Consolidated Financial Statements for a discussion of liquidity and financial resources.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net cash provided by operating activities during the three months ended March 31, 2024, was $1,938, compared to $3,868 for the same period in 2023. During the three-month period ending March 31, 2024, the Company generated a net loss of $100, which included depreciation and amortization expense (inclusive of amortization of debt discount) of $1,199 and a gain on the change in fair value of contingent consideration of $605. The Company generated a $1,441 increase in cash provided by changes in operating assets and liabilities. The decrease in accounts receivable of $2,952 was effectively offset by a decrease in accounts payable of $2,976.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2024, was $830, compared to $1,034 during the same period in 2023. We currently do not have any material commitments for capital expenditures as of March 31, 2024; however, we anticipate a reduction in capital expenditures entering 2024 as we complete the modernization and internationalization of our automotive platform in an effort to capture incremental SaaS-based revenue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2024, was $1,119, compared $562 for the same period in 2023. Net cash used in financing activities during the three-month period ended March 31, 2024, is primarily the result of repayments made on the Consolidation Term Loan of $1,109.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2024, we did not engage in any off-balance sheet arrangements set forth in Item 303(a)(4) of Regulation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March 31, 2024, and were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21, 2024, as amended on April 26, 2024, and subsequent filings made with the SEC. Such risks and uncertainties have the potential to affect our business, financial condition, results of operations, cash flow, strategies or prospects in a material and adverse manner. In addition, below is an updated risk factor for which you should be aware: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compete with other companies that have more resources, which puts us at a competitive disadvantage.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interactive marketing technologies is highly competitive and we expect competition to increase in the future. Many competitors have significantly greater financial, technical, and marketing resources than us. These competitors may be able to respond more rapidly than we can to new or emerging technologies or changes in customer preferences or requirements. They may also devote greater resources to the development, promotion and sale of their products and services than us. There currently exist hardware manufacturers, including Samsung, that have begun including customizable display technology software in its screens that offer users the ability to create basic marketing displays. While we currently believe that our existing technologies offer a more comprehensive solution to this offering, for customers that do not require these offerings could be viewed as a competitive solution.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competitors to continue to improve the performance of their current products, services, and technologies and to introduce new products, services, and technologies as well. Successful new product and service introductions or enhancements by our competitors could reduce sales and the market acceptance of our products and services, cause intense price competition, or make our products and services obsolete. To be competitive, we must continue to invest significant resources in research and development, sales and marketing and customer support. If we do not have sufficient resources to make these investments or are unable to make the technological advances necessary to be competitive, our competitive position will suffer. Increased competition could result in price reductions, fewer customer orders, reduced margins, and loss of market share. Our failure to compete successfully against current or future competitors could adversely affect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Release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10, 2024, the Company issued a press release announcing its financial condition and results of operations for the three months ended March 31, 2024. A copy of the press release is furnished as Exhibit 99.1 and is incorporated by reference into this Item 5 in lieu of separately furnishing such press release under Item 2.02 of Form 8-K. This disclosure, including Exhibit 99.1 hereto, shall not be deemed “filed” for purposes of Section 18 of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24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5780" w:type="dxa"/>
            <w:vAlign w:val="bottom"/>
            <w:tcBorders>
              <w:top w:val="single" w:sz="8" w:color="auto"/>
              <w:bottom w:val="single" w:sz="8" w:color="0000EE"/>
            </w:tcBorders>
            <w:gridSpan w:val="5"/>
          </w:tcPr>
          <w:p>
            <w:pPr>
              <w:ind w:left="20"/>
              <w:spacing w:after="0" w:line="169" w:lineRule="exact"/>
              <w:rPr>
                <w:sz w:val="20"/>
                <w:szCs w:val="20"/>
                <w:color w:val="auto"/>
              </w:rPr>
            </w:pPr>
            <w:r>
              <w:rPr>
                <w:rFonts w:ascii="Times New Roman" w:cs="Times New Roman" w:eastAsia="Times New Roman" w:hAnsi="Times New Roman"/>
                <w:sz w:val="18"/>
                <w:szCs w:val="18"/>
                <w:color w:val="0000EE"/>
                <w:w w:val="99"/>
              </w:rPr>
              <w:t>Chief Executive Officer Certification pursuant to Exchange Act Rule 13a-14(a).</w:t>
            </w:r>
          </w:p>
        </w:tc>
        <w:tc>
          <w:tcPr>
            <w:tcW w:w="4220" w:type="dxa"/>
            <w:vAlign w:val="bottom"/>
            <w:tcBorders>
              <w:top w:val="single" w:sz="8" w:color="auto"/>
            </w:tcBorders>
          </w:tcPr>
          <w:p>
            <w:pPr>
              <w:spacing w:after="0"/>
              <w:rPr>
                <w:sz w:val="14"/>
                <w:szCs w:val="1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Chief Financial Officer Certification pursuant to Exchange Act Rule 13a-14(a).</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572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rPr>
              <w:t>Chief Executive Officer Certification pursuant to 18 U.S.C. Section 1350.</w:t>
            </w:r>
          </w:p>
        </w:tc>
        <w:tc>
          <w:tcPr>
            <w:tcW w:w="4280" w:type="dxa"/>
            <w:vAlign w:val="bottom"/>
            <w:gridSpan w:val="2"/>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5280" w:type="dxa"/>
            <w:vAlign w:val="bottom"/>
            <w:tcBorders>
              <w:top w:val="single" w:sz="8" w:color="0000EE"/>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9"/>
              </w:rPr>
              <w:t>Chief Financial Officer Certification pursuant to 18 U.S.C. Section 1350.</w:t>
            </w:r>
          </w:p>
        </w:tc>
        <w:tc>
          <w:tcPr>
            <w:tcW w:w="40" w:type="dxa"/>
            <w:vAlign w:val="bottom"/>
            <w:tcBorders>
              <w:top w:val="single" w:sz="8" w:color="0000EE"/>
            </w:tcBorders>
          </w:tcPr>
          <w:p>
            <w:pPr>
              <w:spacing w:after="0"/>
              <w:rPr>
                <w:sz w:val="24"/>
                <w:szCs w:val="24"/>
                <w:color w:val="auto"/>
              </w:rPr>
            </w:pPr>
          </w:p>
        </w:tc>
        <w:tc>
          <w:tcPr>
            <w:tcW w:w="4680" w:type="dxa"/>
            <w:vAlign w:val="bottom"/>
            <w:gridSpan w:val="3"/>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4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8"/>
              </w:rPr>
              <w:t>Press Release dated May 10, 2024</w:t>
            </w:r>
          </w:p>
        </w:tc>
        <w:tc>
          <w:tcPr>
            <w:tcW w:w="7520" w:type="dxa"/>
            <w:vAlign w:val="bottom"/>
            <w:gridSpan w:val="5"/>
          </w:tcPr>
          <w:p>
            <w:pPr>
              <w:spacing w:after="0"/>
              <w:rPr>
                <w:sz w:val="24"/>
                <w:szCs w:val="24"/>
                <w:color w:val="auto"/>
              </w:rPr>
            </w:pPr>
          </w:p>
        </w:tc>
      </w:tr>
      <w:tr>
        <w:trPr>
          <w:trHeight w:val="453"/>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ind w:left="1260" w:hanging="1252"/>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Creative Realities,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3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Pr>
          <w:p>
            <w:pPr>
              <w:spacing w:after="0"/>
              <w:rPr>
                <w:sz w:val="24"/>
                <w:szCs w:val="24"/>
                <w:color w:val="auto"/>
              </w:rPr>
            </w:pPr>
          </w:p>
        </w:tc>
        <w:tc>
          <w:tcPr>
            <w:tcW w:w="32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Logan</w:t>
            </w:r>
          </w:p>
        </w:tc>
      </w:tr>
      <w:tr>
        <w:trPr>
          <w:trHeight w:val="191"/>
        </w:trPr>
        <w:tc>
          <w:tcPr>
            <w:tcW w:w="35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 Logan</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00" w:type="dxa"/>
            <w:vAlign w:val="bottom"/>
          </w:tcPr>
          <w:p>
            <w:pPr>
              <w:spacing w:after="0"/>
              <w:rPr>
                <w:sz w:val="24"/>
                <w:szCs w:val="24"/>
                <w:color w:val="auto"/>
              </w:rPr>
            </w:pPr>
          </w:p>
        </w:tc>
        <w:tc>
          <w:tcPr>
            <w:tcW w:w="32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28</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2024,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58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Logan,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2024,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2024</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Will Logan</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months ended March 31, 2024,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000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Richard Mills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months ended March 31, 2024, as filed with the Securities and Exchange Commission on the date hereof (the “Report”), I, Will Logan,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30518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Will Logan</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Creative Realities Reports Fiscal 2024 First Quarter Results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Strong Revenue Growth, Refinancing Underway, 2024 Outlook Reaffirmed</w:t>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LOUISVILLE, KY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10, 2024 </w:t>
      </w:r>
      <w:r>
        <w:rPr>
          <w:rFonts w:ascii="Times New Roman" w:cs="Times New Roman" w:eastAsia="Times New Roman" w:hAnsi="Times New Roman"/>
          <w:sz w:val="18"/>
          <w:szCs w:val="18"/>
          <w:color w:val="auto"/>
        </w:rPr>
        <w:t>– Creative Realities, Inc. (“Creative Realities,” “CRI,” or the “Company”) (NASDAQ: CREX), a leading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signage and media solutions, announced its financial results for the fiscal first quarter ended March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500" w:hanging="317"/>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first quarter revenue of $12.3 million, up 24% from $9.9 million in the prior-year period</w:t>
      </w:r>
    </w:p>
    <w:p>
      <w:pPr>
        <w:spacing w:after="0" w:line="225"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$5.8 million for the three months ended March 31, 2024 versus $5.1 million in the first quarter of fiscal 2023</w:t>
      </w:r>
    </w:p>
    <w:p>
      <w:pPr>
        <w:spacing w:after="0" w:line="225"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$0.8 million for the first quarter of 2024 versus $1.0 million in the prior-year period</w:t>
      </w:r>
    </w:p>
    <w:p>
      <w:pPr>
        <w:spacing w:after="0" w:line="225" w:lineRule="exact"/>
        <w:rPr>
          <w:rFonts w:ascii="Times New Roman" w:cs="Times New Roman" w:eastAsia="Times New Roman" w:hAnsi="Times New Roman"/>
          <w:sz w:val="18"/>
          <w:szCs w:val="18"/>
          <w:color w:val="auto"/>
        </w:rPr>
      </w:pPr>
    </w:p>
    <w:p>
      <w:pPr>
        <w:ind w:left="500" w:hanging="317"/>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(“ARR”) of approximately $17.7 million at the end of the first quarter versus $16.3 million at the beginning of the fiscal year; the Company reaffirms its 2024 exit run rate guidance of $20.0 million</w:t>
      </w:r>
    </w:p>
    <w:p>
      <w:pPr>
        <w:spacing w:after="0" w:line="161" w:lineRule="exact"/>
        <w:rPr>
          <w:rFonts w:ascii="Times New Roman" w:cs="Times New Roman" w:eastAsia="Times New Roman" w:hAnsi="Times New Roman"/>
          <w:sz w:val="18"/>
          <w:szCs w:val="18"/>
          <w:color w:val="auto"/>
        </w:rPr>
      </w:pPr>
    </w:p>
    <w:p>
      <w:pPr>
        <w:ind w:left="500" w:hanging="317"/>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strategy is being implemented to increase financial flexibility and lower long-term interest expense through a new $20 million senior revolving credit facility and $5 million accordion, with no prepayment penalties or fixed amortization schedule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“We’re off to a great start in fiscal 2024 with strong revenue growth and solid margins, on track to deliver record results this year,” said Rick Mills, Chief Executive Officer. “Revenue rose more than 20% year-over-year in the first quarter, to $12.3 million, even as the first quarter is typically light due to seasonality and budget cycles. While our consolidated gross margin was lower than the 2023 first quarter, on a percentage basis, this was primarily due to the significant 45% growth in service revenue that included a higher percentage of installations – increasing to 18% of revenue as compared to 10% in the prior-year period. While dampening margins in the quarter, such installs will lead to greater subscription revenues going forward, and we ended the quarter with a record ARR of approximately $17.7 million.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as recently announced, on May 8, 2024, we signed a non-binding commitment letter for a transformational refinancing agreement, expected to close next week, that provides a $20 million revolver as well as access to a $5 million accordion feature. Not only will this allow for greater financial flexibility, it will enable the Company to lower its interest rate exposure and move towards a more optimal capital structure. By the end of the first quarter we had, once again, reduced our outstanding debt, and we remain focused on de-levering the balance sheet going forward. Overall, given a strong pipeline of opportunities, increasing installations, and sound operating execution, we are well positioned to see substantial growth in the quarters to come and remain on track for our best year ever, including a $20 million ARR by the end of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EBITDA is a non-GAAP financial measure. A reconciliation is provided in the tables of this press release.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First Quarter Financial Results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were $12.3 million for the fiscal 2024 first quarter, an increase of $2.4 million, or 24%, as compared to the same period in fiscal 2023. Hardware revenue was $4.1 million, versus $4.3 million in the prior-year period, while service revenue rose to $8.1 million from $5.6 million in fiscal 2023, an increase of 45%, reflecting higher installation and managed services. Installation service revenue increased $1.2 million year-over-year – or 128% – due to significant deployment activity during the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gross profit was $5.8 million for the fiscal 2024 first quarter versus $5.1 million in the prior-year period, and consolidated gross margin was 46.9% versus 51.2% in the fiscal 2023 first quarter. Gross margin on hardware revenue was 22.9% in fiscal 2024 as compared to 25.8% in the prior-year period, largely reflecting product mix and contract timing. Gross margin on service amounted to 59.1%, versus 70.7% in the fiscal 2023 first quarter, reflecting the fact that installations – historically the Company’s lowest margin service – increased to 18% of total revenue as compared to 10% in the prior-year period. Software subscription run-rates continued to rise, however, and the Company ended the quarter with record ARR of approximately $17.7 million on an annualized run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in the first quarter rose to $1.5 million, versus $1.1 million in the prior-year period, reflecting enhanced investment in business development activities. Research and development expenses were $0.5 million versus $0.4 million in the fiscal 2023 first quarter. First quarter general and administrative expenses were $3.0 million, up slightly year-over-year, primarily reflecting increases in deployment personnel and the implementation of a new ERP system.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posted an operating loss of approximately $0.1 million in the first quarter of both fiscal 2024 and 2023. CRI reported a net loss of $0.1 million, or $(0.01) per diluted share, in the quarter ended March 31, 2024 versus a net loss of $1.0 million, or $(0.14) per diluted share, in the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(defined later in this release) was $0.8 million in the first quarter of 2024 as compared to $1.0 million in the prior-year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2024, the Company had cash on hand of approximately $2.9 million, virtually equivalent to December 31, 2023. The Company had outstanding principal debt of approximately $14.0 million as of March 31, 2024 versus $15.1 million at the start of the fiscal year. The Company’s net debt as of the date of this release is approximately $11.7 million. CRI continues to repay approximately $0.4 million in debt principal monthly, with a focus to reduce its leverage ratio going forward. As of the end of the first quarter, the trailing twelve month leverage ratio was 2.86 and 2.27 on a gross and net basis, respectively, versus 2.97 and 2.40 at the beginning of 2024. Net debt is equal to the Company's cash on hand less outstanding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to review the results of the first quarter 2024, and provide additional commentary about recent performance, today, May 10, at 9:00 am Eastern Time, which will include prepared remarks and materials from management, followed by a live Q&amp;A. The call will be hosted by Rick Mills, Chief Executive Officer, and Will Logan, Chief Financial Officer.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call, participants should register at https://bit.ly/CRIearnings2024Q1. Once registered, participants can use the weblink provided in the registration email to participate in the live webcast. An archived edition of the earnings conference call will also be posted on the Company’s website later today and will remain available for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Creative Realities,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Creative Realities helps clients use place-based digital media to achieve business objectives such as increased revenue, enhanced customer experiences, and improved productivity. The Company designs, develops and deploys digital signage experiences for enterprise-level networks, and is actively providing recurring SaaS and support services across diverse vertical markets, including but not limited to retail, automotive, digital-out-of-home (DOOH) advertising networks, convenience stores, foodservice/QSR, gaming, theater, and stadium 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 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 For further information, please refer to Creative Realities, Inc.’s filings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its Annual Report on Form 10-K filed with the Securities and Exchange Commission on March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2023, as amended, and the Company’s subsequent filings with the U.S. Securities and Exchange Commission. Important factors, among others, that may affect actual results or outcomes include: our ability to consummate the refinancing arrangement;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contingent liabilities and other liabilities, the ability of the Company to continue as a going concern, potential litigation, supply chain shortages, and general economic and market conditions impacting demand for our products and services.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Davies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cdavies@ideagrove.com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Witty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cwitty@darrowir.com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646-438-9385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16,317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68,206</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197"/>
        </w:trPr>
        <w:tc>
          <w:tcPr>
            <w:tcW w:w="80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Acquisition Term Loan, net of $613 and $0 discount, respectively</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Consolidation Term Loan, net of $655 and $747 discount, respectively</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contingent consideration, at fair value</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related party Acquisition Term Loan, net of $0 and $787 discount, respectively</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related party Consolidation Term Loan, net of $0 and $94 discount, respectively</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contingent consideration, at fair value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41,946</w:t>
            </w:r>
          </w:p>
        </w:tc>
      </w:tr>
      <w:tr>
        <w:trPr>
          <w:trHeight w:val="210"/>
        </w:trPr>
        <w:tc>
          <w:tcPr>
            <w:tcW w:w="8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10,447 and 10,409 shares issued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82,073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(53,455)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(53,346)</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68,206</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70,777</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12,285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9,944</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5,089</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loss per common share</w:t>
            </w: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(0.14)</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940" w:type="dxa"/>
            <w:vAlign w:val="bottom"/>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shd w:val="clear" w:color="auto" w:fill="CCEEFF"/>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(0.14)</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10,421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7,351</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10,421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7,351</w:t>
            </w:r>
          </w:p>
        </w:tc>
      </w:tr>
      <w:tr>
        <w:trPr>
          <w:trHeight w:val="554"/>
        </w:trPr>
        <w:tc>
          <w:tcPr>
            <w:tcW w:w="80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change in fair value of contingent consideration</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(1,003)</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Consolidation Term Loan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Secured Promissory Note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Term Loan (2022)</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20" w:type="dxa"/>
            <w:vAlign w:val="bottom"/>
          </w:tcPr>
          <w:p>
            <w:pPr>
              <w:spacing w:after="0"/>
              <w:rPr>
                <w:sz w:val="18"/>
                <w:szCs w:val="18"/>
                <w:color w:val="auto"/>
              </w:rPr>
            </w:pP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3,905</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 prepares its consolidated financial statements in accordance with United States generally accepted accounting principles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disclosing financial results prepared in accordance with GAAP, the Company discloses information regarding “EBITDA” and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CRI defines “EBITDA” as earnings before interest, income taxes, depreciation and amortization of intangibles. CRI defines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EBITDA excluding stock-based compensation, fair value adjustments and both cash and non-cash non-recurring gains and charges.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from net loss, CRI’s most directly comparable financial measure calculated and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1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9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1,419</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&amp; equipment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8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1"/>
      <w:numFmt w:val="decimal"/>
      <w:start w:val="104"/>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2024-05-10T07:28:40Z</dcterms:created>
  <dcterms:modified xsi:type="dcterms:W3CDTF">2024-05-10T07:28:40Z</dcterms:modified>
</cp:coreProperties>
</file>