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CREATIVE REALITIES,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Richard C. Mills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13100 Magisterial Drive, Suite 201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Louisville, KY, 40223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502-791-8800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MILLS RICHARD 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59"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1,703,927.00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1,703,927.00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1,703,927.00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7, 9 and 11: Includes (i) 952,601 shares beneficially owned by the Reporting Person individually (which</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number, as of the filing date of this Amendment No. 3 to Schedule 13D, includes 502,601 shares held directly by the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Reporting Person and 450,000 shares issuable upon the future settlement of a restricted stock unit award granted to the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Reporting Person, of which 150,000 shares are vested and 300,000 are unvested), (ii) 722,001 shares issuable upon the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exercise of outstanding vested options owned by the Reporting Person individually, and (iii) 29,325 shares owned by</w:t>
      </w: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RFK Communications, LLC ("RFK"). The Reporting Person serves as the sole manager of RFK and has sole voting and investment power over shares of the issuer held by RFK. Note to Row 13: Based on 13,097,892 shares of Common Stock outstanding as of June 30, 2026, as reported in the prospectus supplement dated June 29, 2026 to the Issuer's Registration Statement on Form S-3 (SEC File No. 333-296498), plus 722,001 shares of Common Stock issuable upon exercise of vested options to purchase shares of Common Stock beneficially owned by the Reporting Person and 450,000 shares issuable upon the future settlement of a restricted stock unit award granted to the Reporting Person.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CREATIVE REALITIES,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13100 MAGISTERIAL DRIVE, SUITE 201, LOUISVILLE, KENTUCKY , 40223.</w:t>
      </w:r>
    </w:p>
    <w:p>
      <w:pPr>
        <w:sectPr>
          <w:pgSz w:w="11900" w:h="16898" w:orient="portrait"/>
          <w:cols w:equalWidth="0" w:num="1">
            <w:col w:w="11240"/>
          </w:cols>
          <w:pgMar w:left="320" w:top="126" w:right="339" w:bottom="0" w:gutter="0" w:footer="0" w:header="0"/>
        </w:sectPr>
      </w:pPr>
    </w:p>
    <w:bookmarkStart w:id="2" w:name="page3"/>
    <w:bookmarkEnd w:id="2"/>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Creative Realities, Inc., a Minnesota corporation (the "Issuer"). The address of the Issuer's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principal executive offices is 13100 Magisterial Drive, Suite 201, Louisville, Kentucky 40223. This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relates to the Issuer's Common Stock, $0.01 par value per share (the "Common Stock"). All share and price information set forth in this Schedule 13D has been adjusted to reflect the Issuer's 1-for-30 and 1-for-3 reverse stock splits effective on October 17, 2018 and March 27, 2023, respectively. The following constitutes Amendment No. 3 ("Amendment No. 3") to the Schedule 13D filed by the undersigned on February 15, 2024, as amended on July 8, 2025 and October 17, 2026 (as so amended, the "Schedule 13D"). This Amendment No. 3 amends the Schedule 13D as specifically set forth herein. Unless otherwise defined herein, all capitalized terms used herein shall have the</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0"/>
        <w:spacing w:after="0" w:line="268" w:lineRule="auto"/>
        <w:rPr>
          <w:sz w:val="20"/>
          <w:szCs w:val="20"/>
          <w:color w:val="auto"/>
        </w:rPr>
      </w:pPr>
      <w:r>
        <w:rPr>
          <w:rFonts w:ascii="Times New Roman" w:cs="Times New Roman" w:eastAsia="Times New Roman" w:hAnsi="Times New Roman"/>
          <w:sz w:val="21"/>
          <w:szCs w:val="21"/>
          <w:color w:val="auto"/>
        </w:rPr>
        <w:t>Item 3 of Schedule 13D is amended to add the following: The shares of Common Stock acquired by the Reporting Person on June 30, 2026, as described in Item 5 below, were purchased using the Reporting Person's personal funds.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80"/>
        <w:spacing w:after="0" w:line="238" w:lineRule="auto"/>
        <w:rPr>
          <w:sz w:val="20"/>
          <w:szCs w:val="20"/>
          <w:color w:val="auto"/>
        </w:rPr>
      </w:pPr>
      <w:r>
        <w:rPr>
          <w:rFonts w:ascii="Times New Roman" w:cs="Times New Roman" w:eastAsia="Times New Roman" w:hAnsi="Times New Roman"/>
          <w:sz w:val="22"/>
          <w:szCs w:val="22"/>
          <w:color w:val="auto"/>
        </w:rPr>
        <w:t>Except as noted in Item 6 of this Amendment No. 3, as of the date of the filing of this Amendment No. 3, the Reporting Person does not have a plan or proposal that relates to or would result in any of the transactions enumerated in sub items (a) through (j) of the instructions to Item 4 of this Schedule 13D. Notwithstanding the foregoing, the Reporting Person reserves the right to effect any such actions as any of them may deem necessary or appropriate in the future.</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5" w:lineRule="auto"/>
        <w:rPr>
          <w:sz w:val="20"/>
          <w:szCs w:val="20"/>
          <w:color w:val="auto"/>
        </w:rPr>
      </w:pPr>
      <w:r>
        <w:rPr>
          <w:rFonts w:ascii="Times New Roman" w:cs="Times New Roman" w:eastAsia="Times New Roman" w:hAnsi="Times New Roman"/>
          <w:sz w:val="21"/>
          <w:szCs w:val="21"/>
          <w:color w:val="auto"/>
        </w:rPr>
        <w:t>The Reporting Person currently beneficially owns an aggregate of 1,703,927 shares of Common Stock, which represents 11.9% of the outstanding shares of Common Stock of the Issuer. The shares beneficially owned by the Reporting Person includes (i) 952,601 shares beneficially owned by the Reporting Person individually (which number includes 502,601 shares held directly by the Reporting Person and 450,000 shares issuable upon the future settlement of a restricted stock unit award granted to the Reporting Person, of which 150,000 shares are vested and 300,000 are unvested, (ii) 722,001 shares issuable upon the exercise of outstanding vested options owned by the Reporting Person</w:t>
      </w:r>
    </w:p>
    <w:p>
      <w:pPr>
        <w:spacing w:after="0" w:line="3" w:lineRule="exact"/>
        <w:rPr>
          <w:sz w:val="20"/>
          <w:szCs w:val="20"/>
          <w:color w:val="auto"/>
        </w:rPr>
      </w:pPr>
    </w:p>
    <w:p>
      <w:pPr>
        <w:ind w:left="920" w:right="38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individually, and (iii) 29,325 shares owned by RFK Communications, LLC ("RFK"). The percentage of shares beneficially owned by the Reporting Person is based on 13,097,892 shares of Common Stock of the Issuer outstanding as of June 30, 2026, as reported in the prospectus supplement dated June 29, 2026 to the Issuer's Registration Statement on Form S-3 (SEC File No. 333-296498), plus 722,001 shares of Common Stock issuable upon exercise of vested options to purchase shares of Common Stock beneficially owned by the Reporting Person and 450,000 shares issuable upon the future settlement of a restricted stock unit award granted to the Reporting Person.</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sole voting and investment power over shares of the Issuer held by him individually. The</w:t>
      </w:r>
    </w:p>
    <w:p>
      <w:pPr>
        <w:spacing w:after="0" w:line="14" w:lineRule="exact"/>
        <w:rPr>
          <w:rFonts w:ascii="Times New Roman" w:cs="Times New Roman" w:eastAsia="Times New Roman" w:hAnsi="Times New Roman"/>
          <w:sz w:val="22"/>
          <w:szCs w:val="22"/>
          <w:color w:val="auto"/>
        </w:rPr>
      </w:pPr>
    </w:p>
    <w:p>
      <w:pPr>
        <w:ind w:left="920" w:right="42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 serves as the sole manager of RFK and has sole voting and investment power over shares of the Issuer held by RFK.</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June 30, 2026, the Reporting Person purchased 200,000 shares of Common Stock from the Underwriter in the</w:t>
      </w:r>
    </w:p>
    <w:p>
      <w:pPr>
        <w:spacing w:after="0" w:line="14" w:lineRule="exact"/>
        <w:rPr>
          <w:rFonts w:ascii="Times New Roman" w:cs="Times New Roman" w:eastAsia="Times New Roman" w:hAnsi="Times New Roman"/>
          <w:sz w:val="22"/>
          <w:szCs w:val="22"/>
          <w:color w:val="auto"/>
        </w:rPr>
      </w:pPr>
    </w:p>
    <w:p>
      <w:pPr>
        <w:ind w:left="920" w:right="20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 (as such terms are defined in Item 6 below). There have been no other transactions in the class of securities reported on that were effected within the past 60 days.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33" w:lineRule="auto"/>
        <w:rPr>
          <w:sz w:val="20"/>
          <w:szCs w:val="20"/>
          <w:color w:val="auto"/>
        </w:rPr>
      </w:pPr>
      <w:r>
        <w:rPr>
          <w:rFonts w:ascii="Times New Roman" w:cs="Times New Roman" w:eastAsia="Times New Roman" w:hAnsi="Times New Roman"/>
          <w:sz w:val="22"/>
          <w:szCs w:val="22"/>
          <w:color w:val="auto"/>
        </w:rPr>
        <w:t>On June 29, 2026, Issuer entered into an underwriting agreement (the "Underwriting Agreement") with Craig-Hallum Capital Group LLC (the "Underwriter") relating to a public offering, issuance and sale (the "Offering") of shares of Common Stock and pre-funded warrants to purchase shares of Common Stock. The Offering was completed on June 30, 2026. In connection with the Offering, on June 23, 2026, the Reporting Person executed and delivered to the Underwriter a Lock-Up Agreement (the "Lock-Up Agreement") pursuant to which, subject to certain exceptions, the Reporting Person agreed not to offer, sell, agree to sell, directly or indirectly, or otherwise dispose of any Common Stock or securities convertible into or exchangeable for Common Stock for a period of 90 days after June 29, 2026, which was the date of the final prospectus supplement for the Offering. The Lock-Up Agreement provides that its restrictions may be waived at any time by the Underwriter. The description of the Lock-Up Agreement is qualified in its entirety by reference to the full text of such agreement, a copy of which is filed as Exhibit 10.9, and is hereby incorporated by reference.</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Number Description of Exhibits 10.9 Lock-Up Agreement dated as of June 23,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MILLS RICHARD C</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C. Mills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Richard C. Mills</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ectPr>
          <w:pgSz w:w="11900" w:h="16838" w:orient="portrait"/>
          <w:cols w:equalWidth="0" w:num="1">
            <w:col w:w="11160"/>
          </w:cols>
          <w:pgMar w:left="360" w:top="139" w:right="379" w:bottom="127"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23,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Craig-Hallum Capital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South Ninth Street,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Creative Realities, Inc.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80" w:firstLine="45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you, as underwriter (the “Underwriter”), propose to enter into an underwriting agreement (the “Underwriting Agreement”) with Creative Realities, Inc., a Minnesota corporation (the “Company”), related to the public offering (the “Offering”) by the Company, of common stock, par value $0.01 per share (the “Common Stock”), of the Company (the “Securities”).</w:t>
      </w:r>
    </w:p>
    <w:p>
      <w:pPr>
        <w:spacing w:after="0" w:line="17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In consideration of the Underwriter’s agreement to enter into the Underwriting Agreement in connection with the Offering, and for other good and valuable consideration receipt of which is hereby acknowledged, the undersigned hereby agrees that, without the prior written consent of the Underwriter, the undersigned will not, and will not cause any direct or indirect affiliate to, during the period beginning on the date hereof and ending at the close of business 90 days after the date of the final prospectus supplement relating to the Offering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above or this clause (2) is to be settled by delivery of Lock-Up Securities, in cash or otherwise, (3) make any demand for or exercise any right with respect to the registration of the offer, sale or other transfer or disposition of any Lock-Up Securities (other than demands or rights with respect to Lock-Up Securities acquired in the Offering, if any), or (4) publicly disclose the intention to do any of the foregoing. The undersigned acknowledges and agrees that the foregoing precludes the undersigned from engaging during the Restricted Period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Underwriter with the details of any transaction the undersigned, or any of its affiliates, is a party to as of the date hereof, which transaction would have been restricted by this Letter Agreement (the “Letter Agreement”) if it had been entered into by the undersigned during the Restricted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25" w:lineRule="exact"/>
        <w:rPr>
          <w:sz w:val="20"/>
          <w:szCs w:val="20"/>
          <w:color w:val="auto"/>
        </w:rPr>
      </w:pPr>
    </w:p>
    <w:p>
      <w:pPr>
        <w:ind w:left="700" w:hanging="242"/>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dispose of the undersigned’s Lock-Up Securities:</w:t>
      </w:r>
    </w:p>
    <w:p>
      <w:pPr>
        <w:spacing w:after="0" w:line="225" w:lineRule="exact"/>
        <w:rPr>
          <w:rFonts w:ascii="Times New Roman" w:cs="Times New Roman" w:eastAsia="Times New Roman" w:hAnsi="Times New Roman"/>
          <w:sz w:val="18"/>
          <w:szCs w:val="18"/>
          <w:color w:val="auto"/>
        </w:rPr>
      </w:pPr>
    </w:p>
    <w:p>
      <w:pPr>
        <w:ind w:left="1240" w:hanging="224"/>
        <w:spacing w:after="0"/>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225" w:lineRule="exact"/>
        <w:rPr>
          <w:rFonts w:ascii="Times New Roman" w:cs="Times New Roman" w:eastAsia="Times New Roman" w:hAnsi="Times New Roman"/>
          <w:sz w:val="18"/>
          <w:szCs w:val="18"/>
          <w:color w:val="auto"/>
        </w:rPr>
      </w:pPr>
    </w:p>
    <w:p>
      <w:pPr>
        <w:ind w:left="1280" w:hanging="264"/>
        <w:spacing w:after="0"/>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right="140" w:firstLine="1016"/>
        <w:spacing w:after="0" w:line="261" w:lineRule="auto"/>
        <w:tabs>
          <w:tab w:leader="none" w:pos="1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(A) immediate family of the undersigned or (B)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9" w:lineRule="exact"/>
        <w:rPr>
          <w:rFonts w:ascii="Times New Roman" w:cs="Times New Roman" w:eastAsia="Times New Roman" w:hAnsi="Times New Roman"/>
          <w:sz w:val="18"/>
          <w:szCs w:val="18"/>
          <w:color w:val="auto"/>
        </w:rPr>
      </w:pPr>
    </w:p>
    <w:p>
      <w:pPr>
        <w:ind w:right="80" w:firstLine="1016"/>
        <w:spacing w:after="0" w:line="282" w:lineRule="auto"/>
        <w:tabs>
          <w:tab w:leader="none" w:pos="1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trust or other entity of which the undersigned and/or the immediate family of the undersigned are the legal and beneficial owner of all the outstanding equity securities or similar interests,</w:t>
      </w:r>
    </w:p>
    <w:p>
      <w:pPr>
        <w:spacing w:after="0" w:line="161" w:lineRule="exact"/>
        <w:rPr>
          <w:rFonts w:ascii="Times New Roman" w:cs="Times New Roman" w:eastAsia="Times New Roman" w:hAnsi="Times New Roman"/>
          <w:sz w:val="18"/>
          <w:szCs w:val="18"/>
          <w:color w:val="auto"/>
        </w:rPr>
      </w:pPr>
    </w:p>
    <w:p>
      <w:pPr>
        <w:ind w:left="1280" w:hanging="264"/>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6" w:lineRule="exact"/>
        <w:rPr>
          <w:rFonts w:ascii="Times New Roman" w:cs="Times New Roman" w:eastAsia="Times New Roman" w:hAnsi="Times New Roman"/>
          <w:sz w:val="18"/>
          <w:szCs w:val="18"/>
          <w:color w:val="auto"/>
        </w:rPr>
      </w:pPr>
    </w:p>
    <w:p>
      <w:pPr>
        <w:ind w:right="80" w:firstLine="1016"/>
        <w:spacing w:after="0" w:line="256" w:lineRule="auto"/>
        <w:tabs>
          <w:tab w:leader="none" w:pos="1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(the “Securities Act”))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equityholders of the undersigned,</w:t>
      </w:r>
    </w:p>
    <w:p>
      <w:pPr>
        <w:spacing w:after="0" w:line="187" w:lineRule="exact"/>
        <w:rPr>
          <w:rFonts w:ascii="Times New Roman" w:cs="Times New Roman" w:eastAsia="Times New Roman" w:hAnsi="Times New Roman"/>
          <w:sz w:val="18"/>
          <w:szCs w:val="18"/>
          <w:color w:val="auto"/>
        </w:rPr>
      </w:pPr>
    </w:p>
    <w:p>
      <w:pPr>
        <w:ind w:right="500" w:firstLine="1016"/>
        <w:spacing w:after="0" w:line="282" w:lineRule="auto"/>
        <w:tabs>
          <w:tab w:leader="none" w:pos="13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 or related court order,</w:t>
      </w:r>
    </w:p>
    <w:p>
      <w:pPr>
        <w:spacing w:after="0" w:line="161" w:lineRule="exact"/>
        <w:rPr>
          <w:rFonts w:ascii="Times New Roman" w:cs="Times New Roman" w:eastAsia="Times New Roman" w:hAnsi="Times New Roman"/>
          <w:sz w:val="18"/>
          <w:szCs w:val="18"/>
          <w:color w:val="auto"/>
        </w:rPr>
      </w:pPr>
    </w:p>
    <w:p>
      <w:pPr>
        <w:ind w:left="1420" w:hanging="404"/>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206" w:lineRule="exact"/>
        <w:rPr>
          <w:rFonts w:ascii="Times New Roman" w:cs="Times New Roman" w:eastAsia="Times New Roman" w:hAnsi="Times New Roman"/>
          <w:sz w:val="18"/>
          <w:szCs w:val="18"/>
          <w:color w:val="auto"/>
        </w:rPr>
      </w:pPr>
    </w:p>
    <w:p>
      <w:pPr>
        <w:ind w:left="1320" w:hanging="30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completion of the Offering,</w:t>
      </w:r>
    </w:p>
    <w:p>
      <w:pPr>
        <w:spacing w:after="0" w:line="252" w:lineRule="exact"/>
        <w:rPr>
          <w:rFonts w:ascii="Times New Roman" w:cs="Times New Roman" w:eastAsia="Times New Roman" w:hAnsi="Times New Roman"/>
          <w:sz w:val="18"/>
          <w:szCs w:val="18"/>
          <w:color w:val="auto"/>
        </w:rPr>
      </w:pPr>
    </w:p>
    <w:p>
      <w:pPr>
        <w:ind w:firstLine="1016"/>
        <w:spacing w:after="0" w:line="254" w:lineRule="auto"/>
        <w:tabs>
          <w:tab w:leader="none" w:pos="1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(other than such shares as are transferred or surrendered to the Company in connection with such vesting, settlement or exercise event)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reports, schedules, forms, statements and other documents required to be filed by the Company under the Securities Act and the Securities Exchange Act of 1934, as amended, and the rules and regulations promulgated thereunder (the “Exchange Act”), including pursuant to Section 13(a) or 15(d) thereof (the “SEC Documents”), or</w:t>
      </w:r>
    </w:p>
    <w:p>
      <w:pPr>
        <w:spacing w:after="0" w:line="188" w:lineRule="exact"/>
        <w:rPr>
          <w:rFonts w:ascii="Times New Roman" w:cs="Times New Roman" w:eastAsia="Times New Roman" w:hAnsi="Times New Roman"/>
          <w:sz w:val="18"/>
          <w:szCs w:val="18"/>
          <w:color w:val="auto"/>
        </w:rPr>
      </w:pPr>
    </w:p>
    <w:p>
      <w:pPr>
        <w:ind w:right="20" w:firstLine="1016"/>
        <w:spacing w:after="0" w:line="255" w:lineRule="auto"/>
        <w:tabs>
          <w:tab w:leader="none" w:pos="1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(other than the Underwriter pursuant to the Offering), of shares of capital stock if, after such transfer, such person or group of affiliated persons would hold more than 50% of the outstanding voting securities of the Company (or the surviving entity)); provided that in the event that such tender offer, merger, consolidation or other similar transaction is not completed, the undersigned’s Lock-Up Securities shall remain subject to the provisions of this Letter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ind w:firstLine="972"/>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clauses (a)(i), (ii), (iii), (iv), (v) and (vi), such transfer shall not involve a disposition for value, (B) in the case of any transfer or distribution pursuant to clauses (a)(i), (ii), (iii), (iv), (v), (vi) and (vii), each donee, devisee, transferee or distributee shall execute and deliver to the Underwriter a lock-up letter in the form of this Letter Agreement, (C) in the case of any transfer or distribution pursuant to clause (a)(ii), (iii), (iv), (v) and (vi), no filing by any party (donor, donee, devisee, transferor, transferee, distributer or distributee) under the Exchange Act, or other public announcement reporting a reduction in beneficial ownership of shares of Common Stock shall be required or shall be made voluntarily in connection with such transfer or distribution (other than a filing on a Form 5 made after the expiration of the Restricted Period referred to above) and (D) in the case of any transfer or distribution pursuant to clauses (a)(i), (vii), (viii), (ix)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92" w:lineRule="exact"/>
        <w:rPr>
          <w:sz w:val="20"/>
          <w:szCs w:val="20"/>
          <w:color w:val="auto"/>
        </w:rPr>
      </w:pPr>
    </w:p>
    <w:p>
      <w:pPr>
        <w:ind w:right="220" w:firstLine="458"/>
        <w:spacing w:after="0" w:line="255" w:lineRule="auto"/>
        <w:tabs>
          <w:tab w:leader="none" w:pos="7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outstanding options, settle restricted stock units or other equity awards or exercise outstanding warrants pursuant to plans described in the SEC Documents; provided that any Lock-Up Securities received upon such exercise, vesting or settlement shall be subject to the terms of this Letter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undersigned is required to make any filing under Section 16(a) of the Exchange Act, or other public filing, report or announcement during the Restricted Period, the undersigned shall clearly indicate in the footnotes thereto that the filing relates to the circumstances described in this clause and that the shares of Common Stock received upon the exercise or settlement, as applicable, of the stock option, warrant or restricted stock unit or other right or vesting event are subject to this Letter Agreement, and no public filing, report or announcement shall be voluntarily made;</w:t>
      </w:r>
    </w:p>
    <w:p>
      <w:pPr>
        <w:spacing w:after="0" w:line="188" w:lineRule="exact"/>
        <w:rPr>
          <w:rFonts w:ascii="Times New Roman" w:cs="Times New Roman" w:eastAsia="Times New Roman" w:hAnsi="Times New Roman"/>
          <w:sz w:val="18"/>
          <w:szCs w:val="18"/>
          <w:color w:val="auto"/>
        </w:rPr>
      </w:pPr>
    </w:p>
    <w:p>
      <w:pPr>
        <w:ind w:right="760" w:firstLine="458"/>
        <w:spacing w:after="0" w:line="282"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outstanding preferred stock into shares of Common Stock; provided that any such shares of Common Stock received upon such conversion shall be subject to the terms of this Letter Agreement; and</w:t>
      </w:r>
    </w:p>
    <w:p>
      <w:pPr>
        <w:spacing w:after="0" w:line="161" w:lineRule="exact"/>
        <w:rPr>
          <w:rFonts w:ascii="Times New Roman" w:cs="Times New Roman" w:eastAsia="Times New Roman" w:hAnsi="Times New Roman"/>
          <w:sz w:val="18"/>
          <w:szCs w:val="18"/>
          <w:color w:val="auto"/>
        </w:rPr>
      </w:pPr>
    </w:p>
    <w:p>
      <w:pPr>
        <w:ind w:right="140" w:firstLine="458"/>
        <w:spacing w:after="0" w:line="256" w:lineRule="auto"/>
        <w:tabs>
          <w:tab w:leader="none" w:pos="7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trading plans pursuant to Rule 10b5-1 under the Exchange Act (“10b5-1 Trading Plans”)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and (2) no filing by any party under the Exchange Act or other public announcement shall be made voluntarily during the Restricted Period in connection with such trading plan and if any such filing or public announcement shall be legally required during the Restricted Period, such filing or public announcement shall clearly indicate therein that none of the securities subject to such plan may be transferred, sold, or otherwise disposed of pursuant to such plan until after the expiration of the Restricted Period.</w:t>
      </w:r>
    </w:p>
    <w:p>
      <w:pPr>
        <w:spacing w:after="0" w:line="187"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Letter Agreement in substantially the same form as this Letter Agreement, beneficially owns, directly or indirectly, 50% or more of the common equity interests, or 50% or more of the voting power, in the undersigned.</w:t>
      </w:r>
    </w:p>
    <w:p>
      <w:pPr>
        <w:spacing w:after="0" w:line="180"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Underwriter agrees that, at least three business days before the effective date of any release or waiver of the foregoing restrictions in connection with a transfer of shares of Lock-Up Securities, the Underwriter will notify the Company of the impending release or waiver, and (ii) the Company has agreed or will agree in the Underwriting Agreement to announce the impending release or waiver through a major news service at least two business days before the effective date of the release or waiver. Any release or waiver granted by the Underwriter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Agreement to the extent and for the duration that such terms remain in effect at the time of the transfer.</w:t>
      </w:r>
    </w:p>
    <w:p>
      <w:pPr>
        <w:spacing w:after="0" w:line="192" w:lineRule="exact"/>
        <w:rPr>
          <w:sz w:val="20"/>
          <w:szCs w:val="20"/>
          <w:color w:val="auto"/>
        </w:rPr>
      </w:pPr>
    </w:p>
    <w:p>
      <w:pPr>
        <w:ind w:right="60" w:firstLine="450"/>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right="140" w:firstLine="45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 has not provided any recommendation or investment advice nor has the Underwriter solicited any action from the undersigned with respect to the Offering of the Securities and the undersigned has consulted its own legal, accounting, financial, regulatory and tax advisors to the extent deemed appropriate. The undersigned further acknowledges and agrees that, although the Underwriter may be required or choose to provide certain Regulation Best Interest and Form CRS disclosures to you in connection with the Offering, the Underwriter is not making a recommendation to you to enter into this Letter Agreement and nothing set forth in such disclosures is intended to suggest that the Underwriter is making such a recommendation.</w:t>
      </w:r>
    </w:p>
    <w:p>
      <w:pPr>
        <w:spacing w:after="0" w:line="18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(i) if the Underwriting Agreement does not become effective by July 31, 2026, (ii) if the Underwriting Agreement (other than the provisions thereof which survive termination) shall terminate or be terminated prior to payment for and delivery of the Common Stock to be sold in the Offering, or (iii) the Company notifies the Underwriter in writing prior to the execution of the Underwriting Agreement that it does not intend to proceed with the Offering, the Letter Agreement shall automatically terminate and be of no further force or effect and undersigned shall be released from all obligations under this Letter Agreement. The undersigned understands that the Underwriter is entering into the Underwriting Agreement and proceeding with the Offering in reliance upon this Letter Agreement.</w:t>
      </w:r>
    </w:p>
    <w:p>
      <w:pPr>
        <w:spacing w:after="0" w:line="187"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hereby consents to receipt of this Letter Agreement in electronic form and understands and agrees that this Letter Agreement may be signed electronically. In the event that any signature is delivered by facsimile transmission, electronic mail, or otherwise by electronic transmission (including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evidencing an intent to sign this Letter Agreement, such facsimile transmission, electronic mail or other electronic transmission shall create a valid and binding obligation of the undersigned with the same force and effect as if such signature were an original. Execution and delivery of this Letter Agreement by facsimile transmission, electronic mail or other electronic transmission is legal, valid and binding for all purposes.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ind w:firstLine="450"/>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74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-126365</wp:posOffset>
            </wp:positionV>
            <wp:extent cx="28460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-126365</wp:posOffset>
            </wp:positionV>
            <wp:extent cx="28460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w:t>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[Signature page to Lock-up Agreement]</w:t>
      </w:r>
    </w:p>
    <w:sectPr>
      <w:pgSz w:w="11900" w:h="16838" w:orient="portrait"/>
      <w:cols w:equalWidth="0" w:num="1">
        <w:col w:w="11160"/>
      </w:cols>
      <w:pgMar w:left="320" w:top="5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2026-07-02T11:48:26Z</dcterms:created>
  <dcterms:modified xsi:type="dcterms:W3CDTF">2026-07-02T11:48:26Z</dcterms:modified>
</cp:coreProperties>
</file>