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940" w:right="1140" w:hanging="2798"/>
        <w:spacing w:after="0" w:line="489" w:lineRule="auto"/>
        <w:tabs>
          <w:tab w:leader="none" w:pos="1357"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3" w:lineRule="exact"/>
        <w:rPr>
          <w:rFonts w:ascii="MS PGothic" w:cs="MS PGothic" w:eastAsia="MS PGothic" w:hAnsi="MS PGothic"/>
          <w:sz w:val="18"/>
          <w:szCs w:val="18"/>
          <w:color w:val="auto"/>
          <w:highlight w:val="black"/>
        </w:rPr>
      </w:pPr>
    </w:p>
    <w:p>
      <w:pPr>
        <w:jc w:val="center"/>
        <w:ind w:left="3440" w:right="940" w:hanging="2482"/>
        <w:spacing w:after="0" w:line="501" w:lineRule="auto"/>
        <w:tabs>
          <w:tab w:leader="none" w:pos="116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 to ___________</w:t>
      </w:r>
    </w:p>
    <w:p>
      <w:pPr>
        <w:ind w:left="43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Commission file number 001-33169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153670</wp:posOffset>
            </wp:positionV>
            <wp:extent cx="2417445" cy="461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17445" cy="461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660" w:type="dxa"/>
            <w:vAlign w:val="bottom"/>
            <w:gridSpan w:val="5"/>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358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41-1967918</w:t>
            </w:r>
          </w:p>
        </w:tc>
      </w:tr>
      <w:tr>
        <w:trPr>
          <w:trHeight w:val="190"/>
        </w:trPr>
        <w:tc>
          <w:tcPr>
            <w:tcW w:w="5520" w:type="dxa"/>
            <w:vAlign w:val="bottom"/>
            <w:tcBorders>
              <w:top w:val="single" w:sz="8" w:color="auto"/>
            </w:tcBorders>
            <w:gridSpan w:val="2"/>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tcPr>
          <w:p>
            <w:pPr>
              <w:jc w:val="center"/>
              <w:ind w:right="1850"/>
              <w:spacing w:after="0" w:line="190"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60" w:type="dxa"/>
            <w:vAlign w:val="bottom"/>
            <w:gridSpan w:val="5"/>
          </w:tcPr>
          <w:p>
            <w:pPr>
              <w:jc w:val="center"/>
              <w:ind w:right="21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0"/>
        </w:trPr>
        <w:tc>
          <w:tcPr>
            <w:tcW w:w="7660" w:type="dxa"/>
            <w:vAlign w:val="bottom"/>
            <w:gridSpan w:val="5"/>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13100 Magisterial Drive, Suite 201, Louisville KY</w:t>
            </w:r>
          </w:p>
        </w:tc>
        <w:tc>
          <w:tcPr>
            <w:tcW w:w="3580" w:type="dxa"/>
            <w:vAlign w:val="bottom"/>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40223</w:t>
            </w:r>
          </w:p>
        </w:tc>
      </w:tr>
      <w:tr>
        <w:trPr>
          <w:trHeight w:val="227"/>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3580" w:type="dxa"/>
            <w:vAlign w:val="bottom"/>
            <w:tcBorders>
              <w:top w:val="single" w:sz="8" w:color="auto"/>
            </w:tcBorders>
          </w:tcPr>
          <w:p>
            <w:pPr>
              <w:jc w:val="center"/>
              <w:ind w:right="1850"/>
              <w:spacing w:after="0"/>
              <w:rPr>
                <w:sz w:val="20"/>
                <w:szCs w:val="20"/>
                <w:color w:val="auto"/>
              </w:rPr>
            </w:pPr>
            <w:r>
              <w:rPr>
                <w:rFonts w:ascii="Times New Roman" w:cs="Times New Roman" w:eastAsia="Times New Roman" w:hAnsi="Times New Roman"/>
                <w:sz w:val="18"/>
                <w:szCs w:val="18"/>
                <w:color w:val="auto"/>
              </w:rPr>
              <w:t>Zip Code</w:t>
            </w:r>
          </w:p>
        </w:tc>
      </w:tr>
      <w:tr>
        <w:trPr>
          <w:trHeight w:val="372"/>
        </w:trPr>
        <w:tc>
          <w:tcPr>
            <w:tcW w:w="5060" w:type="dxa"/>
            <w:vAlign w:val="bottom"/>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(502) 791-8800</w:t>
            </w:r>
          </w:p>
        </w:tc>
        <w:tc>
          <w:tcPr>
            <w:tcW w:w="14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6"/>
        </w:trPr>
        <w:tc>
          <w:tcPr>
            <w:tcW w:w="7660" w:type="dxa"/>
            <w:vAlign w:val="bottom"/>
            <w:gridSpan w:val="5"/>
          </w:tcPr>
          <w:p>
            <w:pPr>
              <w:jc w:val="center"/>
              <w:ind w:left="34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80" w:type="dxa"/>
            <w:vAlign w:val="bottom"/>
          </w:tcPr>
          <w:p>
            <w:pPr>
              <w:spacing w:after="0"/>
              <w:rPr>
                <w:sz w:val="20"/>
                <w:szCs w:val="20"/>
                <w:color w:val="auto"/>
              </w:rPr>
            </w:pPr>
          </w:p>
        </w:tc>
      </w:tr>
    </w:tbl>
    <w:p>
      <w:pPr>
        <w:spacing w:after="0" w:line="19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0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00" w:type="dxa"/>
            <w:vAlign w:val="bottom"/>
          </w:tcPr>
          <w:p>
            <w:pPr>
              <w:spacing w:after="0"/>
              <w:rPr>
                <w:sz w:val="20"/>
                <w:szCs w:val="20"/>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7"/>
        </w:trPr>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CREX</w:t>
            </w:r>
          </w:p>
        </w:tc>
        <w:tc>
          <w:tcPr>
            <w:tcW w:w="10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87"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4" w:lineRule="exact"/>
        <w:rPr>
          <w:sz w:val="24"/>
          <w:szCs w:val="24"/>
          <w:color w:val="auto"/>
        </w:rPr>
      </w:pPr>
    </w:p>
    <w:p>
      <w:pPr>
        <w:jc w:val="both"/>
        <w:ind w:right="100" w:firstLine="646"/>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w:t>
      </w:r>
    </w:p>
    <w:p>
      <w:pPr>
        <w:spacing w:after="0" w:line="27" w:lineRule="exact"/>
        <w:rPr>
          <w:sz w:val="24"/>
          <w:szCs w:val="24"/>
          <w:color w:val="auto"/>
        </w:rPr>
      </w:pPr>
    </w:p>
    <w:p>
      <w:pPr>
        <w:ind w:right="60"/>
        <w:spacing w:after="0" w:line="229" w:lineRule="exact"/>
        <w:rPr>
          <w:sz w:val="20"/>
          <w:szCs w:val="20"/>
          <w:color w:val="auto"/>
        </w:rPr>
      </w:pPr>
      <w:r>
        <w:rPr>
          <w:rFonts w:ascii="Times New Roman" w:cs="Times New Roman" w:eastAsia="Times New Roman" w:hAnsi="Times New Roman"/>
          <w:sz w:val="18"/>
          <w:szCs w:val="18"/>
          <w:color w:val="auto"/>
        </w:rPr>
        <w:t xml:space="preserve">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firstLine="646"/>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121" w:right="379" w:bottom="1440" w:gutter="0" w:footer="0" w:header="0"/>
        </w:sectPr>
      </w:pPr>
    </w:p>
    <w:p>
      <w:pPr>
        <w:spacing w:after="0" w:line="135" w:lineRule="exact"/>
        <w:rPr>
          <w:sz w:val="20"/>
          <w:szCs w:val="20"/>
          <w:color w:val="auto"/>
        </w:rPr>
      </w:pPr>
    </w:p>
    <w:p>
      <w:pPr>
        <w:ind w:left="6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0"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69"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4920" w:space="720"/>
            <w:col w:w="5560"/>
          </w:cols>
          <w:pgMar w:left="320" w:top="121" w:right="379" w:bottom="1440" w:gutter="0" w:footer="0" w:header="0"/>
          <w:type w:val="continuous"/>
        </w:sectPr>
      </w:pPr>
    </w:p>
    <w:p>
      <w:pPr>
        <w:spacing w:after="0" w:line="15" w:lineRule="exact"/>
        <w:rPr>
          <w:sz w:val="20"/>
          <w:szCs w:val="20"/>
          <w:color w:val="auto"/>
        </w:rPr>
      </w:pPr>
    </w:p>
    <w:p>
      <w:pPr>
        <w:ind w:right="160" w:firstLine="64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ind w:right="120" w:firstLine="646"/>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0" w:lineRule="exact"/>
        <w:rPr>
          <w:sz w:val="20"/>
          <w:szCs w:val="20"/>
          <w:color w:val="auto"/>
        </w:rPr>
      </w:pPr>
    </w:p>
    <w:p>
      <w:pPr>
        <w:ind w:right="100" w:firstLine="646"/>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100" w:firstLine="646"/>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29"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4" w:lineRule="exact"/>
        <w:rPr>
          <w:sz w:val="20"/>
          <w:szCs w:val="20"/>
          <w:color w:val="auto"/>
        </w:rPr>
      </w:pPr>
    </w:p>
    <w:p>
      <w:pPr>
        <w:jc w:val="both"/>
        <w:ind w:right="40" w:firstLine="646"/>
        <w:spacing w:after="0" w:line="265"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was $28,476,557 as of the last business day of the registrant’s most recently completed second fiscal quarter based on the closing sale price of the registrant's common stock, as reported on the Nasdaq Stock Market LLC.</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April 10, 2026, the registrant had 10,567,268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230505</wp:posOffset>
            </wp:positionV>
            <wp:extent cx="7132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648970</wp:posOffset>
            </wp:positionV>
            <wp:extent cx="7132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935"/>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20" w:type="dxa"/>
            <w:vAlign w:val="bottom"/>
            <w:gridSpan w:val="14"/>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7"/>
        </w:trPr>
        <w:tc>
          <w:tcPr>
            <w:tcW w:w="101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 RISK FACTOR SUMMARY</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0000EE"/>
                <w:w w:val="79"/>
              </w:rPr>
              <w:t>ii</w:t>
            </w:r>
          </w:p>
        </w:tc>
      </w:tr>
      <w:tr>
        <w:trPr>
          <w:trHeight w:val="410"/>
        </w:trPr>
        <w:tc>
          <w:tcPr>
            <w:tcW w:w="14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PART I</w:t>
            </w:r>
          </w:p>
        </w:tc>
        <w:tc>
          <w:tcPr>
            <w:tcW w:w="1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0"/>
        </w:trPr>
        <w:tc>
          <w:tcPr>
            <w:tcW w:w="146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87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BUSINESS</w:t>
            </w:r>
          </w:p>
        </w:tc>
        <w:tc>
          <w:tcPr>
            <w:tcW w:w="68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5"/>
        </w:trPr>
        <w:tc>
          <w:tcPr>
            <w:tcW w:w="1460" w:type="dxa"/>
            <w:vAlign w:val="bottom"/>
            <w:gridSpan w:val="8"/>
          </w:tcPr>
          <w:p>
            <w:pPr>
              <w:ind w:left="160"/>
              <w:spacing w:after="0" w:line="195" w:lineRule="exact"/>
              <w:rPr>
                <w:sz w:val="20"/>
                <w:szCs w:val="20"/>
                <w:color w:val="auto"/>
              </w:rPr>
            </w:pPr>
            <w:r>
              <w:rPr>
                <w:rFonts w:ascii="Times New Roman" w:cs="Times New Roman" w:eastAsia="Times New Roman" w:hAnsi="Times New Roman"/>
                <w:sz w:val="18"/>
                <w:szCs w:val="18"/>
                <w:color w:val="auto"/>
              </w:rPr>
              <w:t>ITEM 1A</w:t>
            </w:r>
          </w:p>
        </w:tc>
        <w:tc>
          <w:tcPr>
            <w:tcW w:w="8700" w:type="dxa"/>
            <w:vAlign w:val="bottom"/>
            <w:gridSpan w:val="26"/>
          </w:tcPr>
          <w:p>
            <w:pPr>
              <w:spacing w:after="0" w:line="195" w:lineRule="exact"/>
              <w:rPr>
                <w:sz w:val="20"/>
                <w:szCs w:val="20"/>
                <w:color w:val="auto"/>
              </w:rPr>
            </w:pPr>
            <w:r>
              <w:rPr>
                <w:rFonts w:ascii="Times New Roman" w:cs="Times New Roman" w:eastAsia="Times New Roman" w:hAnsi="Times New Roman"/>
                <w:sz w:val="18"/>
                <w:szCs w:val="18"/>
                <w:color w:val="0000EE"/>
              </w:rPr>
              <w:t>RISK FACTORS</w:t>
            </w:r>
          </w:p>
        </w:tc>
        <w:tc>
          <w:tcPr>
            <w:tcW w:w="680" w:type="dxa"/>
            <w:vAlign w:val="bottom"/>
            <w:gridSpan w:val="3"/>
          </w:tcPr>
          <w:p>
            <w:pPr>
              <w:jc w:val="center"/>
              <w:ind w:left="390"/>
              <w:spacing w:after="0" w:line="195" w:lineRule="exact"/>
              <w:rPr>
                <w:sz w:val="20"/>
                <w:szCs w:val="20"/>
                <w:color w:val="auto"/>
              </w:rPr>
            </w:pPr>
            <w:r>
              <w:rPr>
                <w:rFonts w:ascii="Times New Roman" w:cs="Times New Roman" w:eastAsia="Times New Roman" w:hAnsi="Times New Roman"/>
                <w:sz w:val="18"/>
                <w:szCs w:val="18"/>
                <w:color w:val="0000EE"/>
                <w:w w:val="88"/>
              </w:rPr>
              <w:t>6</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5"/>
        </w:trPr>
        <w:tc>
          <w:tcPr>
            <w:tcW w:w="1460" w:type="dxa"/>
            <w:vAlign w:val="bottom"/>
            <w:gridSpan w:val="8"/>
          </w:tcPr>
          <w:p>
            <w:pPr>
              <w:ind w:left="160"/>
              <w:spacing w:after="0" w:line="195" w:lineRule="exact"/>
              <w:rPr>
                <w:sz w:val="20"/>
                <w:szCs w:val="20"/>
                <w:color w:val="auto"/>
              </w:rPr>
            </w:pPr>
            <w:r>
              <w:rPr>
                <w:rFonts w:ascii="Times New Roman" w:cs="Times New Roman" w:eastAsia="Times New Roman" w:hAnsi="Times New Roman"/>
                <w:sz w:val="18"/>
                <w:szCs w:val="18"/>
                <w:color w:val="auto"/>
              </w:rPr>
              <w:t>ITEM 1B</w:t>
            </w:r>
          </w:p>
        </w:tc>
        <w:tc>
          <w:tcPr>
            <w:tcW w:w="8700" w:type="dxa"/>
            <w:vAlign w:val="bottom"/>
            <w:gridSpan w:val="26"/>
          </w:tcPr>
          <w:p>
            <w:pPr>
              <w:spacing w:after="0" w:line="195" w:lineRule="exact"/>
              <w:rPr>
                <w:sz w:val="20"/>
                <w:szCs w:val="20"/>
                <w:color w:val="auto"/>
              </w:rPr>
            </w:pPr>
            <w:r>
              <w:rPr>
                <w:rFonts w:ascii="Times New Roman" w:cs="Times New Roman" w:eastAsia="Times New Roman" w:hAnsi="Times New Roman"/>
                <w:sz w:val="18"/>
                <w:szCs w:val="18"/>
                <w:color w:val="0000EE"/>
              </w:rPr>
              <w:t>UNRESOLVED STAFF COMMENTS</w:t>
            </w:r>
          </w:p>
        </w:tc>
        <w:tc>
          <w:tcPr>
            <w:tcW w:w="700" w:type="dxa"/>
            <w:vAlign w:val="bottom"/>
            <w:gridSpan w:val="4"/>
          </w:tcPr>
          <w:p>
            <w:pPr>
              <w:jc w:val="center"/>
              <w:ind w:left="390"/>
              <w:spacing w:after="0" w:line="195" w:lineRule="exact"/>
              <w:rPr>
                <w:sz w:val="20"/>
                <w:szCs w:val="20"/>
                <w:color w:val="auto"/>
              </w:rPr>
            </w:pPr>
            <w:r>
              <w:rPr>
                <w:rFonts w:ascii="Times New Roman" w:cs="Times New Roman" w:eastAsia="Times New Roman" w:hAnsi="Times New Roman"/>
                <w:sz w:val="18"/>
                <w:szCs w:val="18"/>
                <w:color w:val="0000EE"/>
                <w:w w:val="99"/>
              </w:rPr>
              <w:t>18</w:t>
            </w:r>
          </w:p>
        </w:tc>
        <w:tc>
          <w:tcPr>
            <w:tcW w:w="380" w:type="dxa"/>
            <w:vAlign w:val="bottom"/>
          </w:tcPr>
          <w:p>
            <w:pPr>
              <w:spacing w:after="0"/>
              <w:rPr>
                <w:sz w:val="16"/>
                <w:szCs w:val="16"/>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5"/>
        </w:trPr>
        <w:tc>
          <w:tcPr>
            <w:tcW w:w="1460" w:type="dxa"/>
            <w:vAlign w:val="bottom"/>
            <w:gridSpan w:val="8"/>
          </w:tcPr>
          <w:p>
            <w:pPr>
              <w:ind w:left="160"/>
              <w:spacing w:after="0" w:line="195" w:lineRule="exact"/>
              <w:rPr>
                <w:sz w:val="20"/>
                <w:szCs w:val="20"/>
                <w:color w:val="auto"/>
              </w:rPr>
            </w:pPr>
            <w:r>
              <w:rPr>
                <w:rFonts w:ascii="Times New Roman" w:cs="Times New Roman" w:eastAsia="Times New Roman" w:hAnsi="Times New Roman"/>
                <w:sz w:val="18"/>
                <w:szCs w:val="18"/>
                <w:color w:val="auto"/>
              </w:rPr>
              <w:t>ITEM 1C</w:t>
            </w:r>
          </w:p>
        </w:tc>
        <w:tc>
          <w:tcPr>
            <w:tcW w:w="148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EE"/>
                <w:w w:val="98"/>
              </w:rPr>
              <w:t>CYBERSECURITY</w:t>
            </w:r>
          </w:p>
        </w:tc>
        <w:tc>
          <w:tcPr>
            <w:tcW w:w="1320" w:type="dxa"/>
            <w:vAlign w:val="bottom"/>
            <w:gridSpan w:val="5"/>
          </w:tcPr>
          <w:p>
            <w:pPr>
              <w:spacing w:after="0"/>
              <w:rPr>
                <w:sz w:val="16"/>
                <w:szCs w:val="16"/>
                <w:color w:val="auto"/>
              </w:rPr>
            </w:pPr>
          </w:p>
        </w:tc>
        <w:tc>
          <w:tcPr>
            <w:tcW w:w="5900" w:type="dxa"/>
            <w:vAlign w:val="bottom"/>
            <w:gridSpan w:val="15"/>
          </w:tcPr>
          <w:p>
            <w:pPr>
              <w:spacing w:after="0"/>
              <w:rPr>
                <w:sz w:val="16"/>
                <w:szCs w:val="16"/>
                <w:color w:val="auto"/>
              </w:rPr>
            </w:pPr>
          </w:p>
        </w:tc>
        <w:tc>
          <w:tcPr>
            <w:tcW w:w="700" w:type="dxa"/>
            <w:vAlign w:val="bottom"/>
            <w:gridSpan w:val="4"/>
          </w:tcPr>
          <w:p>
            <w:pPr>
              <w:jc w:val="center"/>
              <w:ind w:left="390"/>
              <w:spacing w:after="0" w:line="195" w:lineRule="exact"/>
              <w:rPr>
                <w:sz w:val="20"/>
                <w:szCs w:val="20"/>
                <w:color w:val="auto"/>
              </w:rPr>
            </w:pPr>
            <w:r>
              <w:rPr>
                <w:rFonts w:ascii="Times New Roman" w:cs="Times New Roman" w:eastAsia="Times New Roman" w:hAnsi="Times New Roman"/>
                <w:sz w:val="18"/>
                <w:szCs w:val="18"/>
                <w:color w:val="0000EE"/>
                <w:w w:val="99"/>
              </w:rPr>
              <w:t>18</w:t>
            </w:r>
          </w:p>
        </w:tc>
        <w:tc>
          <w:tcPr>
            <w:tcW w:w="380" w:type="dxa"/>
            <w:vAlign w:val="bottom"/>
          </w:tcPr>
          <w:p>
            <w:pPr>
              <w:spacing w:after="0"/>
              <w:rPr>
                <w:sz w:val="16"/>
                <w:szCs w:val="16"/>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5"/>
        </w:trPr>
        <w:tc>
          <w:tcPr>
            <w:tcW w:w="1460" w:type="dxa"/>
            <w:vAlign w:val="bottom"/>
            <w:gridSpan w:val="8"/>
          </w:tcPr>
          <w:p>
            <w:pPr>
              <w:ind w:left="160"/>
              <w:spacing w:after="0" w:line="195" w:lineRule="exact"/>
              <w:rPr>
                <w:sz w:val="20"/>
                <w:szCs w:val="20"/>
                <w:color w:val="auto"/>
              </w:rPr>
            </w:pPr>
            <w:r>
              <w:rPr>
                <w:rFonts w:ascii="Times New Roman" w:cs="Times New Roman" w:eastAsia="Times New Roman" w:hAnsi="Times New Roman"/>
                <w:sz w:val="18"/>
                <w:szCs w:val="18"/>
                <w:color w:val="auto"/>
              </w:rPr>
              <w:t>ITEM 2</w:t>
            </w:r>
          </w:p>
        </w:tc>
        <w:tc>
          <w:tcPr>
            <w:tcW w:w="104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0000EE"/>
                <w:w w:val="94"/>
              </w:rPr>
              <w:t>PROPERTIES</w:t>
            </w:r>
          </w:p>
        </w:tc>
        <w:tc>
          <w:tcPr>
            <w:tcW w:w="440" w:type="dxa"/>
            <w:vAlign w:val="bottom"/>
            <w:gridSpan w:val="3"/>
          </w:tcPr>
          <w:p>
            <w:pPr>
              <w:spacing w:after="0"/>
              <w:rPr>
                <w:sz w:val="16"/>
                <w:szCs w:val="16"/>
                <w:color w:val="auto"/>
              </w:rPr>
            </w:pPr>
          </w:p>
        </w:tc>
        <w:tc>
          <w:tcPr>
            <w:tcW w:w="7220" w:type="dxa"/>
            <w:vAlign w:val="bottom"/>
            <w:gridSpan w:val="20"/>
          </w:tcPr>
          <w:p>
            <w:pPr>
              <w:spacing w:after="0"/>
              <w:rPr>
                <w:sz w:val="16"/>
                <w:szCs w:val="16"/>
                <w:color w:val="auto"/>
              </w:rPr>
            </w:pPr>
          </w:p>
        </w:tc>
        <w:tc>
          <w:tcPr>
            <w:tcW w:w="700" w:type="dxa"/>
            <w:vAlign w:val="bottom"/>
            <w:gridSpan w:val="4"/>
          </w:tcPr>
          <w:p>
            <w:pPr>
              <w:jc w:val="center"/>
              <w:ind w:left="390"/>
              <w:spacing w:after="0" w:line="195" w:lineRule="exact"/>
              <w:rPr>
                <w:sz w:val="20"/>
                <w:szCs w:val="20"/>
                <w:color w:val="auto"/>
              </w:rPr>
            </w:pPr>
            <w:r>
              <w:rPr>
                <w:rFonts w:ascii="Times New Roman" w:cs="Times New Roman" w:eastAsia="Times New Roman" w:hAnsi="Times New Roman"/>
                <w:sz w:val="18"/>
                <w:szCs w:val="18"/>
                <w:color w:val="0000EE"/>
                <w:w w:val="99"/>
              </w:rPr>
              <w:t>19</w:t>
            </w:r>
          </w:p>
        </w:tc>
        <w:tc>
          <w:tcPr>
            <w:tcW w:w="380" w:type="dxa"/>
            <w:vAlign w:val="bottom"/>
          </w:tcPr>
          <w:p>
            <w:pPr>
              <w:spacing w:after="0"/>
              <w:rPr>
                <w:sz w:val="16"/>
                <w:szCs w:val="16"/>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5"/>
        </w:trPr>
        <w:tc>
          <w:tcPr>
            <w:tcW w:w="1460" w:type="dxa"/>
            <w:vAlign w:val="bottom"/>
            <w:gridSpan w:val="8"/>
          </w:tcPr>
          <w:p>
            <w:pPr>
              <w:ind w:left="160"/>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8700" w:type="dxa"/>
            <w:vAlign w:val="bottom"/>
            <w:gridSpan w:val="26"/>
          </w:tcPr>
          <w:p>
            <w:pPr>
              <w:spacing w:after="0" w:line="195" w:lineRule="exact"/>
              <w:rPr>
                <w:sz w:val="20"/>
                <w:szCs w:val="20"/>
                <w:color w:val="auto"/>
              </w:rPr>
            </w:pPr>
            <w:r>
              <w:rPr>
                <w:rFonts w:ascii="Times New Roman" w:cs="Times New Roman" w:eastAsia="Times New Roman" w:hAnsi="Times New Roman"/>
                <w:sz w:val="18"/>
                <w:szCs w:val="18"/>
                <w:color w:val="0000EE"/>
              </w:rPr>
              <w:t>LEGAL PROCEEDINGS</w:t>
            </w:r>
          </w:p>
        </w:tc>
        <w:tc>
          <w:tcPr>
            <w:tcW w:w="700" w:type="dxa"/>
            <w:vAlign w:val="bottom"/>
            <w:gridSpan w:val="4"/>
          </w:tcPr>
          <w:p>
            <w:pPr>
              <w:jc w:val="center"/>
              <w:ind w:left="390"/>
              <w:spacing w:after="0" w:line="195" w:lineRule="exact"/>
              <w:rPr>
                <w:sz w:val="20"/>
                <w:szCs w:val="20"/>
                <w:color w:val="auto"/>
              </w:rPr>
            </w:pPr>
            <w:r>
              <w:rPr>
                <w:rFonts w:ascii="Times New Roman" w:cs="Times New Roman" w:eastAsia="Times New Roman" w:hAnsi="Times New Roman"/>
                <w:sz w:val="18"/>
                <w:szCs w:val="18"/>
                <w:color w:val="0000EE"/>
                <w:w w:val="99"/>
              </w:rPr>
              <w:t>19</w:t>
            </w:r>
          </w:p>
        </w:tc>
        <w:tc>
          <w:tcPr>
            <w:tcW w:w="380" w:type="dxa"/>
            <w:vAlign w:val="bottom"/>
          </w:tcPr>
          <w:p>
            <w:pPr>
              <w:spacing w:after="0"/>
              <w:rPr>
                <w:sz w:val="16"/>
                <w:szCs w:val="16"/>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5"/>
        </w:trPr>
        <w:tc>
          <w:tcPr>
            <w:tcW w:w="1460" w:type="dxa"/>
            <w:vAlign w:val="bottom"/>
            <w:gridSpan w:val="8"/>
          </w:tcPr>
          <w:p>
            <w:pPr>
              <w:ind w:left="160"/>
              <w:spacing w:after="0" w:line="195" w:lineRule="exact"/>
              <w:rPr>
                <w:sz w:val="20"/>
                <w:szCs w:val="20"/>
                <w:color w:val="auto"/>
              </w:rPr>
            </w:pPr>
            <w:r>
              <w:rPr>
                <w:rFonts w:ascii="Times New Roman" w:cs="Times New Roman" w:eastAsia="Times New Roman" w:hAnsi="Times New Roman"/>
                <w:sz w:val="18"/>
                <w:szCs w:val="18"/>
                <w:color w:val="auto"/>
              </w:rPr>
              <w:t>ITEM 4</w:t>
            </w:r>
          </w:p>
        </w:tc>
        <w:tc>
          <w:tcPr>
            <w:tcW w:w="8700" w:type="dxa"/>
            <w:vAlign w:val="bottom"/>
            <w:gridSpan w:val="26"/>
          </w:tcPr>
          <w:p>
            <w:pPr>
              <w:spacing w:after="0" w:line="195" w:lineRule="exact"/>
              <w:rPr>
                <w:sz w:val="20"/>
                <w:szCs w:val="20"/>
                <w:color w:val="auto"/>
              </w:rPr>
            </w:pPr>
            <w:r>
              <w:rPr>
                <w:rFonts w:ascii="Times New Roman" w:cs="Times New Roman" w:eastAsia="Times New Roman" w:hAnsi="Times New Roman"/>
                <w:sz w:val="18"/>
                <w:szCs w:val="18"/>
                <w:color w:val="0000EE"/>
              </w:rPr>
              <w:t>MINE SAFETY DISCLOSURES</w:t>
            </w:r>
          </w:p>
        </w:tc>
        <w:tc>
          <w:tcPr>
            <w:tcW w:w="700" w:type="dxa"/>
            <w:vAlign w:val="bottom"/>
            <w:gridSpan w:val="4"/>
          </w:tcPr>
          <w:p>
            <w:pPr>
              <w:jc w:val="center"/>
              <w:ind w:left="390"/>
              <w:spacing w:after="0" w:line="195" w:lineRule="exact"/>
              <w:rPr>
                <w:sz w:val="20"/>
                <w:szCs w:val="20"/>
                <w:color w:val="auto"/>
              </w:rPr>
            </w:pPr>
            <w:r>
              <w:rPr>
                <w:rFonts w:ascii="Times New Roman" w:cs="Times New Roman" w:eastAsia="Times New Roman" w:hAnsi="Times New Roman"/>
                <w:sz w:val="18"/>
                <w:szCs w:val="18"/>
                <w:color w:val="0000EE"/>
                <w:w w:val="99"/>
              </w:rPr>
              <w:t>19</w:t>
            </w:r>
          </w:p>
        </w:tc>
        <w:tc>
          <w:tcPr>
            <w:tcW w:w="380" w:type="dxa"/>
            <w:vAlign w:val="bottom"/>
          </w:tcPr>
          <w:p>
            <w:pPr>
              <w:spacing w:after="0"/>
              <w:rPr>
                <w:sz w:val="16"/>
                <w:szCs w:val="16"/>
                <w:color w:val="auto"/>
              </w:rPr>
            </w:pPr>
          </w:p>
        </w:tc>
      </w:tr>
      <w:tr>
        <w:trPr>
          <w:trHeight w:val="410"/>
        </w:trPr>
        <w:tc>
          <w:tcPr>
            <w:tcW w:w="14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PART II</w:t>
            </w:r>
          </w:p>
        </w:tc>
        <w:tc>
          <w:tcPr>
            <w:tcW w:w="1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0"/>
        </w:trPr>
        <w:tc>
          <w:tcPr>
            <w:tcW w:w="146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ITEM 5</w:t>
            </w:r>
          </w:p>
        </w:tc>
        <w:tc>
          <w:tcPr>
            <w:tcW w:w="824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8"/>
              </w:rPr>
              <w:t>MARKET FOR REGISTRANT’S COMMON EQUITY, RELATED STOCKHOLDER MATTERS AND ISSUER</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5"/>
        </w:trPr>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540" w:type="dxa"/>
            <w:vAlign w:val="bottom"/>
            <w:gridSpan w:val="25"/>
          </w:tcPr>
          <w:p>
            <w:pPr>
              <w:spacing w:after="0" w:line="195" w:lineRule="exact"/>
              <w:rPr>
                <w:sz w:val="20"/>
                <w:szCs w:val="20"/>
                <w:color w:val="auto"/>
              </w:rPr>
            </w:pPr>
            <w:r>
              <w:rPr>
                <w:rFonts w:ascii="Times New Roman" w:cs="Times New Roman" w:eastAsia="Times New Roman" w:hAnsi="Times New Roman"/>
                <w:sz w:val="18"/>
                <w:szCs w:val="18"/>
                <w:color w:val="0000EE"/>
              </w:rPr>
              <w:t>PURCHASES OF EQUITY SECURITIES</w:t>
            </w:r>
          </w:p>
        </w:tc>
        <w:tc>
          <w:tcPr>
            <w:tcW w:w="700" w:type="dxa"/>
            <w:vAlign w:val="bottom"/>
            <w:gridSpan w:val="4"/>
          </w:tcPr>
          <w:p>
            <w:pPr>
              <w:jc w:val="center"/>
              <w:ind w:left="390"/>
              <w:spacing w:after="0" w:line="195" w:lineRule="exact"/>
              <w:rPr>
                <w:sz w:val="20"/>
                <w:szCs w:val="20"/>
                <w:color w:val="auto"/>
              </w:rPr>
            </w:pPr>
            <w:r>
              <w:rPr>
                <w:rFonts w:ascii="Times New Roman" w:cs="Times New Roman" w:eastAsia="Times New Roman" w:hAnsi="Times New Roman"/>
                <w:sz w:val="18"/>
                <w:szCs w:val="18"/>
                <w:color w:val="0000EE"/>
                <w:w w:val="99"/>
              </w:rPr>
              <w:t>19</w:t>
            </w:r>
          </w:p>
        </w:tc>
        <w:tc>
          <w:tcPr>
            <w:tcW w:w="380" w:type="dxa"/>
            <w:vAlign w:val="bottom"/>
          </w:tcPr>
          <w:p>
            <w:pPr>
              <w:spacing w:after="0"/>
              <w:rPr>
                <w:sz w:val="16"/>
                <w:szCs w:val="16"/>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5"/>
        </w:trPr>
        <w:tc>
          <w:tcPr>
            <w:tcW w:w="1460" w:type="dxa"/>
            <w:vAlign w:val="bottom"/>
            <w:gridSpan w:val="8"/>
          </w:tcPr>
          <w:p>
            <w:pPr>
              <w:ind w:left="160"/>
              <w:spacing w:after="0" w:line="195" w:lineRule="exact"/>
              <w:rPr>
                <w:sz w:val="20"/>
                <w:szCs w:val="20"/>
                <w:color w:val="auto"/>
              </w:rPr>
            </w:pPr>
            <w:r>
              <w:rPr>
                <w:rFonts w:ascii="Times New Roman" w:cs="Times New Roman" w:eastAsia="Times New Roman" w:hAnsi="Times New Roman"/>
                <w:sz w:val="18"/>
                <w:szCs w:val="18"/>
                <w:color w:val="auto"/>
              </w:rPr>
              <w:t>ITEM 6</w:t>
            </w:r>
          </w:p>
        </w:tc>
        <w:tc>
          <w:tcPr>
            <w:tcW w:w="104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0000EE"/>
                <w:w w:val="95"/>
              </w:rPr>
              <w:t>[RESERVED]</w:t>
            </w:r>
          </w:p>
        </w:tc>
        <w:tc>
          <w:tcPr>
            <w:tcW w:w="7660" w:type="dxa"/>
            <w:vAlign w:val="bottom"/>
            <w:gridSpan w:val="23"/>
          </w:tcPr>
          <w:p>
            <w:pPr>
              <w:spacing w:after="0"/>
              <w:rPr>
                <w:sz w:val="16"/>
                <w:szCs w:val="16"/>
                <w:color w:val="auto"/>
              </w:rPr>
            </w:pPr>
          </w:p>
        </w:tc>
        <w:tc>
          <w:tcPr>
            <w:tcW w:w="700" w:type="dxa"/>
            <w:vAlign w:val="bottom"/>
            <w:gridSpan w:val="4"/>
          </w:tcPr>
          <w:p>
            <w:pPr>
              <w:jc w:val="center"/>
              <w:ind w:left="390"/>
              <w:spacing w:after="0" w:line="195" w:lineRule="exact"/>
              <w:rPr>
                <w:sz w:val="20"/>
                <w:szCs w:val="20"/>
                <w:color w:val="auto"/>
              </w:rPr>
            </w:pPr>
            <w:r>
              <w:rPr>
                <w:rFonts w:ascii="Times New Roman" w:cs="Times New Roman" w:eastAsia="Times New Roman" w:hAnsi="Times New Roman"/>
                <w:sz w:val="18"/>
                <w:szCs w:val="18"/>
                <w:color w:val="0000EE"/>
                <w:w w:val="99"/>
              </w:rPr>
              <w:t>20</w:t>
            </w:r>
          </w:p>
        </w:tc>
        <w:tc>
          <w:tcPr>
            <w:tcW w:w="380" w:type="dxa"/>
            <w:vAlign w:val="bottom"/>
          </w:tcPr>
          <w:p>
            <w:pPr>
              <w:spacing w:after="0"/>
              <w:rPr>
                <w:sz w:val="16"/>
                <w:szCs w:val="16"/>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5"/>
        </w:trPr>
        <w:tc>
          <w:tcPr>
            <w:tcW w:w="1460" w:type="dxa"/>
            <w:vAlign w:val="bottom"/>
            <w:gridSpan w:val="8"/>
          </w:tcPr>
          <w:p>
            <w:pPr>
              <w:ind w:left="160"/>
              <w:spacing w:after="0" w:line="195" w:lineRule="exact"/>
              <w:rPr>
                <w:sz w:val="20"/>
                <w:szCs w:val="20"/>
                <w:color w:val="auto"/>
              </w:rPr>
            </w:pPr>
            <w:r>
              <w:rPr>
                <w:rFonts w:ascii="Times New Roman" w:cs="Times New Roman" w:eastAsia="Times New Roman" w:hAnsi="Times New Roman"/>
                <w:sz w:val="18"/>
                <w:szCs w:val="18"/>
                <w:color w:val="auto"/>
              </w:rPr>
              <w:t>ITEM 7</w:t>
            </w:r>
          </w:p>
        </w:tc>
        <w:tc>
          <w:tcPr>
            <w:tcW w:w="8700" w:type="dxa"/>
            <w:vAlign w:val="bottom"/>
            <w:gridSpan w:val="26"/>
          </w:tcPr>
          <w:p>
            <w:pPr>
              <w:spacing w:after="0" w:line="195"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95"/>
        </w:trPr>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100" w:type="dxa"/>
            <w:vAlign w:val="bottom"/>
            <w:tcBorders>
              <w:top w:val="single" w:sz="8" w:color="0000EE"/>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EE"/>
                <w:w w:val="96"/>
              </w:rPr>
              <w:t>OPERATIONS</w:t>
            </w:r>
          </w:p>
        </w:tc>
        <w:tc>
          <w:tcPr>
            <w:tcW w:w="6480" w:type="dxa"/>
            <w:vAlign w:val="bottom"/>
            <w:tcBorders>
              <w:top w:val="single" w:sz="8" w:color="0000EE"/>
            </w:tcBorders>
            <w:gridSpan w:val="17"/>
          </w:tcPr>
          <w:p>
            <w:pPr>
              <w:spacing w:after="0"/>
              <w:rPr>
                <w:sz w:val="16"/>
                <w:szCs w:val="16"/>
                <w:color w:val="auto"/>
              </w:rPr>
            </w:pPr>
          </w:p>
        </w:tc>
        <w:tc>
          <w:tcPr>
            <w:tcW w:w="960" w:type="dxa"/>
            <w:vAlign w:val="bottom"/>
            <w:gridSpan w:val="4"/>
          </w:tcPr>
          <w:p>
            <w:pPr>
              <w:spacing w:after="0"/>
              <w:rPr>
                <w:sz w:val="16"/>
                <w:szCs w:val="16"/>
                <w:color w:val="auto"/>
              </w:rPr>
            </w:pPr>
          </w:p>
        </w:tc>
        <w:tc>
          <w:tcPr>
            <w:tcW w:w="700" w:type="dxa"/>
            <w:vAlign w:val="bottom"/>
            <w:gridSpan w:val="4"/>
          </w:tcPr>
          <w:p>
            <w:pPr>
              <w:jc w:val="center"/>
              <w:ind w:left="390"/>
              <w:spacing w:after="0" w:line="195" w:lineRule="exact"/>
              <w:rPr>
                <w:sz w:val="20"/>
                <w:szCs w:val="20"/>
                <w:color w:val="auto"/>
              </w:rPr>
            </w:pPr>
            <w:r>
              <w:rPr>
                <w:rFonts w:ascii="Times New Roman" w:cs="Times New Roman" w:eastAsia="Times New Roman" w:hAnsi="Times New Roman"/>
                <w:sz w:val="18"/>
                <w:szCs w:val="18"/>
                <w:color w:val="0000EE"/>
                <w:w w:val="99"/>
              </w:rPr>
              <w:t>20</w:t>
            </w:r>
          </w:p>
        </w:tc>
        <w:tc>
          <w:tcPr>
            <w:tcW w:w="380" w:type="dxa"/>
            <w:vAlign w:val="bottom"/>
          </w:tcPr>
          <w:p>
            <w:pPr>
              <w:spacing w:after="0"/>
              <w:rPr>
                <w:sz w:val="16"/>
                <w:szCs w:val="16"/>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5"/>
        </w:trPr>
        <w:tc>
          <w:tcPr>
            <w:tcW w:w="1460" w:type="dxa"/>
            <w:vAlign w:val="bottom"/>
            <w:gridSpan w:val="8"/>
          </w:tcPr>
          <w:p>
            <w:pPr>
              <w:ind w:left="160"/>
              <w:spacing w:after="0" w:line="195" w:lineRule="exact"/>
              <w:rPr>
                <w:sz w:val="20"/>
                <w:szCs w:val="20"/>
                <w:color w:val="auto"/>
              </w:rPr>
            </w:pPr>
            <w:r>
              <w:rPr>
                <w:rFonts w:ascii="Times New Roman" w:cs="Times New Roman" w:eastAsia="Times New Roman" w:hAnsi="Times New Roman"/>
                <w:sz w:val="18"/>
                <w:szCs w:val="18"/>
                <w:color w:val="auto"/>
              </w:rPr>
              <w:t>ITEM 7A</w:t>
            </w:r>
          </w:p>
        </w:tc>
        <w:tc>
          <w:tcPr>
            <w:tcW w:w="6120" w:type="dxa"/>
            <w:vAlign w:val="bottom"/>
            <w:gridSpan w:val="18"/>
          </w:tcPr>
          <w:p>
            <w:pPr>
              <w:spacing w:after="0" w:line="195"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2580" w:type="dxa"/>
            <w:vAlign w:val="bottom"/>
            <w:gridSpan w:val="8"/>
          </w:tcPr>
          <w:p>
            <w:pPr>
              <w:spacing w:after="0"/>
              <w:rPr>
                <w:sz w:val="16"/>
                <w:szCs w:val="16"/>
                <w:color w:val="auto"/>
              </w:rPr>
            </w:pPr>
          </w:p>
        </w:tc>
        <w:tc>
          <w:tcPr>
            <w:tcW w:w="700" w:type="dxa"/>
            <w:vAlign w:val="bottom"/>
            <w:gridSpan w:val="4"/>
          </w:tcPr>
          <w:p>
            <w:pPr>
              <w:jc w:val="center"/>
              <w:ind w:left="390"/>
              <w:spacing w:after="0" w:line="195" w:lineRule="exact"/>
              <w:rPr>
                <w:sz w:val="20"/>
                <w:szCs w:val="20"/>
                <w:color w:val="auto"/>
              </w:rPr>
            </w:pPr>
            <w:r>
              <w:rPr>
                <w:rFonts w:ascii="Times New Roman" w:cs="Times New Roman" w:eastAsia="Times New Roman" w:hAnsi="Times New Roman"/>
                <w:sz w:val="18"/>
                <w:szCs w:val="18"/>
                <w:color w:val="0000EE"/>
                <w:w w:val="99"/>
              </w:rPr>
              <w:t>28</w:t>
            </w:r>
          </w:p>
        </w:tc>
        <w:tc>
          <w:tcPr>
            <w:tcW w:w="380" w:type="dxa"/>
            <w:vAlign w:val="bottom"/>
          </w:tcPr>
          <w:p>
            <w:pPr>
              <w:spacing w:after="0"/>
              <w:rPr>
                <w:sz w:val="16"/>
                <w:szCs w:val="16"/>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5"/>
        </w:trPr>
        <w:tc>
          <w:tcPr>
            <w:tcW w:w="1460" w:type="dxa"/>
            <w:vAlign w:val="bottom"/>
            <w:gridSpan w:val="8"/>
          </w:tcPr>
          <w:p>
            <w:pPr>
              <w:ind w:left="160"/>
              <w:spacing w:after="0" w:line="195" w:lineRule="exact"/>
              <w:rPr>
                <w:sz w:val="20"/>
                <w:szCs w:val="20"/>
                <w:color w:val="auto"/>
              </w:rPr>
            </w:pPr>
            <w:r>
              <w:rPr>
                <w:rFonts w:ascii="Times New Roman" w:cs="Times New Roman" w:eastAsia="Times New Roman" w:hAnsi="Times New Roman"/>
                <w:sz w:val="18"/>
                <w:szCs w:val="18"/>
                <w:color w:val="auto"/>
              </w:rPr>
              <w:t>ITEM 8</w:t>
            </w:r>
          </w:p>
        </w:tc>
        <w:tc>
          <w:tcPr>
            <w:tcW w:w="464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EE"/>
                <w:w w:val="97"/>
              </w:rPr>
              <w:t>FINANCIAL STATEMENTS AND SUPPLEMENTARY DATA</w:t>
            </w:r>
          </w:p>
        </w:tc>
        <w:tc>
          <w:tcPr>
            <w:tcW w:w="1480" w:type="dxa"/>
            <w:vAlign w:val="bottom"/>
            <w:gridSpan w:val="2"/>
          </w:tcPr>
          <w:p>
            <w:pPr>
              <w:spacing w:after="0"/>
              <w:rPr>
                <w:sz w:val="16"/>
                <w:szCs w:val="16"/>
                <w:color w:val="auto"/>
              </w:rPr>
            </w:pPr>
          </w:p>
        </w:tc>
        <w:tc>
          <w:tcPr>
            <w:tcW w:w="2580" w:type="dxa"/>
            <w:vAlign w:val="bottom"/>
            <w:gridSpan w:val="8"/>
          </w:tcPr>
          <w:p>
            <w:pPr>
              <w:spacing w:after="0"/>
              <w:rPr>
                <w:sz w:val="16"/>
                <w:szCs w:val="16"/>
                <w:color w:val="auto"/>
              </w:rPr>
            </w:pPr>
          </w:p>
        </w:tc>
        <w:tc>
          <w:tcPr>
            <w:tcW w:w="700" w:type="dxa"/>
            <w:vAlign w:val="bottom"/>
            <w:gridSpan w:val="4"/>
          </w:tcPr>
          <w:p>
            <w:pPr>
              <w:jc w:val="center"/>
              <w:ind w:left="390"/>
              <w:spacing w:after="0" w:line="195" w:lineRule="exact"/>
              <w:rPr>
                <w:sz w:val="20"/>
                <w:szCs w:val="20"/>
                <w:color w:val="auto"/>
              </w:rPr>
            </w:pPr>
            <w:r>
              <w:rPr>
                <w:rFonts w:ascii="Times New Roman" w:cs="Times New Roman" w:eastAsia="Times New Roman" w:hAnsi="Times New Roman"/>
                <w:sz w:val="18"/>
                <w:szCs w:val="18"/>
                <w:color w:val="0000EE"/>
                <w:w w:val="99"/>
              </w:rPr>
              <w:t>28</w:t>
            </w:r>
          </w:p>
        </w:tc>
        <w:tc>
          <w:tcPr>
            <w:tcW w:w="380" w:type="dxa"/>
            <w:vAlign w:val="bottom"/>
          </w:tcPr>
          <w:p>
            <w:pPr>
              <w:spacing w:after="0"/>
              <w:rPr>
                <w:sz w:val="16"/>
                <w:szCs w:val="16"/>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5"/>
        </w:trPr>
        <w:tc>
          <w:tcPr>
            <w:tcW w:w="1460" w:type="dxa"/>
            <w:vAlign w:val="bottom"/>
            <w:gridSpan w:val="8"/>
          </w:tcPr>
          <w:p>
            <w:pPr>
              <w:ind w:left="160"/>
              <w:spacing w:after="0" w:line="195" w:lineRule="exact"/>
              <w:rPr>
                <w:sz w:val="20"/>
                <w:szCs w:val="20"/>
                <w:color w:val="auto"/>
              </w:rPr>
            </w:pPr>
            <w:r>
              <w:rPr>
                <w:rFonts w:ascii="Times New Roman" w:cs="Times New Roman" w:eastAsia="Times New Roman" w:hAnsi="Times New Roman"/>
                <w:sz w:val="18"/>
                <w:szCs w:val="18"/>
                <w:color w:val="auto"/>
              </w:rPr>
              <w:t>ITEM 9</w:t>
            </w:r>
          </w:p>
        </w:tc>
        <w:tc>
          <w:tcPr>
            <w:tcW w:w="8700" w:type="dxa"/>
            <w:vAlign w:val="bottom"/>
            <w:gridSpan w:val="26"/>
          </w:tcPr>
          <w:p>
            <w:pPr>
              <w:spacing w:after="0" w:line="195"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95"/>
        </w:trPr>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7740" w:type="dxa"/>
            <w:vAlign w:val="bottom"/>
            <w:tcBorders>
              <w:top w:val="single" w:sz="8" w:color="0000EE"/>
            </w:tcBorders>
            <w:gridSpan w:val="22"/>
          </w:tcPr>
          <w:p>
            <w:pPr>
              <w:spacing w:after="0" w:line="195" w:lineRule="exact"/>
              <w:rPr>
                <w:sz w:val="20"/>
                <w:szCs w:val="20"/>
                <w:color w:val="auto"/>
              </w:rPr>
            </w:pPr>
            <w:r>
              <w:rPr>
                <w:rFonts w:ascii="Times New Roman" w:cs="Times New Roman" w:eastAsia="Times New Roman" w:hAnsi="Times New Roman"/>
                <w:sz w:val="18"/>
                <w:szCs w:val="18"/>
                <w:color w:val="0000EE"/>
              </w:rPr>
              <w:t>DISCLOSURE</w:t>
            </w:r>
          </w:p>
        </w:tc>
        <w:tc>
          <w:tcPr>
            <w:tcW w:w="800" w:type="dxa"/>
            <w:vAlign w:val="bottom"/>
            <w:gridSpan w:val="3"/>
          </w:tcPr>
          <w:p>
            <w:pPr>
              <w:spacing w:after="0"/>
              <w:rPr>
                <w:sz w:val="16"/>
                <w:szCs w:val="16"/>
                <w:color w:val="auto"/>
              </w:rPr>
            </w:pPr>
          </w:p>
        </w:tc>
        <w:tc>
          <w:tcPr>
            <w:tcW w:w="700" w:type="dxa"/>
            <w:vAlign w:val="bottom"/>
            <w:gridSpan w:val="4"/>
          </w:tcPr>
          <w:p>
            <w:pPr>
              <w:jc w:val="center"/>
              <w:ind w:left="390"/>
              <w:spacing w:after="0" w:line="195" w:lineRule="exact"/>
              <w:rPr>
                <w:sz w:val="20"/>
                <w:szCs w:val="20"/>
                <w:color w:val="auto"/>
              </w:rPr>
            </w:pPr>
            <w:r>
              <w:rPr>
                <w:rFonts w:ascii="Times New Roman" w:cs="Times New Roman" w:eastAsia="Times New Roman" w:hAnsi="Times New Roman"/>
                <w:sz w:val="18"/>
                <w:szCs w:val="18"/>
                <w:color w:val="0000EE"/>
                <w:w w:val="99"/>
              </w:rPr>
              <w:t>29</w:t>
            </w:r>
          </w:p>
        </w:tc>
        <w:tc>
          <w:tcPr>
            <w:tcW w:w="380" w:type="dxa"/>
            <w:vAlign w:val="bottom"/>
          </w:tcPr>
          <w:p>
            <w:pPr>
              <w:spacing w:after="0"/>
              <w:rPr>
                <w:sz w:val="16"/>
                <w:szCs w:val="16"/>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5"/>
        </w:trPr>
        <w:tc>
          <w:tcPr>
            <w:tcW w:w="1460" w:type="dxa"/>
            <w:vAlign w:val="bottom"/>
            <w:gridSpan w:val="8"/>
          </w:tcPr>
          <w:p>
            <w:pPr>
              <w:ind w:left="160"/>
              <w:spacing w:after="0" w:line="195" w:lineRule="exact"/>
              <w:rPr>
                <w:sz w:val="20"/>
                <w:szCs w:val="20"/>
                <w:color w:val="auto"/>
              </w:rPr>
            </w:pPr>
            <w:r>
              <w:rPr>
                <w:rFonts w:ascii="Times New Roman" w:cs="Times New Roman" w:eastAsia="Times New Roman" w:hAnsi="Times New Roman"/>
                <w:sz w:val="18"/>
                <w:szCs w:val="18"/>
                <w:color w:val="auto"/>
              </w:rPr>
              <w:t>ITEM 9A</w:t>
            </w:r>
          </w:p>
        </w:tc>
        <w:tc>
          <w:tcPr>
            <w:tcW w:w="260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6100" w:type="dxa"/>
            <w:vAlign w:val="bottom"/>
            <w:gridSpan w:val="16"/>
          </w:tcPr>
          <w:p>
            <w:pPr>
              <w:spacing w:after="0"/>
              <w:rPr>
                <w:sz w:val="16"/>
                <w:szCs w:val="16"/>
                <w:color w:val="auto"/>
              </w:rPr>
            </w:pPr>
          </w:p>
        </w:tc>
        <w:tc>
          <w:tcPr>
            <w:tcW w:w="700" w:type="dxa"/>
            <w:vAlign w:val="bottom"/>
            <w:gridSpan w:val="4"/>
          </w:tcPr>
          <w:p>
            <w:pPr>
              <w:jc w:val="center"/>
              <w:ind w:left="390"/>
              <w:spacing w:after="0" w:line="195" w:lineRule="exact"/>
              <w:rPr>
                <w:sz w:val="20"/>
                <w:szCs w:val="20"/>
                <w:color w:val="auto"/>
              </w:rPr>
            </w:pPr>
            <w:r>
              <w:rPr>
                <w:rFonts w:ascii="Times New Roman" w:cs="Times New Roman" w:eastAsia="Times New Roman" w:hAnsi="Times New Roman"/>
                <w:sz w:val="18"/>
                <w:szCs w:val="18"/>
                <w:color w:val="0000EE"/>
                <w:w w:val="99"/>
              </w:rPr>
              <w:t>29</w:t>
            </w:r>
          </w:p>
        </w:tc>
        <w:tc>
          <w:tcPr>
            <w:tcW w:w="380" w:type="dxa"/>
            <w:vAlign w:val="bottom"/>
          </w:tcPr>
          <w:p>
            <w:pPr>
              <w:spacing w:after="0"/>
              <w:rPr>
                <w:sz w:val="16"/>
                <w:szCs w:val="16"/>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5"/>
        </w:trPr>
        <w:tc>
          <w:tcPr>
            <w:tcW w:w="1460" w:type="dxa"/>
            <w:vAlign w:val="bottom"/>
            <w:gridSpan w:val="8"/>
          </w:tcPr>
          <w:p>
            <w:pPr>
              <w:ind w:left="160"/>
              <w:spacing w:after="0" w:line="195" w:lineRule="exact"/>
              <w:rPr>
                <w:sz w:val="20"/>
                <w:szCs w:val="20"/>
                <w:color w:val="auto"/>
              </w:rPr>
            </w:pPr>
            <w:r>
              <w:rPr>
                <w:rFonts w:ascii="Times New Roman" w:cs="Times New Roman" w:eastAsia="Times New Roman" w:hAnsi="Times New Roman"/>
                <w:sz w:val="18"/>
                <w:szCs w:val="18"/>
                <w:color w:val="auto"/>
              </w:rPr>
              <w:t>ITEM 9B</w:t>
            </w:r>
          </w:p>
        </w:tc>
        <w:tc>
          <w:tcPr>
            <w:tcW w:w="186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EE"/>
                <w:w w:val="95"/>
              </w:rPr>
              <w:t>OTHER INFORMATION</w:t>
            </w:r>
          </w:p>
        </w:tc>
        <w:tc>
          <w:tcPr>
            <w:tcW w:w="740" w:type="dxa"/>
            <w:vAlign w:val="bottom"/>
            <w:gridSpan w:val="3"/>
          </w:tcPr>
          <w:p>
            <w:pPr>
              <w:spacing w:after="0"/>
              <w:rPr>
                <w:sz w:val="16"/>
                <w:szCs w:val="16"/>
                <w:color w:val="auto"/>
              </w:rPr>
            </w:pPr>
          </w:p>
        </w:tc>
        <w:tc>
          <w:tcPr>
            <w:tcW w:w="6100" w:type="dxa"/>
            <w:vAlign w:val="bottom"/>
            <w:gridSpan w:val="16"/>
          </w:tcPr>
          <w:p>
            <w:pPr>
              <w:spacing w:after="0"/>
              <w:rPr>
                <w:sz w:val="16"/>
                <w:szCs w:val="16"/>
                <w:color w:val="auto"/>
              </w:rPr>
            </w:pPr>
          </w:p>
        </w:tc>
        <w:tc>
          <w:tcPr>
            <w:tcW w:w="700" w:type="dxa"/>
            <w:vAlign w:val="bottom"/>
            <w:gridSpan w:val="4"/>
          </w:tcPr>
          <w:p>
            <w:pPr>
              <w:jc w:val="center"/>
              <w:ind w:left="390"/>
              <w:spacing w:after="0" w:line="195" w:lineRule="exact"/>
              <w:rPr>
                <w:sz w:val="20"/>
                <w:szCs w:val="20"/>
                <w:color w:val="auto"/>
              </w:rPr>
            </w:pPr>
            <w:r>
              <w:rPr>
                <w:rFonts w:ascii="Times New Roman" w:cs="Times New Roman" w:eastAsia="Times New Roman" w:hAnsi="Times New Roman"/>
                <w:sz w:val="18"/>
                <w:szCs w:val="18"/>
                <w:color w:val="0000EE"/>
                <w:w w:val="99"/>
              </w:rPr>
              <w:t>29</w:t>
            </w:r>
          </w:p>
        </w:tc>
        <w:tc>
          <w:tcPr>
            <w:tcW w:w="380" w:type="dxa"/>
            <w:vAlign w:val="bottom"/>
          </w:tcPr>
          <w:p>
            <w:pPr>
              <w:spacing w:after="0"/>
              <w:rPr>
                <w:sz w:val="16"/>
                <w:szCs w:val="16"/>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5"/>
        </w:trPr>
        <w:tc>
          <w:tcPr>
            <w:tcW w:w="1460" w:type="dxa"/>
            <w:vAlign w:val="bottom"/>
            <w:gridSpan w:val="8"/>
          </w:tcPr>
          <w:p>
            <w:pPr>
              <w:ind w:left="160"/>
              <w:spacing w:after="0" w:line="195" w:lineRule="exact"/>
              <w:rPr>
                <w:sz w:val="20"/>
                <w:szCs w:val="20"/>
                <w:color w:val="auto"/>
              </w:rPr>
            </w:pPr>
            <w:r>
              <w:rPr>
                <w:rFonts w:ascii="Times New Roman" w:cs="Times New Roman" w:eastAsia="Times New Roman" w:hAnsi="Times New Roman"/>
                <w:sz w:val="18"/>
                <w:szCs w:val="18"/>
                <w:color w:val="auto"/>
              </w:rPr>
              <w:t>ITEM 9C</w:t>
            </w:r>
          </w:p>
        </w:tc>
        <w:tc>
          <w:tcPr>
            <w:tcW w:w="8700" w:type="dxa"/>
            <w:vAlign w:val="bottom"/>
            <w:gridSpan w:val="26"/>
          </w:tcPr>
          <w:p>
            <w:pPr>
              <w:spacing w:after="0" w:line="195"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700" w:type="dxa"/>
            <w:vAlign w:val="bottom"/>
            <w:gridSpan w:val="4"/>
          </w:tcPr>
          <w:p>
            <w:pPr>
              <w:jc w:val="center"/>
              <w:ind w:left="390"/>
              <w:spacing w:after="0" w:line="195" w:lineRule="exact"/>
              <w:rPr>
                <w:sz w:val="20"/>
                <w:szCs w:val="20"/>
                <w:color w:val="auto"/>
              </w:rPr>
            </w:pPr>
            <w:r>
              <w:rPr>
                <w:rFonts w:ascii="Times New Roman" w:cs="Times New Roman" w:eastAsia="Times New Roman" w:hAnsi="Times New Roman"/>
                <w:sz w:val="18"/>
                <w:szCs w:val="18"/>
                <w:color w:val="0000EE"/>
                <w:w w:val="99"/>
              </w:rPr>
              <w:t>29</w:t>
            </w:r>
          </w:p>
        </w:tc>
        <w:tc>
          <w:tcPr>
            <w:tcW w:w="380" w:type="dxa"/>
            <w:vAlign w:val="bottom"/>
          </w:tcPr>
          <w:p>
            <w:pPr>
              <w:spacing w:after="0"/>
              <w:rPr>
                <w:sz w:val="16"/>
                <w:szCs w:val="16"/>
                <w:color w:val="auto"/>
              </w:rPr>
            </w:pPr>
          </w:p>
        </w:tc>
      </w:tr>
      <w:tr>
        <w:trPr>
          <w:trHeight w:val="410"/>
        </w:trPr>
        <w:tc>
          <w:tcPr>
            <w:tcW w:w="14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PART III</w:t>
            </w:r>
          </w:p>
        </w:tc>
        <w:tc>
          <w:tcPr>
            <w:tcW w:w="1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0"/>
        </w:trPr>
        <w:tc>
          <w:tcPr>
            <w:tcW w:w="146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ITEM 10</w:t>
            </w:r>
          </w:p>
        </w:tc>
        <w:tc>
          <w:tcPr>
            <w:tcW w:w="57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w w:val="98"/>
              </w:rPr>
              <w:t>DIRECTORS, EXECUTIVE OFFICERS AND CORPORATE GOVERNANCE</w:t>
            </w:r>
          </w:p>
        </w:tc>
        <w:tc>
          <w:tcPr>
            <w:tcW w:w="2920" w:type="dxa"/>
            <w:vAlign w:val="bottom"/>
            <w:gridSpan w:val="9"/>
          </w:tcPr>
          <w:p>
            <w:pPr>
              <w:spacing w:after="0"/>
              <w:rPr>
                <w:sz w:val="24"/>
                <w:szCs w:val="24"/>
                <w:color w:val="auto"/>
              </w:rPr>
            </w:pPr>
          </w:p>
        </w:tc>
        <w:tc>
          <w:tcPr>
            <w:tcW w:w="70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color w:val="0000EE"/>
                <w:w w:val="99"/>
              </w:rPr>
              <w:t>30</w:t>
            </w:r>
          </w:p>
        </w:tc>
        <w:tc>
          <w:tcPr>
            <w:tcW w:w="380" w:type="dxa"/>
            <w:vAlign w:val="bottom"/>
          </w:tcPr>
          <w:p>
            <w:pPr>
              <w:spacing w:after="0"/>
              <w:rPr>
                <w:sz w:val="24"/>
                <w:szCs w:val="24"/>
                <w:color w:val="auto"/>
              </w:rPr>
            </w:pPr>
          </w:p>
        </w:tc>
      </w:tr>
      <w:tr>
        <w:trPr>
          <w:trHeight w:val="20"/>
        </w:trPr>
        <w:tc>
          <w:tcPr>
            <w:tcW w:w="6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5"/>
        </w:trPr>
        <w:tc>
          <w:tcPr>
            <w:tcW w:w="1460" w:type="dxa"/>
            <w:vAlign w:val="bottom"/>
            <w:gridSpan w:val="8"/>
          </w:tcPr>
          <w:p>
            <w:pPr>
              <w:ind w:left="160"/>
              <w:spacing w:after="0" w:line="195" w:lineRule="exact"/>
              <w:rPr>
                <w:sz w:val="20"/>
                <w:szCs w:val="20"/>
                <w:color w:val="auto"/>
              </w:rPr>
            </w:pPr>
            <w:r>
              <w:rPr>
                <w:rFonts w:ascii="Times New Roman" w:cs="Times New Roman" w:eastAsia="Times New Roman" w:hAnsi="Times New Roman"/>
                <w:sz w:val="18"/>
                <w:szCs w:val="18"/>
                <w:color w:val="auto"/>
              </w:rPr>
              <w:t>ITEM 11</w:t>
            </w:r>
          </w:p>
        </w:tc>
        <w:tc>
          <w:tcPr>
            <w:tcW w:w="244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3340" w:type="dxa"/>
            <w:vAlign w:val="bottom"/>
            <w:gridSpan w:val="8"/>
          </w:tcPr>
          <w:p>
            <w:pPr>
              <w:spacing w:after="0"/>
              <w:rPr>
                <w:sz w:val="16"/>
                <w:szCs w:val="16"/>
                <w:color w:val="auto"/>
              </w:rPr>
            </w:pPr>
          </w:p>
        </w:tc>
        <w:tc>
          <w:tcPr>
            <w:tcW w:w="2920" w:type="dxa"/>
            <w:vAlign w:val="bottom"/>
            <w:gridSpan w:val="9"/>
          </w:tcPr>
          <w:p>
            <w:pPr>
              <w:spacing w:after="0"/>
              <w:rPr>
                <w:sz w:val="16"/>
                <w:szCs w:val="16"/>
                <w:color w:val="auto"/>
              </w:rPr>
            </w:pPr>
          </w:p>
        </w:tc>
        <w:tc>
          <w:tcPr>
            <w:tcW w:w="700" w:type="dxa"/>
            <w:vAlign w:val="bottom"/>
            <w:gridSpan w:val="4"/>
          </w:tcPr>
          <w:p>
            <w:pPr>
              <w:jc w:val="center"/>
              <w:ind w:left="390"/>
              <w:spacing w:after="0" w:line="195" w:lineRule="exact"/>
              <w:rPr>
                <w:sz w:val="20"/>
                <w:szCs w:val="20"/>
                <w:color w:val="auto"/>
              </w:rPr>
            </w:pPr>
            <w:r>
              <w:rPr>
                <w:rFonts w:ascii="Times New Roman" w:cs="Times New Roman" w:eastAsia="Times New Roman" w:hAnsi="Times New Roman"/>
                <w:sz w:val="18"/>
                <w:szCs w:val="18"/>
                <w:color w:val="0000EE"/>
                <w:w w:val="99"/>
              </w:rPr>
              <w:t>34</w:t>
            </w:r>
          </w:p>
        </w:tc>
        <w:tc>
          <w:tcPr>
            <w:tcW w:w="380" w:type="dxa"/>
            <w:vAlign w:val="bottom"/>
          </w:tcPr>
          <w:p>
            <w:pPr>
              <w:spacing w:after="0"/>
              <w:rPr>
                <w:sz w:val="16"/>
                <w:szCs w:val="16"/>
                <w:color w:val="auto"/>
              </w:rPr>
            </w:pPr>
          </w:p>
        </w:tc>
      </w:tr>
      <w:tr>
        <w:trPr>
          <w:trHeight w:val="20"/>
        </w:trPr>
        <w:tc>
          <w:tcPr>
            <w:tcW w:w="6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5"/>
        </w:trPr>
        <w:tc>
          <w:tcPr>
            <w:tcW w:w="1460" w:type="dxa"/>
            <w:vAlign w:val="bottom"/>
            <w:gridSpan w:val="8"/>
          </w:tcPr>
          <w:p>
            <w:pPr>
              <w:ind w:left="160"/>
              <w:spacing w:after="0" w:line="195" w:lineRule="exact"/>
              <w:rPr>
                <w:sz w:val="20"/>
                <w:szCs w:val="20"/>
                <w:color w:val="auto"/>
              </w:rPr>
            </w:pPr>
            <w:r>
              <w:rPr>
                <w:rFonts w:ascii="Times New Roman" w:cs="Times New Roman" w:eastAsia="Times New Roman" w:hAnsi="Times New Roman"/>
                <w:sz w:val="18"/>
                <w:szCs w:val="18"/>
                <w:color w:val="auto"/>
              </w:rPr>
              <w:t>ITEM 12</w:t>
            </w:r>
          </w:p>
        </w:tc>
        <w:tc>
          <w:tcPr>
            <w:tcW w:w="7980" w:type="dxa"/>
            <w:vAlign w:val="bottom"/>
            <w:tcBorders>
              <w:bottom w:val="single" w:sz="8" w:color="0000EE"/>
            </w:tcBorders>
            <w:gridSpan w:val="24"/>
          </w:tcPr>
          <w:p>
            <w:pPr>
              <w:spacing w:after="0" w:line="195" w:lineRule="exact"/>
              <w:rPr>
                <w:sz w:val="20"/>
                <w:szCs w:val="20"/>
                <w:color w:val="auto"/>
              </w:rPr>
            </w:pPr>
            <w:r>
              <w:rPr>
                <w:rFonts w:ascii="Times New Roman" w:cs="Times New Roman" w:eastAsia="Times New Roman" w:hAnsi="Times New Roman"/>
                <w:sz w:val="18"/>
                <w:szCs w:val="18"/>
                <w:color w:val="0000EE"/>
                <w:w w:val="98"/>
              </w:rPr>
              <w:t>SECURITY OWNERSHIP OF CERTAIN BENEFICIAL OWNERS AND MANAGEMENT AND RELATED</w:t>
            </w:r>
          </w:p>
        </w:tc>
        <w:tc>
          <w:tcPr>
            <w:tcW w:w="720" w:type="dxa"/>
            <w:vAlign w:val="bottom"/>
            <w:gridSpan w:val="2"/>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95"/>
        </w:trPr>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EE"/>
                <w:w w:val="97"/>
              </w:rPr>
              <w:t>STOCKHOLDER MATTERS</w:t>
            </w:r>
          </w:p>
        </w:tc>
        <w:tc>
          <w:tcPr>
            <w:tcW w:w="6360" w:type="dxa"/>
            <w:vAlign w:val="bottom"/>
            <w:gridSpan w:val="18"/>
          </w:tcPr>
          <w:p>
            <w:pPr>
              <w:spacing w:after="0"/>
              <w:rPr>
                <w:sz w:val="16"/>
                <w:szCs w:val="16"/>
                <w:color w:val="auto"/>
              </w:rPr>
            </w:pPr>
          </w:p>
        </w:tc>
        <w:tc>
          <w:tcPr>
            <w:tcW w:w="700" w:type="dxa"/>
            <w:vAlign w:val="bottom"/>
            <w:gridSpan w:val="4"/>
          </w:tcPr>
          <w:p>
            <w:pPr>
              <w:jc w:val="center"/>
              <w:ind w:left="390"/>
              <w:spacing w:after="0" w:line="195" w:lineRule="exact"/>
              <w:rPr>
                <w:sz w:val="20"/>
                <w:szCs w:val="20"/>
                <w:color w:val="auto"/>
              </w:rPr>
            </w:pPr>
            <w:r>
              <w:rPr>
                <w:rFonts w:ascii="Times New Roman" w:cs="Times New Roman" w:eastAsia="Times New Roman" w:hAnsi="Times New Roman"/>
                <w:sz w:val="18"/>
                <w:szCs w:val="18"/>
                <w:color w:val="0000EE"/>
                <w:w w:val="99"/>
              </w:rPr>
              <w:t>42</w:t>
            </w:r>
          </w:p>
        </w:tc>
        <w:tc>
          <w:tcPr>
            <w:tcW w:w="380" w:type="dxa"/>
            <w:vAlign w:val="bottom"/>
          </w:tcPr>
          <w:p>
            <w:pPr>
              <w:spacing w:after="0"/>
              <w:rPr>
                <w:sz w:val="16"/>
                <w:szCs w:val="16"/>
                <w:color w:val="auto"/>
              </w:rPr>
            </w:pPr>
          </w:p>
        </w:tc>
      </w:tr>
      <w:tr>
        <w:trPr>
          <w:trHeight w:val="20"/>
        </w:trPr>
        <w:tc>
          <w:tcPr>
            <w:tcW w:w="6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5"/>
        </w:trPr>
        <w:tc>
          <w:tcPr>
            <w:tcW w:w="1460" w:type="dxa"/>
            <w:vAlign w:val="bottom"/>
            <w:gridSpan w:val="8"/>
          </w:tcPr>
          <w:p>
            <w:pPr>
              <w:ind w:left="160"/>
              <w:spacing w:after="0" w:line="195" w:lineRule="exact"/>
              <w:rPr>
                <w:sz w:val="20"/>
                <w:szCs w:val="20"/>
                <w:color w:val="auto"/>
              </w:rPr>
            </w:pPr>
            <w:r>
              <w:rPr>
                <w:rFonts w:ascii="Times New Roman" w:cs="Times New Roman" w:eastAsia="Times New Roman" w:hAnsi="Times New Roman"/>
                <w:sz w:val="18"/>
                <w:szCs w:val="18"/>
                <w:color w:val="auto"/>
              </w:rPr>
              <w:t>ITEM 13</w:t>
            </w:r>
          </w:p>
        </w:tc>
        <w:tc>
          <w:tcPr>
            <w:tcW w:w="768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EE"/>
                <w:w w:val="98"/>
              </w:rPr>
              <w:t>CERTAIN RELATIONSHIPS AND RELATED TRANSACTIONS, AND DIRECTOR INDEPENDENCE</w:t>
            </w:r>
          </w:p>
        </w:tc>
        <w:tc>
          <w:tcPr>
            <w:tcW w:w="1020" w:type="dxa"/>
            <w:vAlign w:val="bottom"/>
            <w:gridSpan w:val="5"/>
          </w:tcPr>
          <w:p>
            <w:pPr>
              <w:spacing w:after="0"/>
              <w:rPr>
                <w:sz w:val="16"/>
                <w:szCs w:val="16"/>
                <w:color w:val="auto"/>
              </w:rPr>
            </w:pPr>
          </w:p>
        </w:tc>
        <w:tc>
          <w:tcPr>
            <w:tcW w:w="700" w:type="dxa"/>
            <w:vAlign w:val="bottom"/>
            <w:gridSpan w:val="4"/>
          </w:tcPr>
          <w:p>
            <w:pPr>
              <w:jc w:val="center"/>
              <w:ind w:left="390"/>
              <w:spacing w:after="0" w:line="195" w:lineRule="exact"/>
              <w:rPr>
                <w:sz w:val="20"/>
                <w:szCs w:val="20"/>
                <w:color w:val="auto"/>
              </w:rPr>
            </w:pPr>
            <w:r>
              <w:rPr>
                <w:rFonts w:ascii="Times New Roman" w:cs="Times New Roman" w:eastAsia="Times New Roman" w:hAnsi="Times New Roman"/>
                <w:sz w:val="18"/>
                <w:szCs w:val="18"/>
                <w:color w:val="0000EE"/>
                <w:w w:val="99"/>
              </w:rPr>
              <w:t>44</w:t>
            </w:r>
          </w:p>
        </w:tc>
        <w:tc>
          <w:tcPr>
            <w:tcW w:w="380" w:type="dxa"/>
            <w:vAlign w:val="bottom"/>
          </w:tcPr>
          <w:p>
            <w:pPr>
              <w:spacing w:after="0"/>
              <w:rPr>
                <w:sz w:val="16"/>
                <w:szCs w:val="16"/>
                <w:color w:val="auto"/>
              </w:rPr>
            </w:pPr>
          </w:p>
        </w:tc>
      </w:tr>
      <w:tr>
        <w:trPr>
          <w:trHeight w:val="20"/>
        </w:trPr>
        <w:tc>
          <w:tcPr>
            <w:tcW w:w="6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1120" w:type="dxa"/>
            <w:vAlign w:val="bottom"/>
            <w:tcBorders>
              <w:left w:val="single" w:sz="8" w:color="0000EE"/>
            </w:tcBorders>
            <w:gridSpan w:val="5"/>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60" w:type="dxa"/>
            <w:vAlign w:val="bottom"/>
            <w:gridSpan w:val="6"/>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5"/>
        </w:trPr>
        <w:tc>
          <w:tcPr>
            <w:tcW w:w="1460" w:type="dxa"/>
            <w:vAlign w:val="bottom"/>
            <w:gridSpan w:val="8"/>
          </w:tcPr>
          <w:p>
            <w:pPr>
              <w:ind w:left="160"/>
              <w:spacing w:after="0" w:line="195" w:lineRule="exact"/>
              <w:rPr>
                <w:sz w:val="20"/>
                <w:szCs w:val="20"/>
                <w:color w:val="auto"/>
              </w:rPr>
            </w:pPr>
            <w:r>
              <w:rPr>
                <w:rFonts w:ascii="Times New Roman" w:cs="Times New Roman" w:eastAsia="Times New Roman" w:hAnsi="Times New Roman"/>
                <w:sz w:val="18"/>
                <w:szCs w:val="18"/>
                <w:color w:val="auto"/>
              </w:rPr>
              <w:t>ITEM 14</w:t>
            </w:r>
          </w:p>
        </w:tc>
        <w:tc>
          <w:tcPr>
            <w:tcW w:w="768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020" w:type="dxa"/>
            <w:vAlign w:val="bottom"/>
            <w:gridSpan w:val="5"/>
          </w:tcPr>
          <w:p>
            <w:pPr>
              <w:spacing w:after="0"/>
              <w:rPr>
                <w:sz w:val="16"/>
                <w:szCs w:val="16"/>
                <w:color w:val="auto"/>
              </w:rPr>
            </w:pPr>
          </w:p>
        </w:tc>
        <w:tc>
          <w:tcPr>
            <w:tcW w:w="700" w:type="dxa"/>
            <w:vAlign w:val="bottom"/>
            <w:gridSpan w:val="4"/>
          </w:tcPr>
          <w:p>
            <w:pPr>
              <w:jc w:val="center"/>
              <w:ind w:left="390"/>
              <w:spacing w:after="0" w:line="195" w:lineRule="exact"/>
              <w:rPr>
                <w:sz w:val="20"/>
                <w:szCs w:val="20"/>
                <w:color w:val="auto"/>
              </w:rPr>
            </w:pPr>
            <w:r>
              <w:rPr>
                <w:rFonts w:ascii="Times New Roman" w:cs="Times New Roman" w:eastAsia="Times New Roman" w:hAnsi="Times New Roman"/>
                <w:sz w:val="18"/>
                <w:szCs w:val="18"/>
                <w:color w:val="0000EE"/>
                <w:w w:val="99"/>
              </w:rPr>
              <w:t>45</w:t>
            </w:r>
          </w:p>
        </w:tc>
        <w:tc>
          <w:tcPr>
            <w:tcW w:w="380" w:type="dxa"/>
            <w:vAlign w:val="bottom"/>
          </w:tcPr>
          <w:p>
            <w:pPr>
              <w:spacing w:after="0"/>
              <w:rPr>
                <w:sz w:val="16"/>
                <w:szCs w:val="16"/>
                <w:color w:val="auto"/>
              </w:rPr>
            </w:pPr>
          </w:p>
        </w:tc>
      </w:tr>
      <w:tr>
        <w:trPr>
          <w:trHeight w:val="410"/>
        </w:trPr>
        <w:tc>
          <w:tcPr>
            <w:tcW w:w="6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4"/>
              </w:rPr>
              <w:t>PART IV</w:t>
            </w:r>
          </w:p>
        </w:tc>
        <w:tc>
          <w:tcPr>
            <w:tcW w:w="780" w:type="dxa"/>
            <w:vAlign w:val="bottom"/>
            <w:gridSpan w:val="4"/>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0"/>
        </w:trPr>
        <w:tc>
          <w:tcPr>
            <w:tcW w:w="146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ITEM 15</w:t>
            </w:r>
          </w:p>
        </w:tc>
        <w:tc>
          <w:tcPr>
            <w:tcW w:w="44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8"/>
              </w:rPr>
              <w:t>EXHIBITS AND FINANCIAL STATEMENT SCHEDULES</w:t>
            </w:r>
          </w:p>
        </w:tc>
        <w:tc>
          <w:tcPr>
            <w:tcW w:w="4280" w:type="dxa"/>
            <w:vAlign w:val="bottom"/>
            <w:gridSpan w:val="11"/>
          </w:tcPr>
          <w:p>
            <w:pPr>
              <w:spacing w:after="0"/>
              <w:rPr>
                <w:sz w:val="24"/>
                <w:szCs w:val="24"/>
                <w:color w:val="auto"/>
              </w:rPr>
            </w:pPr>
          </w:p>
        </w:tc>
        <w:tc>
          <w:tcPr>
            <w:tcW w:w="70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color w:val="0000EE"/>
                <w:w w:val="99"/>
              </w:rPr>
              <w:t>45</w:t>
            </w:r>
          </w:p>
        </w:tc>
        <w:tc>
          <w:tcPr>
            <w:tcW w:w="380" w:type="dxa"/>
            <w:vAlign w:val="bottom"/>
          </w:tcPr>
          <w:p>
            <w:pPr>
              <w:spacing w:after="0"/>
              <w:rPr>
                <w:sz w:val="24"/>
                <w:szCs w:val="24"/>
                <w:color w:val="auto"/>
              </w:rPr>
            </w:pPr>
          </w:p>
        </w:tc>
      </w:tr>
      <w:tr>
        <w:trPr>
          <w:trHeight w:val="20"/>
        </w:trPr>
        <w:tc>
          <w:tcPr>
            <w:tcW w:w="11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1120" w:type="dxa"/>
            <w:vAlign w:val="bottom"/>
            <w:tcBorders>
              <w:left w:val="single" w:sz="8" w:color="0000EE"/>
            </w:tcBorders>
            <w:gridSpan w:val="5"/>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4280" w:type="dxa"/>
            <w:vAlign w:val="bottom"/>
            <w:gridSpan w:val="1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5"/>
        </w:trPr>
        <w:tc>
          <w:tcPr>
            <w:tcW w:w="1460" w:type="dxa"/>
            <w:vAlign w:val="bottom"/>
            <w:gridSpan w:val="8"/>
          </w:tcPr>
          <w:p>
            <w:pPr>
              <w:ind w:left="160"/>
              <w:spacing w:after="0" w:line="195" w:lineRule="exact"/>
              <w:rPr>
                <w:sz w:val="20"/>
                <w:szCs w:val="20"/>
                <w:color w:val="auto"/>
              </w:rPr>
            </w:pPr>
            <w:r>
              <w:rPr>
                <w:rFonts w:ascii="Times New Roman" w:cs="Times New Roman" w:eastAsia="Times New Roman" w:hAnsi="Times New Roman"/>
                <w:sz w:val="18"/>
                <w:szCs w:val="18"/>
                <w:color w:val="auto"/>
              </w:rPr>
              <w:t>ITEM 16</w:t>
            </w:r>
          </w:p>
        </w:tc>
        <w:tc>
          <w:tcPr>
            <w:tcW w:w="4420" w:type="dxa"/>
            <w:vAlign w:val="bottom"/>
            <w:gridSpan w:val="15"/>
          </w:tcPr>
          <w:p>
            <w:pPr>
              <w:spacing w:after="0" w:line="195" w:lineRule="exact"/>
              <w:rPr>
                <w:sz w:val="20"/>
                <w:szCs w:val="20"/>
                <w:color w:val="auto"/>
              </w:rPr>
            </w:pPr>
            <w:r>
              <w:rPr>
                <w:rFonts w:ascii="Times New Roman" w:cs="Times New Roman" w:eastAsia="Times New Roman" w:hAnsi="Times New Roman"/>
                <w:sz w:val="18"/>
                <w:szCs w:val="18"/>
                <w:color w:val="0000EE"/>
              </w:rPr>
              <w:t>FORM 10-K SUMMARY</w:t>
            </w:r>
          </w:p>
        </w:tc>
        <w:tc>
          <w:tcPr>
            <w:tcW w:w="4280" w:type="dxa"/>
            <w:vAlign w:val="bottom"/>
            <w:gridSpan w:val="11"/>
          </w:tcPr>
          <w:p>
            <w:pPr>
              <w:spacing w:after="0"/>
              <w:rPr>
                <w:sz w:val="16"/>
                <w:szCs w:val="16"/>
                <w:color w:val="auto"/>
              </w:rPr>
            </w:pPr>
          </w:p>
        </w:tc>
        <w:tc>
          <w:tcPr>
            <w:tcW w:w="700" w:type="dxa"/>
            <w:vAlign w:val="bottom"/>
            <w:gridSpan w:val="4"/>
          </w:tcPr>
          <w:p>
            <w:pPr>
              <w:jc w:val="center"/>
              <w:ind w:left="390"/>
              <w:spacing w:after="0" w:line="195" w:lineRule="exact"/>
              <w:rPr>
                <w:sz w:val="20"/>
                <w:szCs w:val="20"/>
                <w:color w:val="auto"/>
              </w:rPr>
            </w:pPr>
            <w:r>
              <w:rPr>
                <w:rFonts w:ascii="Times New Roman" w:cs="Times New Roman" w:eastAsia="Times New Roman" w:hAnsi="Times New Roman"/>
                <w:sz w:val="18"/>
                <w:szCs w:val="18"/>
                <w:color w:val="0000EE"/>
                <w:w w:val="99"/>
              </w:rPr>
              <w:t>48</w:t>
            </w:r>
          </w:p>
        </w:tc>
        <w:tc>
          <w:tcPr>
            <w:tcW w:w="380" w:type="dxa"/>
            <w:vAlign w:val="bottom"/>
          </w:tcPr>
          <w:p>
            <w:pPr>
              <w:spacing w:after="0"/>
              <w:rPr>
                <w:sz w:val="16"/>
                <w:szCs w:val="16"/>
                <w:color w:val="auto"/>
              </w:rPr>
            </w:pPr>
          </w:p>
        </w:tc>
      </w:tr>
      <w:tr>
        <w:trPr>
          <w:trHeight w:val="20"/>
        </w:trPr>
        <w:tc>
          <w:tcPr>
            <w:tcW w:w="11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0"/>
        </w:trPr>
        <w:tc>
          <w:tcPr>
            <w:tcW w:w="14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EXHIBIT INDEX</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color w:val="0000EE"/>
                <w:w w:val="99"/>
              </w:rPr>
              <w:t>46</w:t>
            </w:r>
          </w:p>
        </w:tc>
        <w:tc>
          <w:tcPr>
            <w:tcW w:w="380" w:type="dxa"/>
            <w:vAlign w:val="bottom"/>
          </w:tcPr>
          <w:p>
            <w:pPr>
              <w:spacing w:after="0"/>
              <w:rPr>
                <w:sz w:val="24"/>
                <w:szCs w:val="24"/>
                <w:color w:val="auto"/>
              </w:rPr>
            </w:pPr>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0"/>
        </w:trPr>
        <w:tc>
          <w:tcPr>
            <w:tcW w:w="13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color w:val="0000EE"/>
                <w:w w:val="99"/>
              </w:rPr>
              <w:t>49</w:t>
            </w:r>
          </w:p>
        </w:tc>
        <w:tc>
          <w:tcPr>
            <w:tcW w:w="380" w:type="dxa"/>
            <w:vAlign w:val="bottom"/>
          </w:tcPr>
          <w:p>
            <w:pPr>
              <w:spacing w:after="0"/>
              <w:rPr>
                <w:sz w:val="24"/>
                <w:szCs w:val="24"/>
                <w:color w:val="auto"/>
              </w:rPr>
            </w:pPr>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3340" w:type="dxa"/>
            <w:vAlign w:val="bottom"/>
            <w:gridSpan w:val="15"/>
          </w:tcPr>
          <w:p>
            <w:pPr>
              <w:spacing w:after="0" w:line="20" w:lineRule="exact"/>
              <w:rPr>
                <w:sz w:val="1"/>
                <w:szCs w:val="1"/>
                <w:color w:val="auto"/>
              </w:rPr>
            </w:pPr>
          </w:p>
        </w:tc>
        <w:tc>
          <w:tcPr>
            <w:tcW w:w="5720" w:type="dxa"/>
            <w:vAlign w:val="bottom"/>
            <w:gridSpan w:val="1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0"/>
        </w:trPr>
        <w:tc>
          <w:tcPr>
            <w:tcW w:w="101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10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5"/>
              </w:rPr>
              <w:t>F-1</w:t>
            </w:r>
          </w:p>
        </w:tc>
      </w:tr>
      <w:tr>
        <w:trPr>
          <w:trHeight w:val="451"/>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60" w:type="dxa"/>
            <w:vAlign w:val="bottom"/>
            <w:gridSpan w:val="12"/>
          </w:tcPr>
          <w:p>
            <w:pPr>
              <w:jc w:val="center"/>
              <w:ind w:right="4320"/>
              <w:spacing w:after="0"/>
              <w:rPr>
                <w:sz w:val="20"/>
                <w:szCs w:val="20"/>
                <w:color w:val="auto"/>
              </w:rPr>
            </w:pPr>
            <w:r>
              <w:rPr>
                <w:rFonts w:ascii="Times New Roman" w:cs="Times New Roman" w:eastAsia="Times New Roman" w:hAnsi="Times New Roman"/>
                <w:sz w:val="18"/>
                <w:szCs w:val="18"/>
                <w:color w:val="auto"/>
                <w:w w:val="78"/>
              </w:rPr>
              <w:t>i</w:t>
            </w:r>
          </w:p>
        </w:tc>
        <w:tc>
          <w:tcPr>
            <w:tcW w:w="4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r>
      <w:tr>
        <w:trPr>
          <w:trHeight w:val="114"/>
        </w:trPr>
        <w:tc>
          <w:tcPr>
            <w:tcW w:w="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35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05"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The information in this Annual Report on Form 10-K (“Report”) contains various forward-looking statements within the meaning of Section 21E of the Securities Exchange Act of 1934, as amended (the “Exchange Act”). Although we believe that, in making any such statements, our expectations are based on reasonable assumptions, any such statements may be influenced by factors that could cause actual outcomes and results to be materially different from those projected. Forward-looking statements may include, but are not limited to, statements about:</w:t>
      </w:r>
    </w:p>
    <w:p>
      <w:pPr>
        <w:spacing w:after="0" w:line="183" w:lineRule="exact"/>
        <w:rPr>
          <w:sz w:val="20"/>
          <w:szCs w:val="20"/>
          <w:color w:val="auto"/>
        </w:rPr>
      </w:pP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funds for future operations;</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expenses, revenue and profitability;</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affecting financial condition and results of operations;</w:t>
      </w:r>
    </w:p>
    <w:p>
      <w:pPr>
        <w:spacing w:after="0" w:line="35" w:lineRule="exact"/>
        <w:rPr>
          <w:rFonts w:ascii="Times New Roman" w:cs="Times New Roman" w:eastAsia="Times New Roman" w:hAnsi="Times New Roman"/>
          <w:sz w:val="18"/>
          <w:szCs w:val="18"/>
          <w:color w:val="auto"/>
        </w:rPr>
      </w:pPr>
    </w:p>
    <w:p>
      <w:pPr>
        <w:ind w:left="660" w:right="20" w:hanging="330"/>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convert proposals into customer orders, including our ability to realize the revenues included in our future guidance and backlog reports;</w:t>
      </w: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outlook;</w:t>
      </w:r>
    </w:p>
    <w:p>
      <w:pPr>
        <w:spacing w:after="0" w:line="1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customers to pay for products and services received;</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satisfy our upcoming debt obligations and other liabilities;</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changing customer requirements upon revenue recognition;</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cancellations;</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additional capital;</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continue as a going concern;</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 and the competitive environment;</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Company’s financial condition upon customer and prospective customer relationships;</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and regulatory actions directed toward our industry in general;</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influence of our shareholder(s) with the greatest beneficial ownership of our common stock;</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certain key personnel in the management of our businesses;</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management turnover;</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material weaknesses in internal controls over financial reporting;</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integrate the operations of acquired companies; and</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remain listed on the Nasdaq Capital Market.</w:t>
      </w:r>
    </w:p>
    <w:p>
      <w:pPr>
        <w:spacing w:after="0" w:line="250"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Certain statements included in this Report and the documents incorporated into this document by reference are “forward-looking statements” within the meaning of Section 27A of the Securities Act of 1933, as amended (the “Securities Act”), and Section 21E of the Securities Exchange Act of 1934, as amended (the “Exchange Act”). When used in this Report, the words “anticipates,” “believes,” “expects,” “intends,” “plans,” “estimates,” “projects,” “should,” “may,” “propose,” and similar expressions (or the negative versions of such words or expressions), are intended to identify such forward-looking statements.</w:t>
      </w:r>
    </w:p>
    <w:p>
      <w:pPr>
        <w:spacing w:after="0" w:line="183"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These forward-looking statements involve known and unknown risks, uncertainties, and other factors, many of which are beyond our control, that may cause the actual results, performance, or achievements to be materially different from the results of operations, financial conditions, or plans expressed or implied by the forward-looking statements. Although we believe the expectations reflected in our forward-looking statements are based upon reasonable assumptions, we can give no assurance that our expectations will be achieved. Any statements contained herein that are not statements of historical fact should be deemed forward-looking statements. As a result, reliance should not be placed on these forward-looking statements, as these statements are subject to known and unknown risks, uncertainties, and other factors beyond our control and could differ materially from our actual results and performance.</w:t>
      </w:r>
    </w:p>
    <w:p>
      <w:pPr>
        <w:spacing w:after="0" w:line="189"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Readers should carefully review our financial statements and the notes thereto, as well as the section entitled “Risk Factors” in Item 1A of this Report and the other documents we file from time to time with the Securities and Exchange Commission (“SEC”). All forward-looking statements, expressed or implied, included in this Report are expressly qualified in their entirety by this cautionary note. This cautionary note should also be considered in connection with any subsequent written or oral forward-looking statements that we or persons acting on our behalf may issue. Except as otherwise required by applicable law, we disclaim any duty to update any forward-looking statements, all of which are expressly qualified by the statements in this section, to reflect events or circumstances after the date of this Report.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A summary of the principal risk factors that make investing in our securities risky and might cause our actual results to differ is set forth below. The following is only a summary of the principal risks that may materially adversely affect our business, financial condition, results of operations and cash flows. This summary should be read in conjunction with the more complete discussion of the risk factors we face, which are set forth in the section entitled “Risk Factors” in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our Industry</w:t>
      </w:r>
    </w:p>
    <w:p>
      <w:pPr>
        <w:spacing w:after="0" w:line="227" w:lineRule="exact"/>
        <w:rPr>
          <w:sz w:val="20"/>
          <w:szCs w:val="20"/>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generally incurred losses, and may never become or remain profitable.</w:t>
      </w:r>
    </w:p>
    <w:p>
      <w:pPr>
        <w:spacing w:after="0" w:line="35" w:lineRule="exact"/>
        <w:rPr>
          <w:rFonts w:ascii="Times New Roman" w:cs="Times New Roman" w:eastAsia="Times New Roman" w:hAnsi="Times New Roman"/>
          <w:sz w:val="18"/>
          <w:szCs w:val="18"/>
          <w:color w:val="auto"/>
        </w:rPr>
      </w:pPr>
    </w:p>
    <w:p>
      <w:pPr>
        <w:ind w:left="660" w:hanging="330"/>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digital marketing business is evolving in a rapidly changing market, and we cannot ensure the long-term successful operation of our business or the execution of our business plan.</w:t>
      </w:r>
    </w:p>
    <w:p>
      <w:pPr>
        <w:ind w:left="660" w:hanging="330"/>
        <w:spacing w:after="0" w:line="24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longevity depend on our ability to generate profits from future operations and obtain sufficient capital through financing transactions to satisfy our debt obligations and meet our other business obligations.</w:t>
      </w: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funds for our operations may not be available, requiring us to raise additional financing or else curtail our activities significantly.</w:t>
      </w:r>
    </w:p>
    <w:p>
      <w:pPr>
        <w:spacing w:after="0" w:line="1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sufficient capital to engage in material research and development, which may harm our long-term growth.</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variable sales cycle of some of our products make it difficult to predict operating results.</w:t>
      </w:r>
    </w:p>
    <w:p>
      <w:pPr>
        <w:spacing w:after="0" w:line="35" w:lineRule="exact"/>
        <w:rPr>
          <w:rFonts w:ascii="Times New Roman" w:cs="Times New Roman" w:eastAsia="Times New Roman" w:hAnsi="Times New Roman"/>
          <w:sz w:val="18"/>
          <w:szCs w:val="18"/>
          <w:color w:val="auto"/>
        </w:rPr>
      </w:pPr>
    </w:p>
    <w:p>
      <w:pPr>
        <w:ind w:left="660" w:hanging="330"/>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and we expect that there will continue to be, significant consolidation in our industry. Our failure or inability to either lead or participate in that consolidation would have a severe adverse impact on our access to financing, customers, technology, and human resources.</w:t>
      </w:r>
    </w:p>
    <w:p>
      <w:pPr>
        <w:ind w:left="660" w:right="640" w:hanging="330"/>
        <w:spacing w:after="0" w:line="24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growth opportunities that are anticipated from our acquisition of operations of the Cineplex Digital Media business (“CDM”).</w:t>
      </w: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CDM acquisition may fail to achieve beneficial synergies.</w:t>
      </w:r>
    </w:p>
    <w:p>
      <w:pPr>
        <w:spacing w:after="0" w:line="1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unknown liabilities in the CDM acquisition may harm our financial condition and results of operations.</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significant transaction and integration costs in connection with our acquisition of CDM.</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in financing markets could impair our ability to grow our business through acquisitions.</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interactive marketing technologies achieving and maintaining widespread acceptance in our targeted markets.</w:t>
      </w:r>
    </w:p>
    <w:p>
      <w:pPr>
        <w:spacing w:after="0" w:line="35" w:lineRule="exact"/>
        <w:rPr>
          <w:rFonts w:ascii="Times New Roman" w:cs="Times New Roman" w:eastAsia="Times New Roman" w:hAnsi="Times New Roman"/>
          <w:sz w:val="18"/>
          <w:szCs w:val="18"/>
          <w:color w:val="auto"/>
        </w:rPr>
      </w:pPr>
    </w:p>
    <w:p>
      <w:pPr>
        <w:ind w:left="660" w:right="20" w:hanging="330"/>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and potential for continued net losses may negatively impact our relationships with customers, prospective customers and third-party suppliers.</w:t>
      </w:r>
    </w:p>
    <w:p>
      <w:pPr>
        <w:ind w:left="660" w:right="20" w:hanging="330"/>
        <w:spacing w:after="0" w:line="24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do not have long-term binding purchase commitments from our customers, the failure to obtain anticipated orders or the deferral or cancellation of commitments could have adverse effects on our business.</w:t>
      </w: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growth and financial performance could be adversely affected by the loss of several key customers.</w:t>
      </w:r>
    </w:p>
    <w:p>
      <w:pPr>
        <w:spacing w:after="0" w:line="16" w:lineRule="exact"/>
        <w:rPr>
          <w:rFonts w:ascii="Times New Roman" w:cs="Times New Roman" w:eastAsia="Times New Roman" w:hAnsi="Times New Roman"/>
          <w:sz w:val="18"/>
          <w:szCs w:val="18"/>
          <w:color w:val="auto"/>
        </w:rPr>
      </w:pPr>
    </w:p>
    <w:p>
      <w:pPr>
        <w:ind w:left="660" w:hanging="330"/>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of our contracts are terminable by our customers with limited notice and without penalty payments, and terminations could have a material adverse effect on our business, financial condition, and results of operations.</w:t>
      </w:r>
    </w:p>
    <w:p>
      <w:pPr>
        <w:jc w:val="both"/>
        <w:ind w:left="660" w:hanging="330"/>
        <w:spacing w:after="0" w:line="24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common for our current and prospective customers to evaluate our products over an extended period of time, most especially during economic downturns that affect our customers’ businesses, as we saw during the COVID-19 pandemic. The lengthy and variable sales cycle makes it difficult to predict our operating results.</w:t>
      </w:r>
    </w:p>
    <w:p>
      <w:pPr>
        <w:spacing w:after="0" w:line="1" w:lineRule="exact"/>
        <w:rPr>
          <w:rFonts w:ascii="Times New Roman" w:cs="Times New Roman" w:eastAsia="Times New Roman" w:hAnsi="Times New Roman"/>
          <w:sz w:val="18"/>
          <w:szCs w:val="18"/>
          <w:color w:val="auto"/>
        </w:rPr>
      </w:pPr>
    </w:p>
    <w:p>
      <w:pPr>
        <w:ind w:left="660" w:hanging="330"/>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characterized by frequent technological change. If we are unable to adapt our products and services and develop new products and services to keep up with these rapid changes, we will not be able to obtain, or maintain, market share.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660" w:hanging="330"/>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intensely competitive industry, and our competitors are developing products and solutions that incorporate artificial intelligence (“AI”) and machine learning (“ML”). We may not be as successful as our competitors in incorporating AI and ML into our products and solutions.</w:t>
      </w:r>
    </w:p>
    <w:p>
      <w:pPr>
        <w:ind w:left="660" w:hanging="330"/>
        <w:spacing w:after="0" w:line="24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relating to the use of new and evolving technologies in our offerings, such as AI and ML, may result in increased regulation and costs to comply with such regulations.</w:t>
      </w:r>
    </w:p>
    <w:p>
      <w:pPr>
        <w:ind w:left="660" w:hanging="330"/>
        <w:spacing w:after="0" w:line="24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developed and licensed software technology, and we could face claims of infringement by others in the industry. Such claims are costly and add uncertainty to our operational results.</w:t>
      </w:r>
    </w:p>
    <w:p>
      <w:pPr>
        <w:ind w:left="660" w:right="20" w:hanging="330"/>
        <w:spacing w:after="0" w:line="24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platform architectures and data tracking technology underlying certain of our services are complex and may contain unknown errors in design or implementation that could result in system performance failures or inability to scale.</w:t>
      </w:r>
    </w:p>
    <w:p>
      <w:pPr>
        <w:ind w:left="660" w:hanging="33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affected by malicious applications that interfere with, or exploit security flaws in, our products and services.</w:t>
      </w:r>
    </w:p>
    <w:p>
      <w:pPr>
        <w:spacing w:after="0" w:line="1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compete with other companies that have more resources, which puts us at a competitive disadvantage.</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key personnel and our ability to attract and retain additional personnel.</w:t>
      </w:r>
    </w:p>
    <w:p>
      <w:pPr>
        <w:spacing w:after="0" w:line="35" w:lineRule="exact"/>
        <w:rPr>
          <w:rFonts w:ascii="Times New Roman" w:cs="Times New Roman" w:eastAsia="Times New Roman" w:hAnsi="Times New Roman"/>
          <w:sz w:val="18"/>
          <w:szCs w:val="18"/>
          <w:color w:val="auto"/>
        </w:rPr>
      </w:pPr>
    </w:p>
    <w:p>
      <w:pPr>
        <w:jc w:val="both"/>
        <w:ind w:left="660" w:hanging="330"/>
        <w:spacing w:after="0" w:line="25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cyber security risks and interruptions or failures in our information technology systems and those of third-party partners with whom our applications are integrated and will likely need to expend additional resources to enhance our protection from such risks. Notwithstanding our efforts, a cyber incident could occur and result in information theft, data corruption, operational disruption and/or financial loss.</w:t>
      </w:r>
    </w:p>
    <w:p>
      <w:pPr>
        <w:spacing w:after="0" w:line="3" w:lineRule="exact"/>
        <w:rPr>
          <w:rFonts w:ascii="Times New Roman" w:cs="Times New Roman" w:eastAsia="Times New Roman" w:hAnsi="Times New Roman"/>
          <w:sz w:val="18"/>
          <w:szCs w:val="18"/>
          <w:color w:val="auto"/>
        </w:rPr>
      </w:pPr>
    </w:p>
    <w:p>
      <w:pPr>
        <w:ind w:left="660" w:hanging="330"/>
        <w:spacing w:after="0" w:line="24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information management and transaction systems to operate our business exposes us to cyber incidents and hacking of our sensitive information if our outsourced service provider experiences a security breach.</w:t>
      </w:r>
    </w:p>
    <w:p>
      <w:pPr>
        <w:ind w:left="660" w:hanging="330"/>
        <w:spacing w:after="0" w:line="24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technology, products, platform, and services are complex and are deployed in and across complex environments, they may have errors or defects that could seriously harm our business.</w:t>
      </w:r>
    </w:p>
    <w:p>
      <w:pPr>
        <w:ind w:left="660" w:hanging="33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insufficient network or server capacity, which could result in interruptions in our services and loss of revenues.</w:t>
      </w:r>
    </w:p>
    <w:p>
      <w:pPr>
        <w:spacing w:after="0" w:line="1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are susceptible to interruptions caused by events beyond our control.</w:t>
      </w:r>
    </w:p>
    <w:p>
      <w:pPr>
        <w:spacing w:after="0" w:line="35" w:lineRule="exact"/>
        <w:rPr>
          <w:rFonts w:ascii="Times New Roman" w:cs="Times New Roman" w:eastAsia="Times New Roman" w:hAnsi="Times New Roman"/>
          <w:sz w:val="18"/>
          <w:szCs w:val="18"/>
          <w:color w:val="auto"/>
        </w:rPr>
      </w:pPr>
    </w:p>
    <w:p>
      <w:pPr>
        <w:ind w:left="660" w:right="140" w:hanging="330"/>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social responsibility, specifically related to environmental, social and governance (ESG), may impose additional costs and expose us to new risks.</w:t>
      </w:r>
    </w:p>
    <w:p>
      <w:pPr>
        <w:ind w:left="660" w:hanging="33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are constantly evolving, and we may be unable to compete successfully against existing or future competitors to our business.</w:t>
      </w:r>
    </w:p>
    <w:p>
      <w:pPr>
        <w:spacing w:after="0" w:line="16" w:lineRule="exact"/>
        <w:rPr>
          <w:rFonts w:ascii="Times New Roman" w:cs="Times New Roman" w:eastAsia="Times New Roman" w:hAnsi="Times New Roman"/>
          <w:sz w:val="18"/>
          <w:szCs w:val="18"/>
          <w:color w:val="auto"/>
        </w:rPr>
      </w:pPr>
    </w:p>
    <w:p>
      <w:pPr>
        <w:jc w:val="both"/>
        <w:ind w:left="660" w:hanging="330"/>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Canadian operations through CDM subject us to a complex and evolving framework of Canadian federal and provincial regulatory requirements, including data privacy, accessibility, French-language, and artificial intelligence laws, non-compliance with which could increase our costs, expose us to penalties, and adversely affect our business.</w:t>
      </w:r>
    </w:p>
    <w:p>
      <w:pPr>
        <w:spacing w:after="0" w:line="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exchange rate between the U.S. dollar and the Canadian dollar could adversely affect our financial results.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Securities and our Company</w:t>
      </w:r>
    </w:p>
    <w:p>
      <w:pPr>
        <w:spacing w:after="0" w:line="227" w:lineRule="exact"/>
        <w:rPr>
          <w:sz w:val="20"/>
          <w:szCs w:val="20"/>
          <w:color w:val="auto"/>
        </w:rPr>
      </w:pPr>
    </w:p>
    <w:p>
      <w:pPr>
        <w:ind w:left="660" w:hanging="330"/>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Articles of Incorporation grant our Board of Directors the power to issue additional shares of common and preferred stock and to designate other classes of preferred stock, all without shareholder approval.</w:t>
      </w:r>
    </w:p>
    <w:p>
      <w:pPr>
        <w:ind w:left="660" w:hanging="330"/>
        <w:spacing w:after="0" w:line="24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will not declare cash dividends on our common stock in the foreseeable future, stockholders must rely on appreciation of the value of our common stock for any return on their investment.</w:t>
      </w:r>
    </w:p>
    <w:p>
      <w:pPr>
        <w:ind w:left="660" w:hanging="330"/>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significant tangible assets that could be sold upon liquidation.</w:t>
      </w:r>
    </w:p>
    <w:p>
      <w:pPr>
        <w:spacing w:after="0" w:line="16" w:lineRule="exact"/>
        <w:rPr>
          <w:rFonts w:ascii="Times New Roman" w:cs="Times New Roman" w:eastAsia="Times New Roman" w:hAnsi="Times New Roman"/>
          <w:sz w:val="18"/>
          <w:szCs w:val="18"/>
          <w:color w:val="auto"/>
        </w:rPr>
      </w:pPr>
    </w:p>
    <w:p>
      <w:pPr>
        <w:ind w:left="660" w:hanging="330"/>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provide no assurance that our securities will continue to meet Nasdaq listing requirements. If we fail to comply with the continuing listing standards of the Nasdaq, our securities could be delisted.</w:t>
      </w:r>
    </w:p>
    <w:p>
      <w:pPr>
        <w:ind w:left="660" w:hanging="330"/>
        <w:spacing w:after="0"/>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a substantial number of shares of our common stock in the public market by certain of our shareholders could cause our stock price to fall.</w:t>
      </w:r>
    </w:p>
    <w:p>
      <w:pPr>
        <w:spacing w:after="0" w:line="28" w:lineRule="exact"/>
        <w:rPr>
          <w:rFonts w:ascii="Times New Roman" w:cs="Times New Roman" w:eastAsia="Times New Roman" w:hAnsi="Times New Roman"/>
          <w:sz w:val="17"/>
          <w:szCs w:val="17"/>
          <w:color w:val="auto"/>
        </w:rPr>
      </w:pPr>
    </w:p>
    <w:p>
      <w:pPr>
        <w:ind w:left="660" w:hanging="330"/>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not be an active market for shares of our common stock.</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issued shares of convertible preferred stock with terms that could dilute the voting power or reduce the value of our common stock.</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660" w:hanging="330"/>
        <w:spacing w:after="0" w:line="28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preferred shareholders possess significant voting power, which will limit your influence on our management and affairs, and may discourage parties from initiating potential merger, takeover or other change-of-control transactions.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27" w:lineRule="exact"/>
        <w:rPr>
          <w:sz w:val="20"/>
          <w:szCs w:val="20"/>
          <w:color w:val="auto"/>
        </w:rPr>
      </w:pPr>
    </w:p>
    <w:p>
      <w:pPr>
        <w:ind w:left="660" w:right="380" w:hanging="330"/>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our limited resources, we may not have in place various processes and protections common to more mature companies and may be more susceptible to adverse events.</w:t>
      </w:r>
    </w:p>
    <w:p>
      <w:pPr>
        <w:ind w:left="660" w:hanging="330"/>
        <w:spacing w:after="0" w:line="24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conflicts, including the current conflicts involving Iran, Israel and the United States, as well as terrorism and other global security threats, could adversely affect our business, financial condition and results of operations.</w:t>
      </w:r>
    </w:p>
    <w:p>
      <w:pPr>
        <w:ind w:left="660" w:hanging="330"/>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inflation and unfavorable economic conditions could negatively affect our business, financial condition and results of operations.</w:t>
      </w:r>
    </w:p>
    <w:p>
      <w:pPr>
        <w:spacing w:after="0" w:line="16" w:lineRule="exact"/>
        <w:rPr>
          <w:rFonts w:ascii="Times New Roman" w:cs="Times New Roman" w:eastAsia="Times New Roman" w:hAnsi="Times New Roman"/>
          <w:sz w:val="18"/>
          <w:szCs w:val="18"/>
          <w:color w:val="auto"/>
        </w:rPr>
      </w:pPr>
    </w:p>
    <w:p>
      <w:pPr>
        <w:ind w:left="660" w:right="140" w:hanging="330"/>
        <w:spacing w:after="0" w:line="28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policy, tariff and import/export regulations may have a material adverse effect on our business, financial condition and results of operations.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Creative Realities, Inc. (“Creative Realities”, the “Company”, “we”, “us” or “our”) provides innovative digital signage and media solutions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America to enhance communications in a wide-ranging variety of out-of-home environments, key market segments and use cases, including:</w:t>
      </w:r>
    </w:p>
    <w:p>
      <w:pPr>
        <w:spacing w:after="0" w:line="205" w:lineRule="exact"/>
        <w:rPr>
          <w:sz w:val="20"/>
          <w:szCs w:val="20"/>
          <w:color w:val="auto"/>
        </w:rPr>
      </w:pPr>
    </w:p>
    <w:p>
      <w:pPr>
        <w:ind w:left="980" w:hanging="327"/>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w:t>
      </w:r>
    </w:p>
    <w:p>
      <w:pPr>
        <w:spacing w:after="0" w:line="22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and Sports Venues</w:t>
      </w:r>
    </w:p>
    <w:p>
      <w:pPr>
        <w:spacing w:after="0" w:line="22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Restaurants, including quick-serve restaurants (“QSR”)</w:t>
      </w:r>
    </w:p>
    <w:p>
      <w:pPr>
        <w:spacing w:after="0" w:line="22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Stores</w:t>
      </w:r>
    </w:p>
    <w:p>
      <w:pPr>
        <w:spacing w:after="0" w:line="22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Services</w:t>
      </w:r>
    </w:p>
    <w:p>
      <w:pPr>
        <w:spacing w:after="0" w:line="22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w:t>
      </w:r>
    </w:p>
    <w:p>
      <w:pPr>
        <w:spacing w:after="0" w:line="22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Lottery</w:t>
      </w:r>
    </w:p>
    <w:p>
      <w:pPr>
        <w:spacing w:after="0" w:line="22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Use Developments</w:t>
      </w:r>
    </w:p>
    <w:p>
      <w:pPr>
        <w:spacing w:after="0" w:line="22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out of Home (“DOOH”) Advertising Networks</w:t>
      </w:r>
    </w:p>
    <w:p>
      <w:pPr>
        <w:spacing w:after="0" w:line="250"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We serve market-leading companies, so there is a good chance that if you leave your home today to shop, work, eat or play, you will encounter one or more of our digital signage experiences. Our solutions are increasingly viable because we help our enterprise customers achieve a wide range of business objectives including:</w:t>
      </w:r>
    </w:p>
    <w:p>
      <w:pPr>
        <w:spacing w:after="0" w:line="175" w:lineRule="exact"/>
        <w:rPr>
          <w:sz w:val="20"/>
          <w:szCs w:val="20"/>
          <w:color w:val="auto"/>
        </w:rPr>
      </w:pPr>
    </w:p>
    <w:p>
      <w:pPr>
        <w:ind w:left="980" w:hanging="327"/>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brand awareness/engagement</w:t>
      </w:r>
    </w:p>
    <w:p>
      <w:pPr>
        <w:spacing w:after="0" w:line="22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customer support</w:t>
      </w:r>
    </w:p>
    <w:p>
      <w:pPr>
        <w:spacing w:after="0" w:line="22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employee productivity and satisfaction</w:t>
      </w:r>
    </w:p>
    <w:p>
      <w:pPr>
        <w:spacing w:after="0" w:line="22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 and profitability</w:t>
      </w:r>
    </w:p>
    <w:p>
      <w:pPr>
        <w:spacing w:after="0" w:line="22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guest experience</w:t>
      </w:r>
    </w:p>
    <w:p>
      <w:pPr>
        <w:spacing w:after="0" w:line="22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customer/guest engagement</w:t>
      </w:r>
    </w:p>
    <w:p>
      <w:pPr>
        <w:spacing w:after="0" w:line="223"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Traffic content and advertising</w:t>
      </w:r>
    </w:p>
    <w:p>
      <w:pPr>
        <w:spacing w:after="0" w:line="223"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Through a combination of organically grown platforms and a series of strategic acquisitions, the Company assists customers to design, deploy, manage, and monetize their digital signage and in-store retail media networks. The Company sources leads and opportunities for its solutions through its digital and content marketing initiatives, close relationships with key industry partners, equipment manufacturers, and the direct efforts of its in-house industry sales experts. Customer engagements focus on consultative conversations that ensure the Company’s solutions are positioned to help customers achieve their business objectives in the most cost-effective manner possible.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When comparing Creative Realities to other digital signage competitors, our customers value the following competitive advantages:</w:t>
      </w:r>
    </w:p>
    <w:p>
      <w:pPr>
        <w:spacing w:after="0" w:line="219" w:lineRule="exact"/>
        <w:rPr>
          <w:sz w:val="20"/>
          <w:szCs w:val="20"/>
          <w:color w:val="auto"/>
        </w:rPr>
      </w:pPr>
    </w:p>
    <w:p>
      <w:pPr>
        <w:jc w:val="both"/>
        <w:ind w:left="980" w:hanging="327"/>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Breadth of solutions </w:t>
      </w:r>
      <w:r>
        <w:rPr>
          <w:rFonts w:ascii="Times New Roman" w:cs="Times New Roman" w:eastAsia="Times New Roman" w:hAnsi="Times New Roman"/>
          <w:sz w:val="18"/>
          <w:szCs w:val="18"/>
          <w:color w:val="auto"/>
        </w:rPr>
        <w:t>– Creative Realities offers true solutions to our customers. Creative Realities is one of only a few companies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capable of providing the full portfolio of products and services required to implement and run an effective digital signage and in-store retail media networks. We leverage a ‘single vendor’ approach, providing customers with a one-stop-shop for sourcing digital signage and media solutions from design through day two services.</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left="980" w:hanging="327"/>
        <w:spacing w:after="0" w:line="267"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Managed labor pool </w:t>
      </w:r>
      <w:r>
        <w:rPr>
          <w:rFonts w:ascii="Times New Roman" w:cs="Times New Roman" w:eastAsia="Times New Roman" w:hAnsi="Times New Roman"/>
          <w:sz w:val="18"/>
          <w:szCs w:val="18"/>
          <w:color w:val="auto"/>
        </w:rPr>
        <w:t>– Unlike most companies in our industry, we have a curated labor pool of qualified and vetted field technicians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service customers quickly nationwide. We can meet tight schedules even in exceptionally large deployments and still ensure quality and consistency.</w:t>
      </w:r>
    </w:p>
    <w:p>
      <w:pPr>
        <w:spacing w:after="0" w:line="170" w:lineRule="exact"/>
        <w:rPr>
          <w:rFonts w:ascii="Times New Roman" w:cs="Times New Roman" w:eastAsia="Times New Roman" w:hAnsi="Times New Roman"/>
          <w:sz w:val="18"/>
          <w:szCs w:val="18"/>
          <w:color w:val="auto"/>
        </w:rPr>
      </w:pPr>
    </w:p>
    <w:p>
      <w:pPr>
        <w:jc w:val="both"/>
        <w:ind w:left="980" w:hanging="327"/>
        <w:spacing w:after="0" w:line="267"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In-house creative resources </w:t>
      </w:r>
      <w:r>
        <w:rPr>
          <w:rFonts w:ascii="Times New Roman" w:cs="Times New Roman" w:eastAsia="Times New Roman" w:hAnsi="Times New Roman"/>
          <w:sz w:val="18"/>
          <w:szCs w:val="18"/>
          <w:color w:val="auto"/>
        </w:rPr>
        <w:t>– We assist customers in creating new content or repurposing existing content for digital signage experiences,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activity for which the Company has won several design awards in recent years. In each instance, our services can be essential in helping customers develop an effective content program.</w:t>
      </w:r>
    </w:p>
    <w:p>
      <w:pPr>
        <w:spacing w:after="0" w:line="170" w:lineRule="exact"/>
        <w:rPr>
          <w:rFonts w:ascii="Times New Roman" w:cs="Times New Roman" w:eastAsia="Times New Roman" w:hAnsi="Times New Roman"/>
          <w:sz w:val="18"/>
          <w:szCs w:val="18"/>
          <w:color w:val="auto"/>
        </w:rPr>
      </w:pPr>
    </w:p>
    <w:p>
      <w:pPr>
        <w:jc w:val="both"/>
        <w:ind w:left="980" w:hanging="327"/>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Network scalability and reliability </w:t>
      </w:r>
      <w:r>
        <w:rPr>
          <w:rFonts w:ascii="Times New Roman" w:cs="Times New Roman" w:eastAsia="Times New Roman" w:hAnsi="Times New Roman"/>
          <w:sz w:val="18"/>
          <w:szCs w:val="18"/>
          <w:color w:val="auto"/>
        </w:rPr>
        <w:t>– Our software as a service (“SaaS”) content management platforms power some of the largest and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complex digital signage networks in North America, evidencing our ability to manage enterprise scale projects. This also provides us purchasing power to source products and services for our customers, enabling us to deliver cost effective, reliable, and powerful solutions to small and medium size business customers.</w:t>
      </w:r>
    </w:p>
    <w:p>
      <w:pPr>
        <w:spacing w:after="0" w:line="175" w:lineRule="exact"/>
        <w:rPr>
          <w:rFonts w:ascii="Times New Roman" w:cs="Times New Roman" w:eastAsia="Times New Roman" w:hAnsi="Times New Roman"/>
          <w:sz w:val="18"/>
          <w:szCs w:val="18"/>
          <w:color w:val="auto"/>
        </w:rPr>
      </w:pPr>
    </w:p>
    <w:p>
      <w:pPr>
        <w:jc w:val="both"/>
        <w:ind w:left="980" w:hanging="327"/>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AdTech platforms </w:t>
      </w:r>
      <w:r>
        <w:rPr>
          <w:rFonts w:ascii="Times New Roman" w:cs="Times New Roman" w:eastAsia="Times New Roman" w:hAnsi="Times New Roman"/>
          <w:sz w:val="18"/>
          <w:szCs w:val="18"/>
          <w:color w:val="auto"/>
        </w:rPr>
        <w:t>– The Company has developed and deployed the AdLogic and CPM+ platforms, which, working in conjunction with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CMS platforms, present completely integrated digital advertising solutions for existing and prospective customers seeking to monetize their in-store retail media networks. These platforms anchor the Company's vertical expansion into AdTech bringing new, and expanding existing, addressable markets.</w:t>
      </w:r>
    </w:p>
    <w:p>
      <w:pPr>
        <w:spacing w:after="0" w:line="175" w:lineRule="exact"/>
        <w:rPr>
          <w:rFonts w:ascii="Times New Roman" w:cs="Times New Roman" w:eastAsia="Times New Roman" w:hAnsi="Times New Roman"/>
          <w:sz w:val="18"/>
          <w:szCs w:val="18"/>
          <w:color w:val="auto"/>
        </w:rPr>
      </w:pPr>
    </w:p>
    <w:p>
      <w:pPr>
        <w:jc w:val="both"/>
        <w:ind w:left="980" w:hanging="327"/>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sector expertise </w:t>
      </w:r>
      <w:r>
        <w:rPr>
          <w:rFonts w:ascii="Times New Roman" w:cs="Times New Roman" w:eastAsia="Times New Roman" w:hAnsi="Times New Roman"/>
          <w:sz w:val="18"/>
          <w:szCs w:val="18"/>
          <w:color w:val="auto"/>
        </w:rPr>
        <w:t>– Creative Realities has in-house experts in key market segments such as retail, quick-serve restaurants (“QSR”),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convenience stores, and Digital Out of Home (“DOOH”) advertising. Our expertise in these business segments enables our teams to provide meaningful business conversations and offer tailored solutions with prospects and customers to their unique business objectives. These experts build industry relationship and create thought leadership that drives lead flow and new opportunities for our business.</w:t>
      </w:r>
    </w:p>
    <w:p>
      <w:pPr>
        <w:spacing w:after="0" w:line="175" w:lineRule="exact"/>
        <w:rPr>
          <w:rFonts w:ascii="Times New Roman" w:cs="Times New Roman" w:eastAsia="Times New Roman" w:hAnsi="Times New Roman"/>
          <w:sz w:val="18"/>
          <w:szCs w:val="18"/>
          <w:color w:val="auto"/>
        </w:rPr>
      </w:pPr>
    </w:p>
    <w:p>
      <w:pPr>
        <w:ind w:left="980" w:hanging="327"/>
        <w:spacing w:after="0" w:line="285"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Logistics </w:t>
      </w:r>
      <w:r>
        <w:rPr>
          <w:rFonts w:ascii="Times New Roman" w:cs="Times New Roman" w:eastAsia="Times New Roman" w:hAnsi="Times New Roman"/>
          <w:sz w:val="18"/>
          <w:szCs w:val="18"/>
          <w:color w:val="auto"/>
        </w:rPr>
        <w:t>– Implementing a large digital signage project can be a logistical nightmare that can stall an initiative, even before deployment.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in logistics improves deployment efficiency, reduces delays and problems, and saves customers time and money.</w:t>
      </w:r>
    </w:p>
    <w:p>
      <w:pPr>
        <w:spacing w:after="0" w:line="154" w:lineRule="exact"/>
        <w:rPr>
          <w:rFonts w:ascii="Times New Roman" w:cs="Times New Roman" w:eastAsia="Times New Roman" w:hAnsi="Times New Roman"/>
          <w:sz w:val="18"/>
          <w:szCs w:val="18"/>
          <w:color w:val="auto"/>
        </w:rPr>
      </w:pPr>
    </w:p>
    <w:p>
      <w:pPr>
        <w:jc w:val="both"/>
        <w:ind w:left="980" w:hanging="327"/>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support </w:t>
      </w:r>
      <w:r>
        <w:rPr>
          <w:rFonts w:ascii="Times New Roman" w:cs="Times New Roman" w:eastAsia="Times New Roman" w:hAnsi="Times New Roman"/>
          <w:sz w:val="18"/>
          <w:szCs w:val="18"/>
          <w:color w:val="auto"/>
        </w:rPr>
        <w:t>– Digital signage networks present unique challenges for corporate IT departments. We simplify and improve end user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by leveraging our own Network Operations Center (“NOC”) in Louisville, Kentucky. The NOC resolves many issues remotely and when field support is required, it can be dispatched quickly from the NOC, leveraging our managed labor pool to resolve customer issues quickly and effectively.</w:t>
      </w:r>
    </w:p>
    <w:p>
      <w:pPr>
        <w:spacing w:after="0" w:line="175" w:lineRule="exact"/>
        <w:rPr>
          <w:rFonts w:ascii="Times New Roman" w:cs="Times New Roman" w:eastAsia="Times New Roman" w:hAnsi="Times New Roman"/>
          <w:sz w:val="18"/>
          <w:szCs w:val="18"/>
          <w:color w:val="auto"/>
        </w:rPr>
      </w:pPr>
    </w:p>
    <w:p>
      <w:pPr>
        <w:jc w:val="both"/>
        <w:ind w:left="980" w:hanging="327"/>
        <w:spacing w:after="0" w:line="267"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Integrations and Application Development </w:t>
      </w:r>
      <w:r>
        <w:rPr>
          <w:rFonts w:ascii="Times New Roman" w:cs="Times New Roman" w:eastAsia="Times New Roman" w:hAnsi="Times New Roman"/>
          <w:sz w:val="18"/>
          <w:szCs w:val="18"/>
          <w:color w:val="auto"/>
        </w:rPr>
        <w:t>– From social media feeds, mobile integrations, corporate data stores, and Point of Sale (“POS”)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our proven ability to build scalable applications and integrations is a key advantage that customers can leverage to deliver more compelling and engaging experiences for their customers.</w:t>
      </w:r>
    </w:p>
    <w:p>
      <w:pPr>
        <w:spacing w:after="0" w:line="170" w:lineRule="exact"/>
        <w:rPr>
          <w:rFonts w:ascii="Times New Roman" w:cs="Times New Roman" w:eastAsia="Times New Roman" w:hAnsi="Times New Roman"/>
          <w:sz w:val="18"/>
          <w:szCs w:val="18"/>
          <w:color w:val="auto"/>
        </w:rPr>
      </w:pPr>
    </w:p>
    <w:p>
      <w:pPr>
        <w:jc w:val="both"/>
        <w:ind w:left="980" w:hanging="327"/>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Hardware support </w:t>
      </w:r>
      <w:r>
        <w:rPr>
          <w:rFonts w:ascii="Times New Roman" w:cs="Times New Roman" w:eastAsia="Times New Roman" w:hAnsi="Times New Roman"/>
          <w:sz w:val="18"/>
          <w:szCs w:val="18"/>
          <w:color w:val="auto"/>
        </w:rPr>
        <w:t>– Some digital signage providers sell a proprietary media player or align themselves with just one operating system.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utilize a range of media players including Windows, Android and BrightSign to provide customers the flexibility they need to select the appropriate hardware for any application knowing the entire network can still be served by a single digital signage platform, reducing complexity and improving the productivity of our customers.</w:t>
      </w:r>
    </w:p>
    <w:p>
      <w:pPr>
        <w:spacing w:after="0" w:line="17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Media Network </w:t>
      </w:r>
      <w:r>
        <w:rPr>
          <w:rFonts w:ascii="Times New Roman" w:cs="Times New Roman" w:eastAsia="Times New Roman" w:hAnsi="Times New Roman"/>
          <w:sz w:val="18"/>
          <w:szCs w:val="18"/>
          <w:color w:val="auto"/>
        </w:rPr>
        <w:t>– The Company owns and operates the largest mall shopping network in Canada.</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 primary sources of revenue for the Company are:</w:t>
      </w:r>
    </w:p>
    <w:p>
      <w:pPr>
        <w:spacing w:after="0" w:line="223" w:lineRule="exact"/>
        <w:rPr>
          <w:sz w:val="20"/>
          <w:szCs w:val="20"/>
          <w:color w:val="auto"/>
        </w:rPr>
      </w:pPr>
    </w:p>
    <w:p>
      <w:pPr>
        <w:ind w:left="980" w:hanging="327"/>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sales from reselling digital signage hardware from original equipment manufacturers such as Samsung and BrightSign.</w:t>
      </w:r>
    </w:p>
    <w:p>
      <w:pPr>
        <w:spacing w:after="0" w:line="25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from helping customers design, deploy and manage their digital signage and in-store retail media networks, including:</w:t>
      </w:r>
    </w:p>
    <w:p>
      <w:pPr>
        <w:spacing w:after="0" w:line="250" w:lineRule="exact"/>
        <w:rPr>
          <w:rFonts w:ascii="Times New Roman" w:cs="Times New Roman" w:eastAsia="Times New Roman" w:hAnsi="Times New Roman"/>
          <w:sz w:val="18"/>
          <w:szCs w:val="18"/>
          <w:color w:val="auto"/>
        </w:rPr>
      </w:pPr>
    </w:p>
    <w:p>
      <w:pPr>
        <w:ind w:left="1300" w:hanging="32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system design/engineering</w:t>
      </w:r>
    </w:p>
    <w:p>
      <w:pPr>
        <w:spacing w:after="0" w:line="277" w:lineRule="exact"/>
        <w:rPr>
          <w:rFonts w:ascii="Times New Roman" w:cs="Times New Roman" w:eastAsia="Times New Roman" w:hAnsi="Times New Roman"/>
          <w:sz w:val="18"/>
          <w:szCs w:val="18"/>
          <w:color w:val="auto"/>
        </w:rPr>
      </w:pPr>
    </w:p>
    <w:p>
      <w:pPr>
        <w:ind w:left="1300" w:hanging="32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installation</w:t>
      </w:r>
    </w:p>
    <w:p>
      <w:pPr>
        <w:spacing w:after="0" w:line="277" w:lineRule="exact"/>
        <w:rPr>
          <w:rFonts w:ascii="Times New Roman" w:cs="Times New Roman" w:eastAsia="Times New Roman" w:hAnsi="Times New Roman"/>
          <w:sz w:val="18"/>
          <w:szCs w:val="18"/>
          <w:color w:val="auto"/>
        </w:rPr>
      </w:pPr>
    </w:p>
    <w:p>
      <w:pPr>
        <w:ind w:left="1300" w:hanging="32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development</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300" w:hanging="324"/>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scheduling</w:t>
      </w:r>
    </w:p>
    <w:p>
      <w:pPr>
        <w:spacing w:after="0" w:line="277" w:lineRule="exact"/>
        <w:rPr>
          <w:rFonts w:ascii="Times New Roman" w:cs="Times New Roman" w:eastAsia="Times New Roman" w:hAnsi="Times New Roman"/>
          <w:sz w:val="18"/>
          <w:szCs w:val="18"/>
          <w:color w:val="auto"/>
        </w:rPr>
      </w:pPr>
    </w:p>
    <w:p>
      <w:pPr>
        <w:ind w:left="1300" w:hanging="324"/>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Post-deployment network and field support</w:t>
      </w:r>
    </w:p>
    <w:p>
      <w:pPr>
        <w:spacing w:after="0" w:line="258" w:lineRule="exact"/>
        <w:rPr>
          <w:rFonts w:ascii="Times New Roman" w:cs="Times New Roman" w:eastAsia="Times New Roman" w:hAnsi="Times New Roman"/>
          <w:sz w:val="18"/>
          <w:szCs w:val="18"/>
          <w:color w:val="auto"/>
        </w:rPr>
      </w:pPr>
    </w:p>
    <w:p>
      <w:pPr>
        <w:ind w:left="1300" w:hanging="324"/>
        <w:spacing w:after="0"/>
        <w:tabs>
          <w:tab w:leader="none" w:pos="13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AdTech to traffic advertising and content directly and through programmatic channels</w:t>
      </w:r>
    </w:p>
    <w:p>
      <w:pPr>
        <w:spacing w:after="0" w:line="223" w:lineRule="exact"/>
        <w:rPr>
          <w:rFonts w:ascii="Times New Roman" w:cs="Times New Roman" w:eastAsia="Times New Roman" w:hAnsi="Times New Roman"/>
          <w:sz w:val="22"/>
          <w:szCs w:val="22"/>
          <w:color w:val="auto"/>
        </w:rPr>
      </w:pPr>
    </w:p>
    <w:p>
      <w:pPr>
        <w:ind w:left="980" w:right="20" w:hanging="327"/>
        <w:spacing w:after="0" w:line="28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subscription licensing and support revenue from our digital signage software platforms, which are generally sold via a SaaS model. Our platforms include:</w:t>
      </w:r>
    </w:p>
    <w:p>
      <w:pPr>
        <w:spacing w:after="0" w:line="158" w:lineRule="exact"/>
        <w:rPr>
          <w:rFonts w:ascii="Times New Roman" w:cs="Times New Roman" w:eastAsia="Times New Roman" w:hAnsi="Times New Roman"/>
          <w:sz w:val="18"/>
          <w:szCs w:val="18"/>
          <w:color w:val="auto"/>
        </w:rPr>
      </w:pPr>
    </w:p>
    <w:p>
      <w:pPr>
        <w:ind w:left="1300" w:hanging="324"/>
        <w:spacing w:after="0"/>
        <w:tabs>
          <w:tab w:leader="none" w:pos="130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ReflectView</w:t>
      </w:r>
      <w:r>
        <w:rPr>
          <w:rFonts w:ascii="Times New Roman" w:cs="Times New Roman" w:eastAsia="Times New Roman" w:hAnsi="Times New Roman"/>
          <w:sz w:val="17"/>
          <w:szCs w:val="17"/>
          <w:color w:val="auto"/>
        </w:rPr>
        <w:t>, the Company’s core digital signage platform for most applications, scalable and cost effective from 10 to 100,000+ devices;</w:t>
      </w:r>
    </w:p>
    <w:p>
      <w:pPr>
        <w:spacing w:after="0" w:line="288" w:lineRule="exact"/>
        <w:rPr>
          <w:rFonts w:ascii="Times New Roman" w:cs="Times New Roman" w:eastAsia="Times New Roman" w:hAnsi="Times New Roman"/>
          <w:sz w:val="17"/>
          <w:szCs w:val="17"/>
          <w:color w:val="auto"/>
        </w:rPr>
      </w:pPr>
    </w:p>
    <w:p>
      <w:pPr>
        <w:ind w:left="1300" w:hanging="324"/>
        <w:spacing w:after="0" w:line="285"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Reflect Xperience</w:t>
      </w:r>
      <w:r>
        <w:rPr>
          <w:rFonts w:ascii="Times New Roman" w:cs="Times New Roman" w:eastAsia="Times New Roman" w:hAnsi="Times New Roman"/>
          <w:sz w:val="18"/>
          <w:szCs w:val="18"/>
          <w:color w:val="auto"/>
        </w:rPr>
        <w:t>, a web-based interface that allows customers to give content scheduling access to local users via the web or mobile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devices, while still maintaining centralized programming control;</w:t>
      </w:r>
    </w:p>
    <w:p>
      <w:pPr>
        <w:spacing w:after="0" w:line="181" w:lineRule="exact"/>
        <w:rPr>
          <w:rFonts w:ascii="Times New Roman" w:cs="Times New Roman" w:eastAsia="Times New Roman" w:hAnsi="Times New Roman"/>
          <w:sz w:val="18"/>
          <w:szCs w:val="18"/>
          <w:color w:val="auto"/>
        </w:rPr>
      </w:pPr>
    </w:p>
    <w:p>
      <w:pPr>
        <w:ind w:left="1300" w:right="20" w:hanging="324"/>
        <w:spacing w:after="0" w:line="285"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AdLogic</w:t>
      </w:r>
      <w:r>
        <w:rPr>
          <w:rFonts w:ascii="Times New Roman" w:cs="Times New Roman" w:eastAsia="Times New Roman" w:hAnsi="Times New Roman"/>
          <w:sz w:val="18"/>
          <w:szCs w:val="18"/>
          <w:color w:val="auto"/>
        </w:rPr>
        <w:t>, the Company’s AdTech management platform for digital signage networks, which presently delivers approximately 50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ads daily;</w:t>
      </w:r>
    </w:p>
    <w:p>
      <w:pPr>
        <w:spacing w:after="0" w:line="181" w:lineRule="exact"/>
        <w:rPr>
          <w:rFonts w:ascii="Times New Roman" w:cs="Times New Roman" w:eastAsia="Times New Roman" w:hAnsi="Times New Roman"/>
          <w:sz w:val="18"/>
          <w:szCs w:val="18"/>
          <w:color w:val="auto"/>
        </w:rPr>
      </w:pPr>
    </w:p>
    <w:p>
      <w:pPr>
        <w:ind w:left="1300" w:hanging="324"/>
        <w:spacing w:after="0" w:line="285"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CPM+</w:t>
      </w:r>
      <w:r>
        <w:rPr>
          <w:rFonts w:ascii="Times New Roman" w:cs="Times New Roman" w:eastAsia="Times New Roman" w:hAnsi="Times New Roman"/>
          <w:sz w:val="18"/>
          <w:szCs w:val="18"/>
          <w:color w:val="auto"/>
        </w:rPr>
        <w:t>, the Company’s demand side and supply side platform with campaign management and extensive capabilities for programmatic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advertising;</w:t>
      </w:r>
    </w:p>
    <w:p>
      <w:pPr>
        <w:spacing w:after="0" w:line="181" w:lineRule="exact"/>
        <w:rPr>
          <w:rFonts w:ascii="Times New Roman" w:cs="Times New Roman" w:eastAsia="Times New Roman" w:hAnsi="Times New Roman"/>
          <w:sz w:val="18"/>
          <w:szCs w:val="18"/>
          <w:color w:val="auto"/>
        </w:rPr>
      </w:pPr>
    </w:p>
    <w:p>
      <w:pPr>
        <w:ind w:left="1300" w:hanging="324"/>
        <w:spacing w:after="0" w:line="285"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Clarity</w:t>
      </w:r>
      <w:r>
        <w:rPr>
          <w:rFonts w:ascii="Times New Roman" w:cs="Times New Roman" w:eastAsia="Times New Roman" w:hAnsi="Times New Roman"/>
          <w:sz w:val="18"/>
          <w:szCs w:val="18"/>
          <w:color w:val="auto"/>
        </w:rPr>
        <w:t>, the Company’s digital signage platform for menu board solutions, which has become a market leader for a range of restaurant,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QSR and convenience store applications; and</w:t>
      </w:r>
    </w:p>
    <w:p>
      <w:pPr>
        <w:spacing w:after="0" w:line="181" w:lineRule="exact"/>
        <w:rPr>
          <w:rFonts w:ascii="Times New Roman" w:cs="Times New Roman" w:eastAsia="Times New Roman" w:hAnsi="Times New Roman"/>
          <w:sz w:val="18"/>
          <w:szCs w:val="18"/>
          <w:color w:val="auto"/>
        </w:rPr>
      </w:pPr>
    </w:p>
    <w:p>
      <w:pPr>
        <w:ind w:left="1300" w:hanging="324"/>
        <w:spacing w:after="0" w:line="285"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iShowroomProX</w:t>
      </w:r>
      <w:r>
        <w:rPr>
          <w:rFonts w:ascii="Times New Roman" w:cs="Times New Roman" w:eastAsia="Times New Roman" w:hAnsi="Times New Roman"/>
          <w:sz w:val="18"/>
          <w:szCs w:val="18"/>
          <w:color w:val="auto"/>
        </w:rPr>
        <w:t>, an omni-channel digital sales support platform targeted at original equipment manufacturers in the transportation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sector, which integrates with dozens of key data services including dealer inventory at the VIN level.</w:t>
      </w:r>
    </w:p>
    <w:p>
      <w:pPr>
        <w:spacing w:after="0" w:line="158"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While hardware sales and support services revenues can fluctuate more significantly year over year based on new, large-scale network deployments, the Company is focusing on maintaining and increasing recurring SaaS revenue as digital signage adoption/utilization expands across the vertical markets we serve.</w:t>
      </w:r>
    </w:p>
    <w:p>
      <w:pPr>
        <w:spacing w:after="0" w:line="175"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We believe that the adoption and evolution of our digital signage technology solutions will increase substantially in years to come in the industries in which we currently focus and in other industries. We believe that the costs of such hardware will decrease over time as it has done so historically. Flat panel displays, along with LED technology and digital media players typically constitute a large portion of the expenditure customers make relative to the entire cost of implementing a digital marketing system implementation and can be a barrier to customer deployment. As a result, we believe that the broader adoption of digital marketing technology solutions is likely to increase, although we cannot predict the rate at which such adoption will occur. We believe the proliferation of in-store retail media networks will be an industrial catalyst for infrastructure and AdTech sales for which the Company is well situated from product set and technology stack standpoints.</w:t>
      </w:r>
    </w:p>
    <w:p>
      <w:pPr>
        <w:spacing w:after="0" w:line="189"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Another component of our business strategy is to acquire and integrate other operating companies in the industries we operate. We believe that the selective acquisition and successful integration of certain companies will: accelerate our growth in targeted vertical and operating markets; enable us to cost-effectively aggregate multiple customer bases onto a single business and technology platform; provide us with greater operating scale on a consolidated basis; enable us to leverage a common set of processes and tools, and cost efficiencies company-wide; and ultimately result in higher operating profitability and cash flow from operations. Our management team’s primary focus is the continued acceleration of organic growth, but secondarily evaluates acquisition opportunities on an ongoing basis. Our management team and Board of Directors have broad experience with the execution, integration, and financing of acquisitions and seek only accretive strategic transactions with material cost synergies as a result of overlapping or concurrent content management system capabilities with focus on eliminating the associated cost structure for these systems.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7"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We believe that our existing business model is highly scalable and can be expanded successfully as we continue to grow organically, seek to acquire and integrate other companies in our target markets, strengthen our operational practices and procedures, further streamline our administrative office functions, and continue to capitalize on various marketing programs and activities. With a focus on SaaS revenues, we believe that our gross margins will rise as our business scales.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7"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We believe certain digital marketing technology industry trends are creating the opportunity for retailers, brands, venue-operators, enterprises, non-profits and other organizations to create innovative shopping, marketing, and informational experiences for their customers and other stakeholders in various venues worldwide. These trends include: (i) the expectations of technology-savvy consumers; (ii) addressing on-line competitors by improving physical experiences; (iii) a decline in the cost of hardware configurations (primarily flat panel displays) and software media players; (iv) the continued evolution of mobile, social, software and hardware technologies, applications and tools; (v) increasing sophistication of social networking platforms; (vi) increasingly complex customer requirements related to their specific digital marketing technology and solution objectives; and (vii) customer expectations of satisfactory consumer experiences with reduced installation and operating costs.</w:t>
      </w:r>
    </w:p>
    <w:p>
      <w:pPr>
        <w:spacing w:after="0" w:line="189"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As a result, a growing number of retailers, brands, venue-operators, and other organizations have identified the need and opportunity to implement increasingly agile, automated, targeted and cost-effective and “sales-lifting” digital marketing, and interactive experiences to market to their customers. These experiences include creating unique and customized experiences for targeted, timely offerings and relevant promotions; improving engagement resulting in increased sales; and increasing shopping basket size. We believe our customers consider capitalizing on these industry trends to be increasingly critical to any successful “store of the future” retail and brand sales environment, especially where sales staff turnover is high, training outcomes are inconsistent and product knowledge is low.</w:t>
      </w:r>
    </w:p>
    <w:p>
      <w:pPr>
        <w:spacing w:after="0" w:line="187"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Companies are implementing various digital marketing technology solutions, which: are implemented in multiple forms and types of configurations and locations; attempt to achieve any of a broad range of individual or combination of objectives; contain various levels of targeting; have the ability to instantly manage single or multiple locations remotely from a customer’s desktop or other connected device at each location; and are built to deliver or contain a standard or customized customer experience unique to and within the customer’s environment. Examples of such solutions include:</w:t>
      </w:r>
    </w:p>
    <w:p>
      <w:pPr>
        <w:spacing w:after="0" w:line="183" w:lineRule="exact"/>
        <w:rPr>
          <w:sz w:val="20"/>
          <w:szCs w:val="20"/>
          <w:color w:val="auto"/>
        </w:rPr>
      </w:pPr>
    </w:p>
    <w:p>
      <w:pPr>
        <w:ind w:left="980" w:right="20" w:hanging="327"/>
        <w:spacing w:after="0" w:line="28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Merchandising Systems, to inform and interact with customers through various types of content in an integrated experience, improve in-store customer experiences and increase overall sales, upsells, and/or cross-sales;</w:t>
      </w:r>
    </w:p>
    <w:p>
      <w:pPr>
        <w:spacing w:after="0" w:line="189" w:lineRule="exact"/>
        <w:rPr>
          <w:rFonts w:ascii="Times New Roman" w:cs="Times New Roman" w:eastAsia="Times New Roman" w:hAnsi="Times New Roman"/>
          <w:sz w:val="18"/>
          <w:szCs w:val="18"/>
          <w:color w:val="auto"/>
        </w:rPr>
      </w:pPr>
    </w:p>
    <w:p>
      <w:pPr>
        <w:ind w:left="980" w:hanging="327"/>
        <w:spacing w:after="0" w:line="28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Sales Assistants, to replace or augment existing sales resources and the level of interactive and informational sales assistance inside the store;</w:t>
      </w:r>
    </w:p>
    <w:p>
      <w:pPr>
        <w:spacing w:after="0" w:line="189" w:lineRule="exact"/>
        <w:rPr>
          <w:rFonts w:ascii="Times New Roman" w:cs="Times New Roman" w:eastAsia="Times New Roman" w:hAnsi="Times New Roman"/>
          <w:sz w:val="18"/>
          <w:szCs w:val="18"/>
          <w:color w:val="auto"/>
        </w:rPr>
      </w:pPr>
    </w:p>
    <w:p>
      <w:pPr>
        <w:ind w:left="980" w:hanging="327"/>
        <w:spacing w:after="0" w:line="28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Way-Finders, to help customers navigate their way around individual retail stores and multi-store locations or venues, or within individual brand categories;</w:t>
      </w:r>
    </w:p>
    <w:p>
      <w:pPr>
        <w:spacing w:after="0" w:line="189" w:lineRule="exact"/>
        <w:rPr>
          <w:rFonts w:ascii="Times New Roman" w:cs="Times New Roman" w:eastAsia="Times New Roman" w:hAnsi="Times New Roman"/>
          <w:sz w:val="18"/>
          <w:szCs w:val="18"/>
          <w:color w:val="auto"/>
        </w:rPr>
      </w:pPr>
    </w:p>
    <w:p>
      <w:pPr>
        <w:ind w:left="980" w:right="20" w:hanging="327"/>
        <w:spacing w:after="0" w:line="28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Kiosks, to provide data, specialized and customized broadcasts, promotional information and coupons, train, and other forms of information and interaction with customers in a variety of deployment forms, types, configurations and experiences;</w:t>
      </w:r>
    </w:p>
    <w:p>
      <w:pPr>
        <w:spacing w:after="0" w:line="189" w:lineRule="exact"/>
        <w:rPr>
          <w:rFonts w:ascii="Times New Roman" w:cs="Times New Roman" w:eastAsia="Times New Roman" w:hAnsi="Times New Roman"/>
          <w:sz w:val="18"/>
          <w:szCs w:val="18"/>
          <w:color w:val="auto"/>
        </w:rPr>
      </w:pPr>
    </w:p>
    <w:p>
      <w:pPr>
        <w:ind w:left="980" w:hanging="327"/>
        <w:spacing w:after="0" w:line="28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Menu-Board Systems, to enable various types of restaurant operators the ability to remotely and on a scheduled basis, update and modify menu information, promotions, and other forms of content dynamically; and</w:t>
      </w:r>
    </w:p>
    <w:p>
      <w:pPr>
        <w:spacing w:after="0" w:line="189" w:lineRule="exact"/>
        <w:rPr>
          <w:rFonts w:ascii="Times New Roman" w:cs="Times New Roman" w:eastAsia="Times New Roman" w:hAnsi="Times New Roman"/>
          <w:sz w:val="18"/>
          <w:szCs w:val="18"/>
          <w:color w:val="auto"/>
        </w:rPr>
      </w:pPr>
    </w:p>
    <w:p>
      <w:pPr>
        <w:ind w:left="980" w:hanging="327"/>
        <w:spacing w:after="0" w:line="28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Digital Signage, including Advertising Networks, to deliver and manage in-store marketing and advertising campaigns, specialized and customized broadcasts, and various other forms of messaging targeting customers in a particular experience or environment.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Markets</w:t>
      </w:r>
    </w:p>
    <w:p>
      <w:pPr>
        <w:spacing w:after="0" w:line="227"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We currently market and sell our marketing technology solutions through our direct sales force, inside sales team, and word-of-mouth referrals from existing customers. Select strategic partnerships and lead generation programs also drive business to the Company through targeted business development initiatives. We market to companies that seek digital marketing solutions across multiple connected devices and who specifically seek or could benefit from enhancements to the customer experience offered in their stores, venues, brands or organizations.</w:t>
      </w:r>
    </w:p>
    <w:p>
      <w:pPr>
        <w:spacing w:after="0" w:line="183"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Our digital marketing technology solutions apply in a wide variety of industries. The industries in which we primarily sell our solutions are established and include automotive, retail, DOOH including advertising networks and retail media networks, foodservice/QSR, financial services, gaming, and sports and entertainment venues. A number of participants in these industries have only recently started considering or expanding the adoption of these types of technologies, solutions, and experiences as part of their overall marketing strategies.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25"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A portion of our customer activity is influenced by seasonal effects related to traditional end of calendar year peak retail sales periods, traditional spring stadium/venue opening seasons, and certain other factors that arise from our target customer base. Nevertheless, our revenues can be materially affected by the launch of new markets, the timing of production rollouts, and other factors, any of which have the ability to reduce or outweigh certain seasonal effects.</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General Economic Conditions on our Business</w:t>
      </w:r>
    </w:p>
    <w:p>
      <w:pPr>
        <w:spacing w:after="0" w:line="225" w:lineRule="exact"/>
        <w:rPr>
          <w:sz w:val="20"/>
          <w:szCs w:val="20"/>
          <w:color w:val="auto"/>
        </w:rPr>
      </w:pPr>
    </w:p>
    <w:p>
      <w:pPr>
        <w:jc w:val="both"/>
        <w:ind w:firstLine="646"/>
        <w:spacing w:after="0" w:line="276" w:lineRule="auto"/>
        <w:rPr>
          <w:sz w:val="20"/>
          <w:szCs w:val="20"/>
          <w:color w:val="auto"/>
        </w:rPr>
      </w:pPr>
      <w:r>
        <w:rPr>
          <w:rFonts w:ascii="Times New Roman" w:cs="Times New Roman" w:eastAsia="Times New Roman" w:hAnsi="Times New Roman"/>
          <w:sz w:val="17"/>
          <w:szCs w:val="17"/>
          <w:color w:val="auto"/>
        </w:rPr>
        <w:t>We believe that demand for our services will increase in the future in part because of new construction and remodeling activities of pre-existing retail, convenience store, stadium, and event venues. While we do see reductions in retail footprints across the U.S., we see a continued focus on integration of digital into the retail marketplace and a focus on digital refreshes within the retail space to stay relevant in an evolving e-commerce marketplace. Recent general economic conditions have generally made it easier for our customers to justify decisions to invest in digital marketing technology solutions. A change in the macroeconomic trend in the U.S. could have a negative impact on our customers’ ability and/or willingness to advance their digital initiatives.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7"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We are regulated by various U.S. and Canadian federal and state/provincial governmental agencies. Such regulation includes radio frequency emission regulatory activities of the U.S. Federal Communications Commission, the consumer protection laws of the U.S. Federal Trade Commission, product safety regulatory activities of the U.S. Consumer Product Safety Commission, and environmental regulation in areas in which we conduct business. Some of the hardware components that we supply to customers may contain hazardous or regulated substances, such as lead. A number of U.S. states have adopted or are considering “takeback” bills addressing the disposal of electronic waste, including CRT style and flat panel monitors and computers. Electronic waste legislation is developing. Some of the bills passed or under consideration may impose on us, or on our customers or suppliers, requirements for disposal of systems we sell and the payment of additional fees to pay costs of disposal and recycling. Presently, we do not believe that any such legislation or proposed legislation will have a materially adverse impact on our business.</w:t>
      </w:r>
    </w:p>
    <w:p>
      <w:pPr>
        <w:spacing w:after="0" w:line="185" w:lineRule="exact"/>
        <w:rPr>
          <w:sz w:val="20"/>
          <w:szCs w:val="20"/>
          <w:color w:val="auto"/>
        </w:rPr>
      </w:pPr>
    </w:p>
    <w:p>
      <w:pPr>
        <w:jc w:val="both"/>
        <w:ind w:right="20" w:firstLine="646"/>
        <w:spacing w:after="0" w:line="280" w:lineRule="auto"/>
        <w:rPr>
          <w:sz w:val="20"/>
          <w:szCs w:val="20"/>
          <w:color w:val="auto"/>
        </w:rPr>
      </w:pPr>
      <w:r>
        <w:rPr>
          <w:rFonts w:ascii="Times New Roman" w:cs="Times New Roman" w:eastAsia="Times New Roman" w:hAnsi="Times New Roman"/>
          <w:sz w:val="18"/>
          <w:szCs w:val="18"/>
          <w:color w:val="auto"/>
        </w:rPr>
        <w:t>Our Canadian operations through CDM are headquartered in Waterloo, Ontario, and subject to a range of Canadian federal and provincial laws applicable to our digital signage, media network, and data management operations.</w:t>
      </w:r>
    </w:p>
    <w:p>
      <w:pPr>
        <w:spacing w:after="0" w:line="161"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 xml:space="preserve">At the federal level, CDM’s commercial activities are governed by the </w:t>
      </w:r>
      <w:r>
        <w:rPr>
          <w:rFonts w:ascii="Times New Roman" w:cs="Times New Roman" w:eastAsia="Times New Roman" w:hAnsi="Times New Roman"/>
          <w:sz w:val="18"/>
          <w:szCs w:val="18"/>
          <w:i w:val="1"/>
          <w:iCs w:val="1"/>
          <w:color w:val="auto"/>
        </w:rPr>
        <w:t>Personal Information Protection and Electronic Documents Act</w:t>
      </w:r>
      <w:r>
        <w:rPr>
          <w:rFonts w:ascii="Times New Roman" w:cs="Times New Roman" w:eastAsia="Times New Roman" w:hAnsi="Times New Roman"/>
          <w:sz w:val="18"/>
          <w:szCs w:val="18"/>
          <w:color w:val="auto"/>
        </w:rPr>
        <w:t xml:space="preserve"> (Canada) (“PIPEDA”) (S.C. 2000, c. 5), which regulates the collection, use, and disclosure of personal information in the course of commercial activity. PIPEDA applies to CDM with respect to customer and client data (s. 4(1)(a)) and personal information transferred to related entities and third-party processors, including transfers to CRI, CDM’s U.S. parent operations, for which CDM remains accountable under contractual and other protective obligations (Schedule 1, Principle 4.1.3). Depending on the technologies deployed in CDM’s digital signage and audience measurement operations, certain data collected or processed in connection with those activities may also constitute personal information subject to PIPEDA, including where applicable regulatory guidance issued by the Office of the Privacy Commissioner of Canada is engaged.</w:t>
      </w:r>
    </w:p>
    <w:p>
      <w:pPr>
        <w:spacing w:after="0" w:line="184"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 xml:space="preserve">CDM employs employees in Canada. Those employees are subject to applicable provincial employment-related legislation, for example, in Ontario, the </w:t>
      </w:r>
      <w:r>
        <w:rPr>
          <w:rFonts w:ascii="Times New Roman" w:cs="Times New Roman" w:eastAsia="Times New Roman" w:hAnsi="Times New Roman"/>
          <w:sz w:val="18"/>
          <w:szCs w:val="18"/>
          <w:i w:val="1"/>
          <w:iCs w:val="1"/>
          <w:color w:val="auto"/>
        </w:rPr>
        <w:t>Employment Standards Act, 2000 (Ontario)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Ontario Human Rights Code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Ontario Labour Relations Act, 1995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Workplace Safety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Insurance Act</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Occupational Health and Safety</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Accessibility for Ontarians with Disabilities Act, 2005 </w:t>
      </w:r>
      <w:r>
        <w:rPr>
          <w:rFonts w:ascii="Times New Roman" w:cs="Times New Roman" w:eastAsia="Times New Roman" w:hAnsi="Times New Roman"/>
          <w:sz w:val="18"/>
          <w:szCs w:val="18"/>
          <w:color w:val="auto"/>
        </w:rPr>
        <w:t>(“AODA”). Such provincial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legislation will govern most aspects of the employment relationship. The employment standards legislation specifically governs minimum notice and severance requirements, which differ materially from the at-will employment framework applicable to some of our U.S. workforce. In the absence of precisely draft termination clauses in employment agreements, common law principles often provide more generous termination entitlements for employees, specifically the concept of “reasonable notice” for termination of employment without cause.</w:t>
      </w:r>
    </w:p>
    <w:p>
      <w:pPr>
        <w:spacing w:after="0" w:line="189"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 xml:space="preserve">CDM also operates digital media display networks in shopping centres throughout different provinces across Canada, including Quebec, where the </w:t>
      </w:r>
      <w:r>
        <w:rPr>
          <w:rFonts w:ascii="Times New Roman" w:cs="Times New Roman" w:eastAsia="Times New Roman" w:hAnsi="Times New Roman"/>
          <w:sz w:val="18"/>
          <w:szCs w:val="18"/>
          <w:i w:val="1"/>
          <w:iCs w:val="1"/>
          <w:color w:val="auto"/>
        </w:rPr>
        <w:t xml:space="preserve">Charter of the French Language </w:t>
      </w:r>
      <w:r>
        <w:rPr>
          <w:rFonts w:ascii="Times New Roman" w:cs="Times New Roman" w:eastAsia="Times New Roman" w:hAnsi="Times New Roman"/>
          <w:sz w:val="18"/>
          <w:szCs w:val="18"/>
          <w:color w:val="auto"/>
        </w:rPr>
        <w:t>(as amended by Bill 96) imposes French-language requirements on commercial signage and certain digital interfaces.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CDM is also subject to applicable Quebec privacy legislation for intra-provincial commercial activity.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While we believe there is presently no direct competitor with the comprehensive offering of technologies, solutions, and services we provide to our customers, there are multiple individual competitors who offer subsets of our product and service offerings in the digital signage, DOOH and retail media network spaces. Our legacy operations continue to compete in the U.S. with digital signage software companies such as Stratacache and Poppulo; marketing services companies such as Sapient Nitro; digital signage systems integrators such as SageNet. CDM competes in Canada with digital signage software companies such as Coates Group, ICON, Stratacache, and Stingray; DOOH providers Quebecor (formerly NEO), Branded Cities, Pattison, and Bell Media; and retail media networks Pattison and Adapt Media. Some of these competitors may have significantly greater financial, technical, and marketing resources than we do and may be able to respond more rapidly than we can to new or emerging technologies or changes in customer requirements. We believe that our holistic sales and business development capabilities, network operations / field service management capabilities, our comprehensive offering of digital signage technology and solutions, brand awareness, and proprietary processes are the primary factors providing our competitive advantage.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22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We had one customer that accounted for 10% of revenue for the year ended December 31, 2025. Three customers accounted for 15%, 13% and 10% of revenue for the year ended December 31, 2024. We had one customer that accounted for 12% of accounts receivable as of December 31, 2025 and one customer that accounted for 16% of accounts receivable as of December 31, 2024.</w:t>
      </w:r>
    </w:p>
    <w:p>
      <w:pPr>
        <w:spacing w:after="0" w:line="175"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Decisions by one or more of these key customers to not renew, terminate, or substantially reduce their use of our products, technology, services, and platform could substantially slow our revenue growth and lead to a decline in revenue. Our business plan assumes continued growth in revenue, and it is unlikely that we will become profitable without a continued increase in revenue. For more information, see Item 1A. Risk Factors, “Our continued growth and financial performance could be adversely affected by the loss of several key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Territories</w:t>
      </w:r>
    </w:p>
    <w:p>
      <w:pPr>
        <w:spacing w:after="0" w:line="227"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We sell products and services primarily throughout North America, with limited software licensing agreements operating in other international jurisdictions.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7"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We strive to foster a great work environment and offer an exceptional experience through competitive pay, benefits, and training programs to our employees. Our objective is to attract, develop, retain, and reward individuals with the talent and skills to help support our business objectives. As of</w:t>
      </w:r>
    </w:p>
    <w:p>
      <w:pPr>
        <w:sectPr>
          <w:pgSz w:w="11900" w:h="16948" w:orient="portrait"/>
          <w:cols w:equalWidth="0" w:num="1">
            <w:col w:w="11240"/>
          </w:cols>
          <w:pgMar w:left="320" w:top="121" w:right="339" w:bottom="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December 31, 2025, we had 238 employees.</w:t>
      </w:r>
    </w:p>
    <w:p>
      <w:pPr>
        <w:spacing w:after="0" w:line="22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Organization</w:t>
      </w:r>
    </w:p>
    <w:p>
      <w:pPr>
        <w:spacing w:after="0" w:line="227"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We originally incorporated and organized as a Minnesota corporation under the name “Wireless Ronin Technologies, Inc.” in March 2003 and focused on our expertise in digital media marketing solutions, including digital signage, interactive kiosks, mobile, social media, and web-based media solutions. We acquired the interactive marketing technology business that we currently operate in a 2014 merger with Creative Realities, LLC. Shortly after that merger, we changed our corporate name from “Wireless Ronin Technologies, Inc.” to “Creative Realities, Inc.” On October 15, 2015, we acquired the systems integration and marketing technology business of ConeXus World Global, LLC. On November 20, 2018, we acquired Allure, an enterprise software development company. On February 17, 2022, we acquired Reflect Systems, Inc (“Reflect”). On November 7, 2025, we acquired DDC Group International, Inc., an Ontario corporation and wholly owned subsidiary of Cineplex (“DDC”). DDC is the parent company of its wholly owned subsidiary, Cineplex Digital Media Inc., an Ontario corporation (“CDMI”), and CDMI’s wholly owned subsidiary, Cineplex Digital Media US Inc., a Delaware corporation (“CDMUS”). On November 7, 2025, we effectuated two post-closing amalgamations which resulted in CDMI and CDMUS becoming wholly owned by us, which we refer to as “CDM”.</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principal offices are located at 13100 Magisterial Drive, Suite 201, Louisville, Kentucky 40223, and our telephone number at that office is</w:t>
      </w:r>
    </w:p>
    <w:p>
      <w:pPr>
        <w:spacing w:after="0" w:line="27" w:lineRule="exact"/>
        <w:rPr>
          <w:sz w:val="20"/>
          <w:szCs w:val="20"/>
          <w:color w:val="auto"/>
        </w:rPr>
      </w:pPr>
    </w:p>
    <w:p>
      <w:pPr>
        <w:ind w:right="20" w:firstLine="8"/>
        <w:spacing w:after="0" w:line="259" w:lineRule="auto"/>
        <w:tabs>
          <w:tab w:leader="none" w:pos="4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791-8800. We have additional offices in the Atlanta, Georgia and Waterloo, Ontario (Canada) metropolitan areas. Our internet address is www.cri.com. Information on our website does not constitute part of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Our business involves a high degree of risk. In evaluating our business, you should carefully consider the specific risks described below, and any risks described in our other filings with the Securities and Exchange Commission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pursuant to Sections 13(a), 13(c), 14, or 15(d) of the Exchange Act. Any of the risks we describe below or in our other filings with the SEC could cause our business, financial condition, results of operations or future prospects to be materially adversely affected. In addition, some of these risks contain forward-looking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generally incurred losses, and may never become or remain profitable.</w:t>
      </w:r>
    </w:p>
    <w:p>
      <w:pPr>
        <w:spacing w:after="0" w:line="227" w:lineRule="exact"/>
        <w:rPr>
          <w:sz w:val="20"/>
          <w:szCs w:val="20"/>
          <w:color w:val="auto"/>
        </w:rPr>
      </w:pPr>
    </w:p>
    <w:p>
      <w:pPr>
        <w:jc w:val="both"/>
        <w:ind w:right="20" w:firstLine="646"/>
        <w:spacing w:after="0" w:line="280" w:lineRule="auto"/>
        <w:rPr>
          <w:sz w:val="20"/>
          <w:szCs w:val="20"/>
          <w:color w:val="auto"/>
        </w:rPr>
      </w:pPr>
      <w:r>
        <w:rPr>
          <w:rFonts w:ascii="Times New Roman" w:cs="Times New Roman" w:eastAsia="Times New Roman" w:hAnsi="Times New Roman"/>
          <w:sz w:val="18"/>
          <w:szCs w:val="18"/>
          <w:color w:val="auto"/>
        </w:rPr>
        <w:t>We have incurred historical net losses, and we have had negative cash flows from operations. We incurred net losses in 2024 and 2025 and it is uncertain whether we will be able to obtain or increase our profitability in successive periods.</w:t>
      </w:r>
    </w:p>
    <w:p>
      <w:pPr>
        <w:spacing w:after="0" w:line="163"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We have formulated our business plans and strategies based on certain assumptions regarding the acceptance of our business model and the marketing of our products and services. Nevertheless, our assessments regarding market size, market share, market acceptance of our products and services and a variety of other factors may prove incorrect. Our future success will depend upon many factors, including factors beyond our control and those that cannot be predicted at this time.</w:t>
      </w:r>
    </w:p>
    <w:p>
      <w:pPr>
        <w:spacing w:after="0" w:line="179"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digital marketing business is evolving in a rapidly changing market, and we cannot ensure the long-term successful operation of our business or the execution of our business plan.</w:t>
      </w:r>
    </w:p>
    <w:p>
      <w:pPr>
        <w:spacing w:after="0" w:line="158"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Digital marketing technology and solutions are evolving, and the markets in which we compete are rapidly changing. As a result, our prospects must be considered in light of the risks, expenses and difficulties frequently encountered by growing companies in new and rapidly evolving markets. We may be unable to accomplish any of the following, which would materially impact our ability to implement our business plan:</w:t>
      </w:r>
    </w:p>
    <w:p>
      <w:pPr>
        <w:spacing w:after="0" w:line="175" w:lineRule="exact"/>
        <w:rPr>
          <w:sz w:val="20"/>
          <w:szCs w:val="20"/>
          <w:color w:val="auto"/>
        </w:rPr>
      </w:pPr>
    </w:p>
    <w:p>
      <w:pPr>
        <w:ind w:left="980" w:hanging="327"/>
        <w:spacing w:after="0" w:line="28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successfully developing new technology, solution, service, and platform features, including but not limited to the utilization of artificial intelligence, and increasing the functionality and features of our existing technology, solution, service, and platform offerings;</w:t>
      </w:r>
    </w:p>
    <w:p>
      <w:pPr>
        <w:spacing w:after="0" w:line="189" w:lineRule="exact"/>
        <w:rPr>
          <w:rFonts w:ascii="Times New Roman" w:cs="Times New Roman" w:eastAsia="Times New Roman" w:hAnsi="Times New Roman"/>
          <w:sz w:val="18"/>
          <w:szCs w:val="18"/>
          <w:color w:val="auto"/>
        </w:rPr>
      </w:pPr>
    </w:p>
    <w:p>
      <w:pPr>
        <w:ind w:left="980" w:hanging="327"/>
        <w:spacing w:after="0" w:line="28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broad market acceptance of our technology, solutions, services, and platforms, and converting that acceptance into direct and indirect sources of revenue;</w:t>
      </w:r>
    </w:p>
    <w:p>
      <w:pPr>
        <w:spacing w:after="0" w:line="189" w:lineRule="exact"/>
        <w:rPr>
          <w:rFonts w:ascii="Times New Roman" w:cs="Times New Roman" w:eastAsia="Times New Roman" w:hAnsi="Times New Roman"/>
          <w:sz w:val="18"/>
          <w:szCs w:val="18"/>
          <w:color w:val="auto"/>
        </w:rPr>
      </w:pPr>
    </w:p>
    <w:p>
      <w:pPr>
        <w:ind w:left="980" w:hanging="327"/>
        <w:spacing w:after="0" w:line="28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adoption of our technology, solutions, services, and platforms in and on a variety of environments, experiences, and device types;</w:t>
      </w:r>
    </w:p>
    <w:p>
      <w:pPr>
        <w:spacing w:after="0" w:line="189" w:lineRule="exact"/>
        <w:rPr>
          <w:rFonts w:ascii="Times New Roman" w:cs="Times New Roman" w:eastAsia="Times New Roman" w:hAnsi="Times New Roman"/>
          <w:sz w:val="18"/>
          <w:szCs w:val="18"/>
          <w:color w:val="auto"/>
        </w:rPr>
      </w:pPr>
    </w:p>
    <w:p>
      <w:pPr>
        <w:ind w:left="980" w:hanging="327"/>
        <w:spacing w:after="0" w:line="28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technology, solutions, services, and platforms that result in a high degree of customer satisfaction and a high level of end-customer usage;</w:t>
      </w:r>
    </w:p>
    <w:p>
      <w:pPr>
        <w:spacing w:after="0" w:line="189"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responding to competition, including competition from emerging technologies and solutions;</w:t>
      </w:r>
    </w:p>
    <w:p>
      <w:pPr>
        <w:spacing w:after="0" w:line="277" w:lineRule="exact"/>
        <w:rPr>
          <w:rFonts w:ascii="Times New Roman" w:cs="Times New Roman" w:eastAsia="Times New Roman" w:hAnsi="Times New Roman"/>
          <w:sz w:val="18"/>
          <w:szCs w:val="18"/>
          <w:color w:val="auto"/>
        </w:rPr>
      </w:pPr>
    </w:p>
    <w:p>
      <w:pPr>
        <w:ind w:left="980" w:hanging="327"/>
        <w:spacing w:after="0" w:line="28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maintaining strategic relationships to enhance the distribution, features, content and utility of our technology, solutions, services, and platforms;</w:t>
      </w:r>
    </w:p>
    <w:p>
      <w:pPr>
        <w:sectPr>
          <w:pgSz w:w="11900" w:h="16838" w:orient="portrait"/>
          <w:cols w:equalWidth="0" w:num="1">
            <w:col w:w="11240"/>
          </w:cols>
          <w:pgMar w:left="320" w:top="121" w:right="339"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980" w:hanging="327"/>
        <w:spacing w:after="0" w:line="28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attracting and retaining talented engineering, network operations, program management, technical services, creative services, and other personnel at reasonable market compensation rates in the markets in which we employ such personnel; and</w:t>
      </w:r>
    </w:p>
    <w:p>
      <w:pPr>
        <w:spacing w:after="0" w:line="189"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operations, personnel and technology from our acquisitions.</w:t>
      </w:r>
    </w:p>
    <w:p>
      <w:pPr>
        <w:spacing w:after="0" w:line="250"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Our business strategy may be unsuccessful and we may be unable to address the risks we face in a cost-effective manner, if at all. If we are unable to successfully accomplish these tasks, our business will be harmed.</w:t>
      </w:r>
    </w:p>
    <w:p>
      <w:pPr>
        <w:spacing w:after="0" w:line="159"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success and longevity depend on our ability to generate profits from future operations and obtain sufficient capital through financing transactions to satisfy our debt obligations and meet our other business obligations.</w:t>
      </w:r>
    </w:p>
    <w:p>
      <w:pPr>
        <w:spacing w:after="0" w:line="158"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report of our independent registered public accounting firm on our Consolidated Financial Statements for the fiscal year ended December 31, 2025 includes an explanatory paragraph indicating that there is substantial doubt as to our ability to continue as a going concern within one year after that date that the Consolidated Financial Statements are issued.</w:t>
      </w:r>
    </w:p>
    <w:p>
      <w:pPr>
        <w:spacing w:after="0" w:line="175"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 xml:space="preserve">As of December 31, 2025, the Company has an accumulated deficit of $65,130 and negative working capital of $5,728. For the year ended December 31, 2025, the Company generated a net loss of $8,276 and used net cash in operations of $7,750. These conditions and events, together with the outstanding debt obligations of the Company, raise substantial doubt about the Company's ability to continue as a going concern under the technical framework within ASU </w:t>
      </w:r>
      <w:r>
        <w:rPr>
          <w:rFonts w:ascii="Times New Roman" w:cs="Times New Roman" w:eastAsia="Times New Roman" w:hAnsi="Times New Roman"/>
          <w:sz w:val="18"/>
          <w:szCs w:val="18"/>
          <w:i w:val="1"/>
          <w:iCs w:val="1"/>
          <w:color w:val="auto"/>
        </w:rPr>
        <w:t>205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40.</w:t>
      </w:r>
    </w:p>
    <w:p>
      <w:pPr>
        <w:spacing w:after="0" w:line="183"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To the extent we are required to raise additional financing, turmoil in the capital markets, including the tightening of credit and increased interest rates, may impact our ability to raise financing on terms and at a cost favorable to the Company. We may be required to raise capital during a weak economy and have little flexibility to wait for more favorable terms or economic conditions. We are likely to face higher borrowing costs, less available capital, more stringent terms and tighter covenants. Such unfavorable market conditions could have an adverse impact on our ability to fund our operations and capital expenditures in the future. Any adverse change in the terms of our financing, including increased costs, could have a negative impact on our financial condition. Any equity financings will likely be dilutive to shareholders and may be completed at a discount to the then-current market price of our securities. Debt financing, if available, may involve restrictive covenants on our operations or pertaining to future financing arrangements. Nevertheless, we may not successfully complete any future equity or debt financing. Adequate funds for our operations, whether from financial markets, collaborative or other arrangements, may not be available when needed or on terms attractive to us. If adequate funds are not available, our plans to operate our business may be adversely affected and we could be required to curtail our activities significantly and/or cease operating.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Adequate funds for our operations may not be available, requiring us to raise additional financing or else curtail our activities significantly.</w:t>
      </w:r>
    </w:p>
    <w:p>
      <w:pPr>
        <w:spacing w:after="0" w:line="225"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18"/>
          <w:szCs w:val="18"/>
          <w:color w:val="auto"/>
        </w:rPr>
        <w:t xml:space="preserve">On November 6, 2025, the Company refinanced its credit facilities pursuant to the Amended Credit Agreement (as described in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below), which include a $36,000 term loan and a $22,500 revolving credit facility, and sold 30,000 shares of Preferred Stock for $30,000 (each as further described in this Report). The net proceeds from these activities were used in part to pay the purchase price payable under the Share Purchase Agreement to acquire CDM. Additionally, we have a $4,000 Promissory Note outstanding.</w:t>
      </w:r>
    </w:p>
    <w:p>
      <w:pPr>
        <w:spacing w:after="0" w:line="181"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If we are unable to maintain our debt service obligations, or we require additional funds for other purposes, we would be required to raise additional funding through public or private financings, including debt or equity financings. Generally, the Amended Credit Agreement prohibits the Company and its subsidiaries from granting any security interests in any of their assets, or from issuing additional debt without the approval of the lenders under the Amended Credit Agreement. The terms of the documents executed in connection with the Offering also provide certain limitations on our ability to effectuate any debt or equity financing, as described in the foregoing risk factor.</w:t>
      </w:r>
    </w:p>
    <w:p>
      <w:pPr>
        <w:spacing w:after="0" w:line="183"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Any equity financing will dilute the percentages of ownership interest of then-current holders of our capital stock and may dilute our book value per share. Any additional equity financings may also be dilutive to shareholders and may be completed at a discount to the then-current market price of our securities. Any new debt financing, if available, may involve restrictive covenants on our operations or pertaining to future financing arrangements. Nevertheless, we may not successfully complete any future equity or debt financing even if desired. Adequate funds for our operations, whether from financial markets, collaborative or other arrangements, may not be available when needed or on terms attractive to us. If adequate funds are not available, our plans to operate our business may be adversely affected and we could be required to curtail our activities significantly and/or cease operating.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have sufficient capital to engage in material research and development, which may harm our long-term growth.</w:t>
      </w:r>
    </w:p>
    <w:p>
      <w:pPr>
        <w:spacing w:after="0" w:line="227"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In light of our limited resources in general, we have limited material investments in research and development over the past several years. This conserves capital in the short term. In the long term, as a result of our failure to invest in research and development, our technology and product offerings may not keep pace with the market, and we may lose any current existing competitive advantage. Over the long term, this may harm our revenues growth and our ability to become profitable.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variable sales cycle of some of our products make it difficult to predict operating results.</w:t>
      </w:r>
    </w:p>
    <w:p>
      <w:pPr>
        <w:spacing w:after="0" w:line="227"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Although we are focusing on increasing our revenues from SaaS services to our customers, our overall revenues in any quarter depend substantially upon contracts signed and the related shipment and installation or delivery of hardware and software products in that quarter. It is therefore difficult for us to accurately predict revenues and this difficulty also will affect the Company. It is difficult to forecast the timing of large individual hardware and software sales with a high degree of certainty due to the extended length of the sales cycle and the generally more complex contractual terms that may be associated with our products that could result in the deferral of some or all of the revenue to future periods. Revenues from the Company’s AdTech and Media Networks are also subject to seasonal and economic cycles.</w:t>
      </w:r>
    </w:p>
    <w:p>
      <w:pPr>
        <w:spacing w:after="0" w:line="187"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Accordingly, large individual sales have sometimes occurred in quarters subsequent to when we anticipated or not at all. If we receive any significant cancellation or deferral of customer orders, or we are unable to conclude license negotiations by the end of a fiscal quarter, our operating results may be lower than anticipated. In addition, any weakening or uncertainty in the economy may make it more difficult for the Company to predict quarterly results in the future, and could negatively impact our business, financial condition, and results of operations for an indefinite period of time.</w:t>
      </w:r>
    </w:p>
    <w:p>
      <w:pPr>
        <w:spacing w:after="0" w:line="17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There has been, and we expect that there will continue to be, significant consolidation in our industry. Inability to either lead or remain active participants in that consolidation may have a severe adverse impact on our access to financing, customers, technology, and human resources.</w:t>
      </w:r>
    </w:p>
    <w:p>
      <w:pPr>
        <w:spacing w:after="0" w:line="158"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Our industry is currently composed of a large number of relatively small businesses; no single business dominates or provides integrated solutions and product offerings incorporating much of the available industry technology. We believe that substantial consolidation is occurring in our industry and will continue to do so in the near future. We believe that our prior acquisitions of Allure, Reflect and CDM illustrate acquisition opportunities that exist in our industry. If we do not remain active participants in consolidation, either as a consolidator or as a target, we may be left out of this process, with product offerings of limited value compared with those of our consolidated competitors. Moreover, even if we lead the consolidation process, we may incur unknown liabilities in such consolidations, fail to fully integrate the operations, personnel, or technology from such consolidations, and the market may not validate the decisions we make in that process.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growth opportunities that are anticipated from our acquisition of CDM.</w:t>
      </w:r>
    </w:p>
    <w:p>
      <w:pPr>
        <w:spacing w:after="0" w:line="227"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The benefits we expect to achieve as a result of the acquisition of CDM will depend, in part, on our ability to realize anticipated growth opportunities. Our success in realizing these growth opportunities, and the timing of this realization, depends largely on the successful integration of the business and operations of CDM with our business and operations. Even if we are able to integrate our business with CDM successfully, this integration may not result in the realization of the full benefits of the growth opportunities we currently expect from this integration within the anticipated time frame or at all. While we anticipate that certain expenses will be incurred, such expenses are difficult to estimate accurately, and may exceed current estimates, and cost saving projections may not be realized fully or at all. Accordingly, the benefits from the acquisition may be offset by costs incurred or delays in integrating the companies, which could cause our revenue assumptions to be inaccurate.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CDM acquisition may fail to achieve beneficial synergies.</w:t>
      </w:r>
    </w:p>
    <w:p>
      <w:pPr>
        <w:spacing w:after="0" w:line="22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We acquired CDM with the expectation that the acquisition will result in beneficial synergies, such as cost reductions and improving the stability of the combined company’s revenues. Achieving these anticipated synergies and benefits will depend largely on our success in integrating CDM with our business. Potential risks from an unsuccessful integration include:</w:t>
      </w:r>
    </w:p>
    <w:p>
      <w:pPr>
        <w:spacing w:after="0" w:line="175" w:lineRule="exact"/>
        <w:rPr>
          <w:sz w:val="20"/>
          <w:szCs w:val="20"/>
          <w:color w:val="auto"/>
        </w:rPr>
      </w:pPr>
    </w:p>
    <w:p>
      <w:pPr>
        <w:ind w:left="980" w:hanging="327"/>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the combined company’s ongoing business and distraction of management;</w:t>
      </w:r>
    </w:p>
    <w:p>
      <w:pPr>
        <w:spacing w:after="0" w:line="277" w:lineRule="exact"/>
        <w:rPr>
          <w:rFonts w:ascii="Times New Roman" w:cs="Times New Roman" w:eastAsia="Times New Roman" w:hAnsi="Times New Roman"/>
          <w:sz w:val="18"/>
          <w:szCs w:val="18"/>
          <w:color w:val="auto"/>
        </w:rPr>
      </w:pPr>
    </w:p>
    <w:p>
      <w:pPr>
        <w:ind w:left="980" w:right="60" w:hanging="327"/>
        <w:spacing w:after="0" w:line="280"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of Creative Realities or CDM may defer purchasing decisions due to disagreements with the combined company on its strategic direction and product initiatives;</w:t>
      </w:r>
    </w:p>
    <w:p>
      <w:pPr>
        <w:spacing w:after="0" w:line="189" w:lineRule="exact"/>
        <w:rPr>
          <w:rFonts w:ascii="Times New Roman" w:cs="Times New Roman" w:eastAsia="Times New Roman" w:hAnsi="Times New Roman"/>
          <w:sz w:val="18"/>
          <w:szCs w:val="18"/>
          <w:color w:val="auto"/>
        </w:rPr>
      </w:pPr>
    </w:p>
    <w:p>
      <w:pPr>
        <w:ind w:left="980" w:right="160" w:hanging="327"/>
        <w:spacing w:after="0" w:line="265"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of CDM may abandon or reject products and services offered by the combined company after the acquisition, including products and services of CDM that are integrated into Creative Realities’ business, such as additional software products, hosting applications or installation services;</w:t>
      </w:r>
    </w:p>
    <w:p>
      <w:pPr>
        <w:spacing w:after="0" w:line="202"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more difficult to retain key management, marketing, and technical personnel after the acquisition;</w:t>
      </w:r>
    </w:p>
    <w:p>
      <w:pPr>
        <w:spacing w:after="0" w:line="25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expenditures for retaining personnel, eliminating unnecessary resources and integrating the businesses are greater than anticipated;</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cannot increase sales of its products and services;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980" w:right="320" w:hanging="327"/>
        <w:spacing w:after="0" w:line="280"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CDM will impair the legacy relationships that Creative Realities and CDM have developed with their respective customers and business partners;</w:t>
      </w:r>
    </w:p>
    <w:p>
      <w:pPr>
        <w:spacing w:after="0" w:line="189"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anticipating the market needs and achieving market acceptance of our products and services;</w:t>
      </w:r>
    </w:p>
    <w:p>
      <w:pPr>
        <w:spacing w:after="0" w:line="277" w:lineRule="exact"/>
        <w:rPr>
          <w:rFonts w:ascii="Times New Roman" w:cs="Times New Roman" w:eastAsia="Times New Roman" w:hAnsi="Times New Roman"/>
          <w:sz w:val="18"/>
          <w:szCs w:val="18"/>
          <w:color w:val="auto"/>
        </w:rPr>
      </w:pPr>
    </w:p>
    <w:p>
      <w:pPr>
        <w:ind w:left="980" w:right="580" w:hanging="327"/>
        <w:spacing w:after="0" w:line="280"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bringing together the companies’ marketing efforts so that the industry receives useful information about the acquisition and customers perceive value in the combined company’s products and services; and</w:t>
      </w:r>
    </w:p>
    <w:p>
      <w:pPr>
        <w:spacing w:after="0" w:line="189"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maintaining uniform standards, controls, procedures and policies.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Even if the two companies are able to effectively integrate operations, there can be no assurance that the anticipated synergies will be achieved.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failure to achieve such synergies could adversely affect the business, results of operations and financial condition of the combined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assumption of unknown liabilities in the CDM acquisition may harm our financial condition and results of operations.</w:t>
      </w:r>
    </w:p>
    <w:p>
      <w:pPr>
        <w:spacing w:after="0" w:line="227"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Because we acquired all of the issued and outstanding shares of DDC Group International, Inc. (“DDC”), the parent company of CDM, CDM remains subject to all of its liabilities, including contingent and unknown liabilities. Although the share purchase agreement includes representations and warranties and indemnity covenants from the seller of the DDC shares that may offer us some contractual remedies for breaches or certain other undisclosed or unknown liabilities, there are limitations and conditions to our ability to recoup any liabilities, and there may be other unknown obligations for which we have no contractual remedy. In such a case, our business could be materially and adversely affected. We may learn additional information about CDM that adversely affects us, such as the existence of unknown liabilities, or issues that could affect our ability to comply with applicable laws. If these liabilities are greater than expected, or if there are material obligations for which we do not have adequate recourse against the seller, our business may be materially and adversely affected. If we become responsible for substantial uninsured liabilities, such liabilities may have a material adverse effect on our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transaction and integration costs in connection with our acquisition of CDM.</w:t>
      </w:r>
    </w:p>
    <w:p>
      <w:pPr>
        <w:spacing w:after="0" w:line="227"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We have incurred significant costs associated with completing the CDM acquisition, and expect to incur additional significant costs integrating the operations of the two companies. The substantial majority of these costs will be non-recurring expenses and will consist of transaction costs (e.g., legal, accounting), facilities and systems consolidation costs and employment-related costs. Additional unanticipated costs may be incurred in the integration of our businesses. Although we expect that the elimination of duplicative costs, as well as the realization of other efficiencies related to the integration of the businesses, may offset incremental transaction and acquisition costs over time, this net benefit may not be fully achieved in the near or long term.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Unpredictability in financing markets could impair our ability to grow our business through acquisitions.</w:t>
      </w:r>
    </w:p>
    <w:p>
      <w:pPr>
        <w:spacing w:after="0" w:line="22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We anticipate that opportunities to acquire similar businesses will materially depend on, among other things, the availability of financing options for us with acceptable terms. Poor credit and other market conditions or uncertainty in financial markets could adversely affect our ability to obtain such financing, and as a result, materially limit our ability to grow through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interactive marketing technologies achieving and maintaining widespread acceptance in our targeted markets.</w:t>
      </w:r>
    </w:p>
    <w:p>
      <w:pPr>
        <w:spacing w:after="0" w:line="227"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Our success will depend to a large extent on market acceptance of our interactive marketing technologies among our current and prospective customers. Our prospective customers may still not use our solutions for a number of other reasons, including preference for static advertising, lack of familiarity with our technology, preference for competing technologies or perceived lack of reliability. We believe that the acceptance of our interactive marketing technologies by prospective customers will depend primarily on the following factors:</w:t>
      </w:r>
    </w:p>
    <w:p>
      <w:pPr>
        <w:spacing w:after="0" w:line="183" w:lineRule="exact"/>
        <w:rPr>
          <w:sz w:val="20"/>
          <w:szCs w:val="20"/>
          <w:color w:val="auto"/>
        </w:rPr>
      </w:pPr>
    </w:p>
    <w:p>
      <w:pPr>
        <w:ind w:left="980" w:hanging="327"/>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economic and other benefits attendant to our interactive marketing technologies;</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becoming comfortable with using our interactive marketing technologies; and</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of our interactive marketing technologies.</w:t>
      </w:r>
    </w:p>
    <w:p>
      <w:pPr>
        <w:spacing w:after="0" w:line="250"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Our interactive technologies are complex and must meet stringent user requirements. Some undetected errors or defects may only become apparent as new functions are added to our technologies and products. The need to repair or replace products with design or manufacturing defects could temporarily delay the sale of new products and adversely affect our reputation. Delays, costs, and damage to our reputation due to product defects could harm our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financial condition and potential for continued net losses may negatively impact our relationships with customers, prospective customers and third-party suppliers.</w:t>
      </w:r>
    </w:p>
    <w:p>
      <w:pPr>
        <w:spacing w:after="0" w:line="158"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Our financial condition and potential for continued net losses may cause current and prospective customers to defer placing orders with us, require terms that are less favorable to us, or place their orders with our competitors, any of which could adversely affect our business, financial condition, and results of operations. Additionally, third-party suppliers may refuse to do business with us, or may do so only on terms that are unfavorable to us, which could cause our expenses to increase and margins to decrease.</w:t>
      </w:r>
    </w:p>
    <w:p>
      <w:pPr>
        <w:spacing w:after="0" w:line="179"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Because we do not have long-term purchase commitments from our customers, the failure to obtain anticipated orders or the deferral or cancellation of commitments could have adverse effects on our business.</w:t>
      </w:r>
    </w:p>
    <w:p>
      <w:pPr>
        <w:spacing w:after="0" w:line="158"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Our business contracts include short-term purchase orders, contracts that do not require that purchases be made by our customers, and monthly subscription contracts (SaaS) that may be terminated with minimal notice. This makes forecasting our sales difficult. The failure to obtain anticipated orders and deferrals or cancellations of purchase commitments or SaaS services because of changes in customer requirements, or otherwise, could have a material adverse effect on our business, financial condition, and results of operations. We have experienced such challenges in the past and may experience such challenges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continued growth and financial performance could be adversely affected by the loss of several key customers.</w:t>
      </w:r>
    </w:p>
    <w:p>
      <w:pPr>
        <w:spacing w:after="0" w:line="22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We had one customer that accounted for 10% of revenue for the year ended December 31, 2025. Three customers accounted for more than 10% of revenue for the year ended December 31, 2024. We had one customer that accounted for 12% of accounts receivable as of December 31, 2025 and one customer that accounted for 16% of accounts receivable as of December 31, 2024.</w:t>
      </w:r>
    </w:p>
    <w:p>
      <w:pPr>
        <w:spacing w:after="0" w:line="175"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Decisions by one or more of these key customers to not renew, terminate, or substantially reduce their use of our products, technology, services, and platform could substantially slow our revenue growth and lead to a decline in revenue. Our business plan assumes continued growth in revenue, and it is unlikely that we will become profitable without a continued increase in revenue.</w:t>
      </w:r>
    </w:p>
    <w:p>
      <w:pPr>
        <w:spacing w:after="0" w:line="171" w:lineRule="exact"/>
        <w:rPr>
          <w:sz w:val="20"/>
          <w:szCs w:val="20"/>
          <w:color w:val="auto"/>
        </w:rPr>
      </w:pPr>
    </w:p>
    <w:p>
      <w:pPr>
        <w:ind w:right="5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Most of our contracts are terminable by our customers with limited notice and without penalty payments, and terminations could have a material adverse effect on our business, financial condition, and results of operations.</w:t>
      </w:r>
    </w:p>
    <w:p>
      <w:pPr>
        <w:spacing w:after="0" w:line="158"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Most of our contracts are terminable by our customers following limited notice and without early termination payments or liquidated damages due from them. In addition, each stage of a project often represents a separate contractual commitment, at the end of which the customers may elect to delay or not to proceed to the next stage of the project. We cannot assure you that one or more of our customers will not terminate a material contract or materially reduce the scope of a large project. The delay, cancellation or significant reduction in the scope of a large project or a number of projects could have a material adverse effect on our business, financial condition and results of operations.</w:t>
      </w:r>
    </w:p>
    <w:p>
      <w:pPr>
        <w:spacing w:after="0" w:line="179"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It is common for our current and prospective customers to evaluate our products over an extended period of time, most especially during economic downturns that affect our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businesses, as we saw during the COVID-19 pandemic. The lengthy and variable sales cycle makes it difficult to predict our operating results.</w:t>
      </w:r>
    </w:p>
    <w:p>
      <w:pPr>
        <w:spacing w:after="0" w:line="174"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It is difficult for us to forecast the timing and recognition of revenue from sales of our products and services because our actual and prospective customers often take significant time to evaluate our products before committing to a purchase. Even after making their first purchases of our products and services (or “pilot program” purchases), existing customers may not make significant purchases of those products and services for a long period of time following their initial purchases, if at all. The period between initial customer contact and a purchase by a customer may be years with potentially an even longer period separating initial purchases and any significant purchases thereafter. During the evaluation period, prospective customers may decide not to purchase or may scale down proposed orders of our products for various reasons, including:</w:t>
      </w:r>
    </w:p>
    <w:p>
      <w:pPr>
        <w:spacing w:after="0" w:line="187" w:lineRule="exact"/>
        <w:rPr>
          <w:sz w:val="20"/>
          <w:szCs w:val="20"/>
          <w:color w:val="auto"/>
        </w:rPr>
      </w:pPr>
    </w:p>
    <w:p>
      <w:pPr>
        <w:ind w:left="980" w:hanging="327"/>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need to upgrade existing visual marketing systems;</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products by our competitors;</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prices offered by our competitors; and</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budgets and purchasing priorities.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right="100" w:firstLine="646"/>
        <w:spacing w:after="0" w:line="280" w:lineRule="auto"/>
        <w:rPr>
          <w:sz w:val="20"/>
          <w:szCs w:val="20"/>
          <w:color w:val="auto"/>
        </w:rPr>
      </w:pPr>
      <w:r>
        <w:rPr>
          <w:rFonts w:ascii="Times New Roman" w:cs="Times New Roman" w:eastAsia="Times New Roman" w:hAnsi="Times New Roman"/>
          <w:sz w:val="18"/>
          <w:szCs w:val="18"/>
          <w:color w:val="auto"/>
        </w:rPr>
        <w:t>Our prospective customers routinely require education regarding the use and benefit of our products and solutions. This may also lead to delays in receiving customers’ orders.</w:t>
      </w:r>
    </w:p>
    <w:p>
      <w:pPr>
        <w:spacing w:after="0" w:line="159" w:lineRule="exact"/>
        <w:rPr>
          <w:sz w:val="20"/>
          <w:szCs w:val="20"/>
          <w:color w:val="auto"/>
        </w:rPr>
      </w:pPr>
    </w:p>
    <w:p>
      <w:pPr>
        <w:ind w:right="4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industry is characterized by frequent technological change. If we are unable to adapt our products and services and develop new products and services to keep up with these rapid changes, we will not be able to obtain, or maintain, market share.</w:t>
      </w:r>
    </w:p>
    <w:p>
      <w:pPr>
        <w:spacing w:after="0" w:line="158"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The market for our products and services is characterized by rapidly changing technology, evolving industry standards, changes in customer needs, heavy competition, and frequent new product and service introductions. If we fail to develop new products and services or modify or improve existing products and services in response to these changes in technology, customer demands, or industry standards, our products and services could become less competitive or obsolete.</w:t>
      </w:r>
    </w:p>
    <w:p>
      <w:pPr>
        <w:spacing w:after="0" w:line="183"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We must respond to changing technology and industry standards in a timely and cost-effective manner. We may not be successful in using new technologies, developing new products and services or enhancing existing products and services in a timely and cost-effective manner. Furthermore, even if we successfully adapt our products and services, these new technologies or enhancements may not achieve sufficient market acceptance.</w:t>
      </w:r>
    </w:p>
    <w:p>
      <w:pPr>
        <w:spacing w:after="0" w:line="171"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operate in an intensely competitive industry, and our competitors are developing products and solutions that incorporate AI and ML. We may not be as successful as our competitors in incorporating AI and ML into our products and solutions.</w:t>
      </w:r>
    </w:p>
    <w:p>
      <w:pPr>
        <w:spacing w:after="0" w:line="158"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Our competitors may be larger, more diversified, better funded, and have access to more advanced technology, including AI and ML. These competitive advantages may enable our competition to innovate their products and solutions faster or better than we can, or to provide increased competition on quality and price, which could adversely affect our business and profitability. Burgeoning interest in AI and ML may increase competition and disrupt the Company’s business model. AI and ML may lower barriers to entry in our industry and the Company may be unable to effectively compete with the products or services offered by new competitors. Changes to the products and services we offer related to AI and ML may affect customer expectations, requirements, or tastes in ways that the Company cannot adequately anticipate or adapt to, causing our business to lose revenues.</w:t>
      </w:r>
    </w:p>
    <w:p>
      <w:pPr>
        <w:spacing w:after="0" w:line="183"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Issues relating to the use of new and evolving technologies in our offerings, such as AI and ML, may result in increased regulation and costs to comply with such regulations.</w:t>
      </w:r>
    </w:p>
    <w:p>
      <w:pPr>
        <w:spacing w:after="0" w:line="158"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We are exploring ways to integrate AI and ML into many of our offerings. We may need to increase our operational, research and development and compliance costs, or divert resources from other research and development efforts, to address potential issues related to AI and ML in a quickly evolving social, legal, and regulatory environment. As with many cutting-edge innovations, AI and ML present new risks and challenges, and existing laws and regulations may apply to us in new ways, the nature and extent of which are difficult to predict. Potential government regulation related to AI, including relating to ethics and social responsibility, may also increase the burden and cost of compliance and research and development.</w:t>
      </w:r>
    </w:p>
    <w:p>
      <w:pPr>
        <w:spacing w:after="0" w:line="179"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use developed and licensed software technology, and we could face claims of infringement by others in the industry. Such claims are costly and add uncertainty to our operational results.</w:t>
      </w:r>
    </w:p>
    <w:p>
      <w:pPr>
        <w:spacing w:after="0" w:line="158"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A portion of our business involves our ownership and licensing of software. This market space is characterized by frequent intellectual property claims and litigation. We could be subject to claims of infringement of third-party intellectual-property rights resulting in significant expense and the potential loss of our own intellectual property rights. From time to time, third parties may assert copyright, trademark, patent, or other intellectual property rights to technologies that are important to our business. For example, in September 2025, Alpha Modus, Corp., a subsidiary of Alpha Modus Holdings Inc. (AMOD), filed a patent infringement lawsuit in Texas federal court that alleges, in essence, that CRI’s digital signage solutions infringe on AMOD’s patented technologies for real-time consumer behavior analysis, targeted marketing, digital engagement, inventory management, and AI-driven retail personalization.</w:t>
      </w:r>
    </w:p>
    <w:p>
      <w:pPr>
        <w:spacing w:after="0" w:line="189" w:lineRule="exact"/>
        <w:rPr>
          <w:sz w:val="20"/>
          <w:szCs w:val="20"/>
          <w:color w:val="auto"/>
        </w:rPr>
      </w:pPr>
    </w:p>
    <w:p>
      <w:pPr>
        <w:jc w:val="both"/>
        <w:ind w:right="20" w:firstLine="646"/>
        <w:spacing w:after="0" w:line="265" w:lineRule="auto"/>
        <w:rPr>
          <w:sz w:val="20"/>
          <w:szCs w:val="20"/>
          <w:color w:val="auto"/>
        </w:rPr>
      </w:pPr>
      <w:r>
        <w:rPr>
          <w:rFonts w:ascii="Times New Roman" w:cs="Times New Roman" w:eastAsia="Times New Roman" w:hAnsi="Times New Roman"/>
          <w:sz w:val="18"/>
          <w:szCs w:val="18"/>
          <w:color w:val="auto"/>
        </w:rPr>
        <w:t>Any litigation to determine the validity of infringement claims, including claims arising through our contractual indemnification of our business partners, regardless of their merit or resolution, would likely be costly and time consuming and divert the efforts and attention of our management and technical personnel. If any such litigation resulted in an adverse ruling, we could be required to:</w:t>
      </w:r>
    </w:p>
    <w:p>
      <w:pPr>
        <w:spacing w:after="0" w:line="175" w:lineRule="exact"/>
        <w:rPr>
          <w:sz w:val="20"/>
          <w:szCs w:val="20"/>
          <w:color w:val="auto"/>
        </w:rPr>
      </w:pPr>
    </w:p>
    <w:p>
      <w:pPr>
        <w:ind w:left="980" w:hanging="327"/>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royalties or other fees;</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development, use, licensing or sale of infringing products;</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the use of certain technology; or</w:t>
      </w:r>
    </w:p>
    <w:p>
      <w:pPr>
        <w:spacing w:after="0" w:line="277" w:lineRule="exact"/>
        <w:rPr>
          <w:rFonts w:ascii="Times New Roman" w:cs="Times New Roman" w:eastAsia="Times New Roman" w:hAnsi="Times New Roman"/>
          <w:sz w:val="18"/>
          <w:szCs w:val="18"/>
          <w:color w:val="auto"/>
        </w:rPr>
      </w:pPr>
    </w:p>
    <w:p>
      <w:pPr>
        <w:ind w:left="980" w:right="760" w:hanging="327"/>
        <w:spacing w:after="0" w:line="280"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under the intellectual property rights of the third party claiming infringement, which license may not be available on reasonable terms or at all.</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proprietary platform architectures and data tracking technology underlying certain of our services are complex and may contain unknown errors in design or implementation that could result in system performance failures or inability to scale.</w:t>
      </w:r>
    </w:p>
    <w:p>
      <w:pPr>
        <w:spacing w:after="0" w:line="158"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The platform architecture, data tracking technology, and integration layers underlying our proprietary platforms, our contract administration, procurement, timekeeping, content and network management, network services, device management, virtualized services, software automation and other tools, and back-end services are complex and include specially developed software and code. This software and code are developed internally, licensed from third parties, or integrated by in-house personnel and third parties. Any of the system architecture, system administration, integration layers, software, or code may contain errors, or may be implemented or interpreted incorrectly, particularly when they are first introduced or when new versions or enhancements to our tools and services are released. Consequently, our systems could experience performance failure, or we may be unable to scale our systems, which may:</w:t>
      </w:r>
    </w:p>
    <w:p>
      <w:pPr>
        <w:spacing w:after="0" w:line="189" w:lineRule="exact"/>
        <w:rPr>
          <w:sz w:val="20"/>
          <w:szCs w:val="20"/>
          <w:color w:val="auto"/>
        </w:rPr>
      </w:pPr>
    </w:p>
    <w:p>
      <w:pPr>
        <w:ind w:left="980" w:right="700" w:hanging="327"/>
        <w:spacing w:after="0" w:line="280"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impact our relationship with customers and others who experience system failure, possibly leading to a loss of affected and unaffected customers;</w:t>
      </w:r>
    </w:p>
    <w:p>
      <w:pPr>
        <w:spacing w:after="0" w:line="189"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costs related to product development or service delivery; or</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revenues and expenses.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malicious applications that interfere with, or exploit security flaws in, our products and services.</w:t>
      </w:r>
    </w:p>
    <w:p>
      <w:pPr>
        <w:spacing w:after="0" w:line="227"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Our business may be adversely affected by malicious applications that make changes to our customers’ computer systems and interfere with the operation and use of our products or products that impact our business. These applications may attempt to interfere with our ability to communicate with our customers’ devices. The interference may occur without disclosure to or consent from our customers, resulting in a negative experience that our customers may associate with our products and services. These applications may be difficult or impossible to uninstall or disable, may reinstall themselves and may circumvent other applications’ efforts to block or remove them. The ability to provide customers with a superior interactive marketing technology experience is critical to our success. If our efforts to combat these malicious applications fail, or if our products and services have actual or perceived vulnerabilities, there may be claims based on such failure or our reputation may be harmed, which would damage our business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compete with other companies that have more resources, which puts us at a competitive disadvantage.</w:t>
      </w:r>
    </w:p>
    <w:p>
      <w:pPr>
        <w:spacing w:after="0" w:line="227"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The market for interactive marketing technologies is highly competitive and we expect competition to increase in the future. Many competitors have significantly greater financial, technical, and marketing resources than us. These competitors may be able to respond more rapidly than we can to new or emerging technologies or changes in customer preferences or requirements. They may also devote greater resources to the development, promotion and sale of their products and services than us.</w:t>
      </w:r>
    </w:p>
    <w:p>
      <w:pPr>
        <w:spacing w:after="0" w:line="183"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We expect competitors to continue to improve the performance of their current products, services, and technologies and to introduce new products, services, and technologies as well. Successful new product and service introductions or enhancements by our competitors could reduce sales and the market acceptance of our products and services, cause intense price competition, or make our products and services obsolete. To be competitive, we must continue to invest significant resources in research and development, sales and marketing and customer support. If we do not have sufficient resources to make these investments or are unable to make the technological advances necessary to be competitive, our competitive position will suffer. Increased competition could result in price reductions, fewer customer orders, reduced margins, and loss of market share. Our failure to compete successfully against current or future competitors could adversely affect our business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retaining key personnel and our ability to attract and retain additional personnel.</w:t>
      </w:r>
    </w:p>
    <w:p>
      <w:pPr>
        <w:spacing w:after="0" w:line="227"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Our key personnel includes our Chief Executive Officer and Chairman, Rick Mills. If we fail to retain Mr. Mills or to attract, retain, and motivate other qualified employees, our ability to maintain and develop our business may be adversely affected. Our future success depends significantly on the continued service of our key technical, sales, and senior management personnel and their ability to execute our growth strategy. The loss of the services of our key employees could harm our business. We may be unable to retain our employees or to attract, assimilate and retain other highly qualified employees who could migrate to other employers who offer competitive or superior compensation packages.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We are subject to cyber security risks and interruptions or failures in our information technology systems and those of third party partners with whom our applications are integrated, and will likely need to expend additional resources to enhance our protection from such risks. Notwithstanding our efforts, a cyber incident could occur and result in information theft, data corruption, operational disruption, and/or financial loss.</w:t>
      </w:r>
    </w:p>
    <w:p>
      <w:pPr>
        <w:spacing w:after="0" w:line="156"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We depend on digital technologies to process and record financial and operating data and rely on sophisticated information technology systems and infrastructure to support our business, including process control technology. At the same time, cyber incidents, including deliberate attacks, have increased in number and complexity. Our technologies, systems and networks and those of our vendors, suppliers, and other business partners may become the target of cyberattacks or information security breaches that could result in the unauthorized release, gathering, monitoring, misuse, loss or destruction of proprietary and other information, or other disruption of business operations. In addition, certain cyber incidents, such as surveillance, may remain undetected for an extended period. Despite our efforts, our systems for protecting against cyber security risks may not be sufficient. As the sophistication of cyber incidents continues to evolve, we will likely be required to expend additional resources to continue to modify or enhance our protective measures or to investigate and remediate known vulnerability to cyber incidents. Additionally, any of these systems may be susceptible to outages due to fire, floods, power loss, telecommunications failures, usage errors by employees, computer viruses, cyber-attacks, or other security breaches or similar events. The failure of any of our information technology systems may cause disruptions in our operations, which could adversely affect our revenues and profitability.</w:t>
      </w:r>
    </w:p>
    <w:p>
      <w:pPr>
        <w:spacing w:after="0" w:line="186"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Additionally, we engage third-party service providers to assist us in providing products and services for our customers. Those third-party services providers also subject to the foregoing risks to their systems. We do not have a process to oversee and identify risks from cyber security threats associated with our use of such third-party service providers, and any such incidents occurring on their system could similarly affect us, our revenues and profitability.</w:t>
      </w:r>
    </w:p>
    <w:p>
      <w:pPr>
        <w:spacing w:after="0" w:line="171"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reliance on information management and transaction systems to operate our business exposes us to cyber incidents and hacking of our sensitive information if our outsourced service provider experiences a security breach.</w:t>
      </w:r>
    </w:p>
    <w:p>
      <w:pPr>
        <w:spacing w:after="0" w:line="158"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Effective information security internal controls are necessary for us to protect our sensitive information from illegal activities and unauthorized disclosure in addition to denial of service attacks and corruption of our data. In addition, we rely on the information security internal controls maintained by our outsourced service provider. Any breach of our information management system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disruption to our operations and the services we provide to customers or damage our reputation. In addition, a security breach could require that we expend significant additional resources to repair and enhance our information security systems. Furthermore, we could experience material harm to our financial condition, cash flows and the market price of our common stock, misappropriation of assets, compromise or corruption of confidential information collected in the course of conducting our business, liability for stolen information or assets, increased cybersecurity protection and insurance costs, regulatory enforcement, litigation and damage to our stakeholder relationships.</w:t>
      </w:r>
    </w:p>
    <w:p>
      <w:pPr>
        <w:spacing w:after="0" w:line="182"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Because our technology, products, platform, and services are complex and are deployed in and across complex environments, they may have errors or defects that could seriously harm our business.</w:t>
      </w:r>
    </w:p>
    <w:p>
      <w:pPr>
        <w:spacing w:after="0" w:line="158"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Our technology, proprietary platforms, products, and services are highly complex and are designed to operate in and across data centers, large and complex networks, and other elements of the digital media workflow that we do not own or control. On an ongoing basis, we need to perform proactive maintenance services on our platform and related software services to correct errors and defects. In the future, there may be additional errors and defects in our software that may adversely affect our services. We may not have in place adequate reporting, tracking, monitoring, and quality assurance procedures to ensure that we detect errors in our software in a timely manner. If we are unable to efficiently and cost-effectively fix errors or other problems that may be identified, or if there are unidentified errors that allow persons to improperly access our services, we could experience loss of revenues and market share, damage to our reputation, increased expenses and legal actions by our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insufficient network or server capacity, which could result in interruptions in our services and loss of revenues.</w:t>
      </w:r>
    </w:p>
    <w:p>
      <w:pPr>
        <w:spacing w:after="0" w:line="227"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Our operations are dependent in part upon: network capacity provided by third-party telecommunications networks; data center services provider owned and leased infrastructure and capacity; our dedicated and virtualized server capacity located at its data center services provider partner and a geo-redundant micro-data center location; and our own infrastructure and equipment. Collectively, this infrastructure, equipment, and capacity must be sufficiently robust to handle all of our customers’ web-traffic, particularly in the event of unexpected surges in high-definition video traffic and network services incidents. We (and our service providers) may not be adequately prepared for unexpected increases in bandwidth and related infrastructure demands from our customers. In addition, the bandwidth we have contracted to purchase may become unavailable for a variety of reasons, including payment disputes, outages, or such service providers going out of business. Any failure of these service providers or our own infrastructure to provide the capacity we require, due to financial or other reasons, may result in a reduction in, or interruption of, service to our customers, leading to an immediate decline in revenue and possible additional decline in revenue as a result of subsequent customer losses.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operations are susceptible to interruptions caused by events beyond our control.</w:t>
      </w:r>
    </w:p>
    <w:p>
      <w:pPr>
        <w:spacing w:after="0" w:line="227"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Our business operations are susceptible to interruptions caused by events beyond our control. For example, the COVID-19 pandemic resulted in authorities implementing numerous preventative measures to contain or mitigate the outbreak of the virus, such as travel bans and restrictions, limitations on business activity, quarantines, and shelter-in-place orders. These measures caused business slowdowns and shutdowns in certain affected areas, both regionally and worldwide, which significantly adversely impacted our business and results of operations. We are vulnerable to potential problems when events beyond our control arise, including, among others:</w:t>
      </w:r>
    </w:p>
    <w:p>
      <w:pPr>
        <w:spacing w:after="0" w:line="183" w:lineRule="exact"/>
        <w:rPr>
          <w:sz w:val="20"/>
          <w:szCs w:val="20"/>
          <w:color w:val="auto"/>
        </w:rPr>
      </w:pPr>
    </w:p>
    <w:p>
      <w:pPr>
        <w:ind w:left="980" w:hanging="327"/>
        <w:spacing w:after="0" w:line="280"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technology, products, and services and underlying infrastructure, or that of our key suppliers, may be damaged or destroyed by events beyond our control, such as fires, earthquakes, floods, power outages, or telecommunications failures;</w:t>
      </w:r>
    </w:p>
    <w:p>
      <w:pPr>
        <w:spacing w:after="0" w:line="189" w:lineRule="exact"/>
        <w:rPr>
          <w:rFonts w:ascii="Times New Roman" w:cs="Times New Roman" w:eastAsia="Times New Roman" w:hAnsi="Times New Roman"/>
          <w:sz w:val="18"/>
          <w:szCs w:val="18"/>
          <w:color w:val="auto"/>
        </w:rPr>
      </w:pPr>
    </w:p>
    <w:p>
      <w:pPr>
        <w:ind w:left="980" w:hanging="327"/>
        <w:spacing w:after="0" w:line="280"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customers and/or partners may experience interruptions in service as a result of the accidental or malicious actions of Internet users, hackers, or current or former employees;</w:t>
      </w:r>
    </w:p>
    <w:p>
      <w:pPr>
        <w:spacing w:after="0" w:line="189" w:lineRule="exact"/>
        <w:rPr>
          <w:rFonts w:ascii="Times New Roman" w:cs="Times New Roman" w:eastAsia="Times New Roman" w:hAnsi="Times New Roman"/>
          <w:sz w:val="18"/>
          <w:szCs w:val="18"/>
          <w:color w:val="auto"/>
        </w:rPr>
      </w:pPr>
    </w:p>
    <w:p>
      <w:pPr>
        <w:jc w:val="both"/>
        <w:ind w:left="980" w:hanging="327"/>
        <w:spacing w:after="0" w:line="265"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transmit viruses to third parties that damage or impair their access to computer networks, programs, data or information, and eliminating computer viruses and alleviating other security problems may require interruptions, delays or cessation of service to our customers and cause us to face liability;</w:t>
      </w:r>
    </w:p>
    <w:p>
      <w:pPr>
        <w:spacing w:after="0" w:line="202" w:lineRule="exact"/>
        <w:rPr>
          <w:rFonts w:ascii="Times New Roman" w:cs="Times New Roman" w:eastAsia="Times New Roman" w:hAnsi="Times New Roman"/>
          <w:sz w:val="18"/>
          <w:szCs w:val="18"/>
          <w:color w:val="auto"/>
        </w:rPr>
      </w:pPr>
    </w:p>
    <w:p>
      <w:pPr>
        <w:jc w:val="both"/>
        <w:ind w:left="980" w:hanging="327"/>
        <w:spacing w:after="0" w:line="265"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systems or those of our suppliers may disrupt service to our customers (and from our customers to their customers), which could materially impact our operations (and the operations of our customers), adversely affect our relationships with our customers and lead to lawsuits and contingent liability;</w:t>
      </w:r>
    </w:p>
    <w:p>
      <w:pPr>
        <w:spacing w:after="0" w:line="202" w:lineRule="exact"/>
        <w:rPr>
          <w:rFonts w:ascii="Times New Roman" w:cs="Times New Roman" w:eastAsia="Times New Roman" w:hAnsi="Times New Roman"/>
          <w:sz w:val="18"/>
          <w:szCs w:val="18"/>
          <w:color w:val="auto"/>
        </w:rPr>
      </w:pPr>
    </w:p>
    <w:p>
      <w:pPr>
        <w:ind w:left="980" w:hanging="327"/>
        <w:spacing w:after="0" w:line="280"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development or releases, or reductions in manufacturing production and sales of consumer hardware, as a result of inventory shortages, supply chain or labor shortages;</w:t>
      </w:r>
    </w:p>
    <w:p>
      <w:pPr>
        <w:spacing w:after="0" w:line="189"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and disruption of global financial markets, which could negatively impact our ability to access capital in the future;</w:t>
      </w:r>
    </w:p>
    <w:p>
      <w:pPr>
        <w:spacing w:after="0" w:line="277" w:lineRule="exact"/>
        <w:rPr>
          <w:rFonts w:ascii="Times New Roman" w:cs="Times New Roman" w:eastAsia="Times New Roman" w:hAnsi="Times New Roman"/>
          <w:sz w:val="18"/>
          <w:szCs w:val="18"/>
          <w:color w:val="auto"/>
        </w:rPr>
      </w:pPr>
    </w:p>
    <w:p>
      <w:pPr>
        <w:ind w:left="980" w:hanging="327"/>
        <w:spacing w:after="0" w:line="280"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recognize revenue, collect payment, or generate future revenue from customers, including from those that have been or may be forced to close their businesses or are otherwise adversely impacted by any resulting economic downturn;</w:t>
      </w:r>
    </w:p>
    <w:p>
      <w:pPr>
        <w:spacing w:after="0" w:line="189" w:lineRule="exact"/>
        <w:rPr>
          <w:rFonts w:ascii="Times New Roman" w:cs="Times New Roman" w:eastAsia="Times New Roman" w:hAnsi="Times New Roman"/>
          <w:sz w:val="18"/>
          <w:szCs w:val="18"/>
          <w:color w:val="auto"/>
        </w:rPr>
      </w:pPr>
    </w:p>
    <w:p>
      <w:pPr>
        <w:ind w:left="980" w:hanging="327"/>
        <w:spacing w:after="0" w:line="280"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 on our workforce productivity, product development, and research and development due to difficulties resulting from our personnel working remotely</w:t>
      </w:r>
    </w:p>
    <w:p>
      <w:pPr>
        <w:spacing w:after="0" w:line="189" w:lineRule="exact"/>
        <w:rPr>
          <w:rFonts w:ascii="Times New Roman" w:cs="Times New Roman" w:eastAsia="Times New Roman" w:hAnsi="Times New Roman"/>
          <w:sz w:val="18"/>
          <w:szCs w:val="18"/>
          <w:color w:val="auto"/>
        </w:rPr>
      </w:pPr>
    </w:p>
    <w:p>
      <w:pPr>
        <w:ind w:left="980" w:hanging="327"/>
        <w:spacing w:after="0" w:line="280"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illnesses to key employees, or a significant portion of our workforce, which may result in inefficiencies, delays, and disruptions in our business; and</w:t>
      </w:r>
    </w:p>
    <w:p>
      <w:pPr>
        <w:spacing w:after="0" w:line="189"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volatility and uncertainty in the financial projections we use as the basis for estimate used in our financial statements.</w:t>
      </w:r>
    </w:p>
    <w:p>
      <w:pPr>
        <w:spacing w:after="0" w:line="250" w:lineRule="exact"/>
        <w:rPr>
          <w:sz w:val="20"/>
          <w:szCs w:val="20"/>
          <w:color w:val="auto"/>
        </w:rPr>
      </w:pPr>
    </w:p>
    <w:p>
      <w:pPr>
        <w:jc w:val="both"/>
        <w:ind w:right="20" w:firstLine="646"/>
        <w:spacing w:after="0" w:line="280" w:lineRule="auto"/>
        <w:rPr>
          <w:sz w:val="20"/>
          <w:szCs w:val="20"/>
          <w:color w:val="auto"/>
        </w:rPr>
      </w:pPr>
      <w:r>
        <w:rPr>
          <w:rFonts w:ascii="Times New Roman" w:cs="Times New Roman" w:eastAsia="Times New Roman" w:hAnsi="Times New Roman"/>
          <w:sz w:val="18"/>
          <w:szCs w:val="18"/>
          <w:color w:val="auto"/>
        </w:rPr>
        <w:t>The occurrence of any of the foregoing could result in claims for consequential and other damages, significant repair and recovery expenses and extensive customer losses and otherwise have a material adverse effect on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social responsibility, specifically related to ESG, may impose additional costs and expose us to new risks.</w:t>
      </w:r>
    </w:p>
    <w:p>
      <w:pPr>
        <w:spacing w:after="0" w:line="227"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Environmental, social and governance (“ESG”) matters have become increasingly important to some investors and other stakeholders. Certain organizations that provide corporate risk and corporate governance advisory services to investors have developed scores and ratings to evaluate companies based on ESG metrics. ESG evaluations are important to many investors and stakeholders. Many investors use ESG factors to guide their investment decisions. Many investment funds focus on positive ESG business practices and sustainability scores when making investments and may consider a company’s sustainability efforts and/or score when making an investment decision. On the other hand, we could be criticized by ESG detractors for the scope and nature of any ESG policies or initiatives we implement. We could also be subjected to negative responses by governmental actors, such as state legislation, retaliatory legislative treatment or litigation by state or federal agencies or private actors, or face negative publicity campaigns that could adversely affect our reputation, business, financial performance and growth. The occurrence of any of the foregoing could have an adverse effect on our reputation, the price of our stock and our business, financial condition and results of operations, including increased capital expenditures and operating expenses.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competitors are constantly evolving, and we may be unable to compete successfully against existing or future competitors to our business.</w:t>
      </w:r>
    </w:p>
    <w:p>
      <w:pPr>
        <w:spacing w:after="0" w:line="227"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The market in which we operate is increasingly competitive. Our current competitors generally include general digital signage companies, specialized digital signage operators targeting certain vertical markets (e.g., financial services, retail, or food services), content management software companies, and integrators and vertical solution providers who develop single implementations of content distribution, digital marketing technology, media and AdTech solutions, and related services. These competitors, including future new competitors who may emerge, may be able to develop comparable or superior solution capabilities, software platform, technology stack, and/or series of services that provide a similar or more robust set of features and functionality than our technology, products and services. If this occurs, we may be unable to grow as necessary to make our business profitable. In addition, our existing and potential future competitors may be able to use their extensive resources to:</w:t>
      </w:r>
    </w:p>
    <w:p>
      <w:pPr>
        <w:spacing w:after="0" w:line="189" w:lineRule="exact"/>
        <w:rPr>
          <w:sz w:val="20"/>
          <w:szCs w:val="20"/>
          <w:color w:val="auto"/>
        </w:rPr>
      </w:pPr>
    </w:p>
    <w:p>
      <w:pPr>
        <w:ind w:left="980" w:hanging="327"/>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deploy new products and services more quickly and effectively than we can;</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improve, and expand their platforms and related infrastructures more quickly than we can;</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less expensive products, technology, platform, and services as a result of a lower cost structure, greater capital reserves, or otherwise;</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more swiftly and completely to new or emerging technologies and changes in customer requirements;</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advantage of acquisition and other opportunities more readily; and</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devote greater resources to the marketing and sales of their products, technology, platform, and services.</w:t>
      </w:r>
    </w:p>
    <w:p>
      <w:pPr>
        <w:spacing w:after="0" w:line="250"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If we are unable to compete effectively in our various markets, or if competitive pressures place downward pressure on the prices at which we offer our products and services, our business, financial condition and results of operations may suffer.</w:t>
      </w:r>
    </w:p>
    <w:p>
      <w:pPr>
        <w:spacing w:after="0" w:line="1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Canadian operations through CDM subject us to a complex and evolving framework of Canadian federal and provincial regulatory requirements, including data privacy, accessibility, French-language, and artificial intelligence laws, non-compliance with which could increase our costs, expose us to penalties, and adversely affect our business.</w:t>
      </w:r>
    </w:p>
    <w:p>
      <w:pPr>
        <w:spacing w:after="0" w:line="174"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We conduct substantial operations across Canada through CDM, including digital signage managed services and retail media advertising network operations in Ontario, Quebec, and other Canadian provinces, exposing us to Canadian regulatory requirements that differ materially from, and in certain respects are more stringent than, the equivalent U.S. frameworks governing our legacy operations. At the federal level, CDM is subject to PIPEDA, including its accountability principle, which provides that CDM remains responsible for personal information transferred to related entities and third-party processors — including our U.S. operations.</w:t>
      </w:r>
    </w:p>
    <w:p>
      <w:pPr>
        <w:spacing w:after="0" w:line="181"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18"/>
          <w:szCs w:val="18"/>
          <w:color w:val="auto"/>
        </w:rPr>
        <w:t xml:space="preserve">CDM’s operations in Quebec also expose us to the </w:t>
      </w:r>
      <w:r>
        <w:rPr>
          <w:rFonts w:ascii="Times New Roman" w:cs="Times New Roman" w:eastAsia="Times New Roman" w:hAnsi="Times New Roman"/>
          <w:sz w:val="18"/>
          <w:szCs w:val="18"/>
          <w:i w:val="1"/>
          <w:iCs w:val="1"/>
          <w:color w:val="auto"/>
        </w:rPr>
        <w:t>Charter of the French Language</w:t>
      </w:r>
      <w:r>
        <w:rPr>
          <w:rFonts w:ascii="Times New Roman" w:cs="Times New Roman" w:eastAsia="Times New Roman" w:hAnsi="Times New Roman"/>
          <w:sz w:val="18"/>
          <w:szCs w:val="18"/>
          <w:color w:val="auto"/>
        </w:rPr>
        <w:t xml:space="preserve"> (Bill 96), imposing French-language obligations on commercial signage, digital interfaces, and certain consumer-facing communications. CDM’s Ontario operations are subject to </w:t>
      </w:r>
      <w:r>
        <w:rPr>
          <w:rFonts w:ascii="Times New Roman" w:cs="Times New Roman" w:eastAsia="Times New Roman" w:hAnsi="Times New Roman"/>
          <w:sz w:val="18"/>
          <w:szCs w:val="18"/>
          <w:i w:val="1"/>
          <w:iCs w:val="1"/>
          <w:color w:val="auto"/>
        </w:rPr>
        <w:t>Accessibility for Ontarians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Disabilities Act </w:t>
      </w:r>
      <w:r>
        <w:rPr>
          <w:rFonts w:ascii="Times New Roman" w:cs="Times New Roman" w:eastAsia="Times New Roman" w:hAnsi="Times New Roman"/>
          <w:sz w:val="18"/>
          <w:szCs w:val="18"/>
          <w:color w:val="auto"/>
        </w:rPr>
        <w:t>(AODA) accessibility standards for public-facing digital signage. Non-compliance with any of the foregoing could result in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penalties, injunctions, and reputational harm.</w:t>
      </w:r>
    </w:p>
    <w:p>
      <w:pPr>
        <w:spacing w:after="0" w:line="181"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The combined impact of cross-border regulatory complexity could materially and adversely affect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the exchange rate between the U.S. dollar and the Canadian dollar could adversely affect our financial results.</w:t>
      </w:r>
    </w:p>
    <w:p>
      <w:pPr>
        <w:spacing w:after="0" w:line="227"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A significant portion of our revenues, expenses, and assets are now denominated in Canadian dollars through CDM's operations. Our consolidated financial statements are reported in U.S. dollars, and CDM's results are translated at prevailing exchange rates each period. A strengthening U.S. dollar could reduce the reported U.S. dollar value of CDM's revenues and assets, independent of CDM's underlying Canadian-dollar performance. We do not currently maintain a program to hedge our CAD/USD exposure, and there can be no assurance we will implement one. Currency fluctuations could therefore have a material adverse effect on our reported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AND OUR COMPANY</w:t>
      </w:r>
    </w:p>
    <w:p>
      <w:pPr>
        <w:spacing w:after="0" w:line="223" w:lineRule="exact"/>
        <w:rPr>
          <w:sz w:val="20"/>
          <w:szCs w:val="20"/>
          <w:color w:val="auto"/>
        </w:rPr>
      </w:pPr>
    </w:p>
    <w:p>
      <w:pPr>
        <w:ind w:right="1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Articles of Incorporation grant our Board of Directors the power to issue additional shares of common and preferred stock and to designate other classes of preferred stock, all without shareholder approval.</w:t>
      </w:r>
    </w:p>
    <w:p>
      <w:pPr>
        <w:spacing w:after="0" w:line="158"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Our authorized capital consists of 116,666,666 shares of capital stock, 49,970,000 of which is undesignated preferred stock. Pursuant to authority granted by our Articles of Incorporation, our Board of Directors, without any action by our shareholders, may designate and issue shares in such classes or series (including other classes or series of preferred stock) as it deems appropriate and establish the rights, preferences and privileges of such shares, including dividends, liquidation and voting rights, provided such designation is consistent with Minnesota law. The rights of holders of other classes or series of stock that may be issued could be superior to the rights of holders of our common shares. The designation and issuance of shares of capital stock having preferential rights could adversely affect other rights appurtenant to shares of our common stock. Furthermore, any issuances of additional stock (common or preferred) will dilute the percentage of ownership interest of then-current holders of our capital stock and may dilute our book value per share.</w:t>
      </w:r>
    </w:p>
    <w:p>
      <w:pPr>
        <w:spacing w:after="0" w:line="185" w:lineRule="exact"/>
        <w:rPr>
          <w:sz w:val="20"/>
          <w:szCs w:val="20"/>
          <w:color w:val="auto"/>
        </w:rPr>
      </w:pPr>
    </w:p>
    <w:p>
      <w:pPr>
        <w:ind w:right="2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Because we will not declare cash dividends on our common stock in the foreseeable future, stockholders must rely on appreciation of the value of our common stock for any return on their investment.</w:t>
      </w:r>
    </w:p>
    <w:p>
      <w:pPr>
        <w:spacing w:after="0" w:line="158"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We have never paid dividends on any of our capital stock and currently intend to retain any future earnings to fund the growth of our business.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ectPr>
          <w:pgSz w:w="11900" w:h="16838" w:orient="portrait"/>
          <w:cols w:equalWidth="0" w:num="1">
            <w:col w:w="11240"/>
          </w:cols>
          <w:pgMar w:left="320" w:top="121" w:right="339" w:bottom="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889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have significant tangible assets that could be sold upon liquidation.</w:t>
      </w:r>
    </w:p>
    <w:p>
      <w:pPr>
        <w:spacing w:after="0" w:line="22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We have nominal tangible assets. As a result, if we become insolvent or otherwise must dissolve, there will be no tangible assets to liquidate and no corresponding proceeds to disburse to our shareholders. If we become insolvent or otherwise must dissolve, shareholders will likely not receive any cash proceeds on account of their shares.</w:t>
      </w:r>
    </w:p>
    <w:p>
      <w:pPr>
        <w:spacing w:after="0" w:line="171" w:lineRule="exact"/>
        <w:rPr>
          <w:sz w:val="20"/>
          <w:szCs w:val="20"/>
          <w:color w:val="auto"/>
        </w:rPr>
      </w:pPr>
    </w:p>
    <w:p>
      <w:pPr>
        <w:ind w:right="4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can provide no assurance that our securities will continue to meet Nasdaq listing requirements. If we fail to comply with the continuing listing standards of the Nasdaq, our securities could be delisted.</w:t>
      </w:r>
    </w:p>
    <w:p>
      <w:pPr>
        <w:spacing w:after="0" w:line="158"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In 2022, the bid price of our common stock closed for 30 consecutive trading days below the $1.00 per share minimum required for continued listing on The Nasdaq Capital Market pursuant to Nasdaq Listing Rule 5550(a)(2) (the “Minimum Bid Price Requirement”). Although we cured such noncompliance as a result of its 1-for-3 reverse stock split in March 2023, the trading price of our common stock has been subject to large movement in the past, especially in light of historically low trading volumes. In addition, Nasdaq has recently adopted new rules that could hinder our ability to cure any future deficiency and maintain the continued listing of our common stock. These new rules, which became effective in January 2025, provide for the immediate delisting with no grace period of any listed company that falls out of compliance after the effective date with the Minimum Bid Price Requirement for a second time in a twelve-month period, provide for immediate delisting if a listed company effects a reverse stock split that causes it to fall out of compliance with certain other listing requirements, and limit the ratio of reverse stock splits to a cumulative ratio of 1-to-250 in any two-year period.</w:t>
      </w:r>
    </w:p>
    <w:p>
      <w:pPr>
        <w:spacing w:after="0" w:line="189"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We cannot be certain that we will be able to comply with the Minimum Bid Price Requirement and the other continued listing requirements of Nasdaq in the future, in which case our common stock may be delisted from the Nasdaq Capital Market. In the event our common stock is delisted from The Nasdaq Capital Market and we are also unable to maintain listing on another alternate exchange, trading in our common stock could thereafter be conducted in FINRA’s OTC Bulletin Board or in the over-the-counter markets in the so-called “pink sheets.” Delisting would likely have an adverse effect on the liquidity of our common stock, decrease the market price of our common stock, result in the potential loss of coverage by analysts and confidence by investors, customers, and employees, fewer business development opportunities, and adversely affect our ability to obtain financing for our continuing operations on favorable terms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certain of our shareholders could cause our stock price to fall.</w:t>
      </w:r>
    </w:p>
    <w:p>
      <w:pPr>
        <w:spacing w:after="0" w:line="22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by our significant shareholders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not be an active market for shares of our common stock.</w:t>
      </w:r>
    </w:p>
    <w:p>
      <w:pPr>
        <w:spacing w:after="0" w:line="22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In general, there has been minimal trading volume in our common stock. Small trading volumes would likely make it difficult for our shareholders to sell their shares as and when they choose. Furthermore, small trading volumes are generally understood to depress market prices. As a result, you may not always be able to resell shares of our common stock publicly at the time and prices that you feel are fair or appropriate.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issued shares of convertible preferred stock with terms that could dilute the voting power or reduce the value of our common stock.</w:t>
      </w:r>
    </w:p>
    <w:p>
      <w:pPr>
        <w:spacing w:after="0" w:line="227"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On October 15, 2025, the Company entered into a Securities Purchase Agreement (the “Securities Purchase Agreement”) with North Run Strategic Opportunities Fund I, LP (the “Lead Investor”) and NR-SOF I (Co-Invest I), LP (together with the Lead Investor, the “Buyers”), each an affiliate of North Run Capital, pursuant to which the Company agreed to sell to the Buyers in a private placement, for an aggregate gross purchase price of $30.0 million, an aggregate of 30,000 shares of a newly established series of preferred stock designated as Series A Convertible Preferred Stock (the “Preferred Shares”), which have a stated value of $1,000 per share (the “Stated Value”) (the “Offering”). The Offering was completed on November 6, 2025.</w:t>
      </w:r>
    </w:p>
    <w:p>
      <w:pPr>
        <w:spacing w:after="0" w:line="183"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The Preferred Stock accrue dividends on the Stated Value for a period of five years from and after the issuance date (the “Guaranteed Term”) at a rate of 5.25% per year. Each Preferred Share is convertible at the option of the holder into shares of the Company’s common stock at a rate (the “Conversion Rate”) calculated by dividing (i) a liquidation preference equal to the Stated Value plus the amount of accrued and unpaid dividends, by (ii) a conversion price of $3.00 (subject to customary adjustments). Conversion of the Preferred Shares are currently subject to ownership limitations that prevent converting the Preferred Shares if the holder, together with its affiliates, would be more than a 19.99% beneficial owner of our common stock following such conversion (the “Beneficial Ownership Limitation”) or if the aggregate number of common shares issued upon conversion of Preferred Shares would exceed 2,102,734 (the “Exchange Cap”). The holders of Preferred Shares may elect to eliminate the Exchange Cap limitation and may elect, upon 61 days’ written notice, to increase the maximum Beneficial Ownership limitation to 49.99%.</w:t>
      </w:r>
    </w:p>
    <w:p>
      <w:pPr>
        <w:spacing w:after="0" w:line="185"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Holders of Preferred Shares are entitled to vote on an as-converted basis with holders of the Company’s common stock (after taking into the account the applicable conversion limitations). Based on the Conversion Rate and without regard to the conversion limitations, the Preferred Shares held by the Buyers were initially convertible into common stock representing 48.7% of our issued and outstanding common stock after giving effect to such conversion.</w:t>
      </w:r>
    </w:p>
    <w:p>
      <w:pPr>
        <w:spacing w:after="0" w:line="183"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The Preferred Shares rank senior to the Company’s common stock as to distributions and payments upon the liquidation, dissolution and winding up of the Company, and holders of Preferred Shares will participate with the holders of the common stock on an as-converted basis to the extent any dividends are declared on common stock. Holders of Preferred Shares are also entitled to redemption rights under certain circumstances. The redemption rights and liquidation preferences assigned to holders of the Preferred Shares could affect the residual value of the common stock.</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preferred shareholders possess significant voting power, which will limit your influence on our management and affairs, and may discourage parties from initiating potential merger, takeover or other change-of-control transactions.</w:t>
      </w:r>
    </w:p>
    <w:p>
      <w:pPr>
        <w:spacing w:after="0" w:line="158"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Based on the Conversion Rate and without regarding the conversion limitations, the Preferred Shares were initially convertible into common stock representing 48.7% of our issued and outstanding common stock after giving effect to such conversion. For as long as North Run and its affiliates hold a significant amount of Preferred Shares and/or our common stock, they will be able to strongly influence or effectively exercise control over us. This concentrated control may limit or preclude other shareholders’ ability to influence corporate matters for the foreseeable future, including the election of directors, amendments of our organizational documents, and any merger, consolidation, sale of all or substantially all of our assets, or other major corporate transaction requiring shareholder approval.</w:t>
      </w:r>
    </w:p>
    <w:p>
      <w:pPr>
        <w:spacing w:after="0" w:line="187"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In addition to the significant voting control of North Run and its affiliates, for so long as the North Run and its affiliates beneficially own at least 20% of the common stock underlying the Preferred Shares, the Company may not take any of various actions without North Run’s consent, including creating, authorizing, or issuing capital stock that ranks senior to or pari passu with the Preferred Shares, or increasing the authorized number of Preferred Shares; incurring debt that would result in the ratio of debt to EBITDA of the Company for preceding twelve calendar months exceeding 2.5:1; purchasing or redeeming, or paying or declaring any dividend on shares of capital stock other than redemptions of or dividends on the Preferred Shares; completing an acquisition with consideration above $5.0 million; entering into, renewing, extending or being a party to certain related party transactions; or amending, altering or repealing any provision of the Company’s articles of incorporation or bylaws in a manner that adversely affects the rights, powers and preferences of the Preferred Shares.</w:t>
      </w:r>
    </w:p>
    <w:p>
      <w:pPr>
        <w:spacing w:after="0" w:line="185"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North Run has continuing director designation rights based on its and its affiliates’ beneficial ownership of common stock on an as-converted basis. The director designation right initially applies to two Board designees, but will be limited to one Board designee at such time as North Run and its affiliates cease to beneficially own at least 15% of the Company’s outstanding shares of common stock on an as-converted basis, and the designation right will cease to exist if such beneficial ownership threshold fall below 5%.</w:t>
      </w:r>
    </w:p>
    <w:p>
      <w:pPr>
        <w:spacing w:after="0" w:line="183"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North Run’s concentrated ownership may also prevent or discourage unsolicited acquisition proposals or offers for our capital stock that shareholders may believe are in their best interest. North Run’s interests may not align with the interests of our other shareholders. North Run and its affiliates may also determine to sell substantial amounts of our securities in one or more transactions, including to one or several private parties in negotiated transactions. In that case, those buyers may subsequently be able to exert significant control over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Because of our limited internal resources, we may not have in place various processes and protections common to more mature companies and may be more susceptible to adverse events.</w:t>
      </w:r>
    </w:p>
    <w:p>
      <w:pPr>
        <w:spacing w:after="0" w:line="158"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We have limited internal resources. As a result, we may not have in place systems, processes, and protections that many of our competitors have or that may be essential to protect against various risks. For example, we have in place only limited resources and processes addressing human resources, timekeeping, data protection, business continuity, personnel redundancy, and knowledge institutionalization concerns. As a result, we are at risk that one or more adverse events in these and other areas may materially harm our business, financial condition, and results of operations.</w:t>
      </w:r>
    </w:p>
    <w:p>
      <w:pPr>
        <w:spacing w:after="0" w:line="17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Geopolitical conflicts, including the current conflicts involving Iran, Israel and the United States, as well as terrorism and other global security threats, could adversely affect our business, financial condition and results of operations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On February 24, 2022, Russian military forces invaded Ukraine, and the length, impact, and outcome of the ongoing war in Ukraine is unpredictable. On October 7, 2023, Hamas terrorists infiltrated Israel’s border with the Gaza Strip and conducted a series of attacks on civilian and military targets, triggering an Israeli campaign against Hamas. Although there is currently a cease fire in the Israel-Hamas conflict, no assurance can be given that the cease fire will continue. On February 28, 2026, United States and Israeli forces conducted a series of attacks in Iran, and Iran responded by launching retaliatory attacks on Israel and United States military bases in the Middle East. The intensity and duration of the United States/Israel war against Iran is difficult to predict. The Russia-Ukraine, Israel-Hamas and United States/Israel-Iran wars and other geopolitical and macroeconomic events, a severe or prolonged economic downturn, interest rate fluctuations, rising inflation, recession, or other global financial or geopolitical crises, could result in a variety of risks to our business, or our ability to access the capital markets at a time when we would like, or need, to raise capital, including, but not limited to disruptions to our business operations, or a reduction or restriction on our operations and services.</w:t>
      </w:r>
    </w:p>
    <w:p>
      <w:pPr>
        <w:spacing w:after="0" w:line="189" w:lineRule="exact"/>
        <w:rPr>
          <w:sz w:val="20"/>
          <w:szCs w:val="20"/>
          <w:color w:val="auto"/>
        </w:rPr>
      </w:pPr>
    </w:p>
    <w:p>
      <w:pPr>
        <w:jc w:val="both"/>
        <w:ind w:right="20" w:firstLine="646"/>
        <w:spacing w:after="0" w:line="280" w:lineRule="auto"/>
        <w:rPr>
          <w:sz w:val="20"/>
          <w:szCs w:val="20"/>
          <w:color w:val="auto"/>
        </w:rPr>
      </w:pPr>
      <w:r>
        <w:rPr>
          <w:rFonts w:ascii="Times New Roman" w:cs="Times New Roman" w:eastAsia="Times New Roman" w:hAnsi="Times New Roman"/>
          <w:sz w:val="18"/>
          <w:szCs w:val="18"/>
          <w:color w:val="auto"/>
        </w:rPr>
        <w:t>We cannot predict the occurrence, scope, duration or consequences of geopolitical conflicts, terrorism, cyber incidents or other global crises, or the governmental responses thereto. Any such developments could materially adversely affect our business, financial condition and results of operations.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 inflation and unfavorable economic conditions could negatively affect our business, financial condition and results of operations.</w:t>
      </w:r>
    </w:p>
    <w:p>
      <w:pPr>
        <w:spacing w:after="0" w:line="227"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Unfavorable global or regional economic conditions may be triggered by numerous developments beyond our control, including inflation, geopolitical events, health crises such as the COVID-19 pandemic, and other events that trigger economic volatility on a global or regional basis. In particular, a significant deterioration in economic conditions, including economic slowdowns or recessions, increased unemployment levels, inflationary pressures or disruptions to credit and capital markets, could lead to decreased consumer confidence and consumer spending more generally, thus reducing consumer demand for our services. Such heightened inflationary levels and economic conditions may negatively impact consumer disposable income and discretionary spending, negatively impacting our business, financial condition and results of operations.</w:t>
      </w:r>
    </w:p>
    <w:p>
      <w:pPr>
        <w:spacing w:after="0" w:line="18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Changes in trade policy, tariff and import/export regulations may have a material adverse effect on our business, financial condition and results of operations.</w:t>
      </w:r>
    </w:p>
    <w:p>
      <w:pPr>
        <w:spacing w:after="0" w:line="158"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Beginning in 2025, the current Trump administration instituted changes in trade policies that included the imposition of higher tariffs on imports into the U.S. and other government regulations affecting trade between the U.S. and other countries where we conduct our business. In response, several countries have imposed, or threatened to impose, reciprocal tariffs on imports from the U.S. and other retaliatory measures. Various modifications to the U.S. tariffs have been announced and further changes could be made in the future, which may include additional sector-based tariffs or other measures.</w:t>
      </w:r>
    </w:p>
    <w:p>
      <w:pPr>
        <w:spacing w:after="0" w:line="183"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In February 2026, the U.S. Supreme Court (the “Court”) held that tariffs imposed under the International Emergency Economic Powers Act (“IEEPA”) are not legally authorized. The Court only ruled on IEEPA tariffs and did not invalidate any other tariffs. The implications of the Court’s ruling for trade policy and related administrative actions remain uncertain. Subsequent to the Court’s ruling, the Trump administration raised potential alternative means through which the administration could impose tariffs and subsequently imposed a global tariff under a different law. A number of tariff-related matters continue to be challenged that could impact the continued utilization of certain tariffs and the manner in which tariff costs. If not significantly and promptly moderated or eliminated, these tariffs may increase the cost of goods for our products or reduce our ability to sell products, which may, in turn, adversely affect our operating results and financial condition.</w:t>
      </w:r>
    </w:p>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ultimate impact of these trade measures on our business operations and financial results is uncertain and may be affected by various factors, including whether and when such trade measures are implemented, the timing of when such measures may become effective, and the amount, scope, or nature of such trade measures, and our ability to execute strategies to mitigate the negative impacts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7"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227"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We have developed and implemented cybersecurity risk management processes intended to protect the confidentiality, integrity, and availability of our critical systems and information. While everyone at our company plays a part in managing cybersecurity risks, primary cybersecurity oversight responsibility is shared by our Board of Directors and senior management. Our cybersecurity risk management program is integrated into our overall enterprise risk management program.</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223" w:lineRule="exact"/>
        <w:rPr>
          <w:sz w:val="20"/>
          <w:szCs w:val="20"/>
          <w:color w:val="auto"/>
        </w:rPr>
      </w:pPr>
    </w:p>
    <w:p>
      <w:pPr>
        <w:jc w:val="both"/>
        <w:ind w:left="980" w:hanging="327"/>
        <w:spacing w:after="0" w:line="259"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technological, and administrative controls intended to support our cybersecurity and data governance framework, including protections designed to protect the confidentiality, integrity, and availability of our key information systems and customer, employee, partner, and other third-party information stored on those systems, such as access controls, encryption, data handling requirements, and other cybersecurity safeguards, and internal policies that govern our cybersecurity risk management and data protection practices;</w:t>
      </w:r>
    </w:p>
    <w:p>
      <w:pPr>
        <w:spacing w:after="0" w:line="209" w:lineRule="exact"/>
        <w:rPr>
          <w:rFonts w:ascii="Times New Roman" w:cs="Times New Roman" w:eastAsia="Times New Roman" w:hAnsi="Times New Roman"/>
          <w:sz w:val="18"/>
          <w:szCs w:val="18"/>
          <w:color w:val="auto"/>
        </w:rPr>
      </w:pPr>
    </w:p>
    <w:p>
      <w:pPr>
        <w:ind w:left="980" w:hanging="327"/>
        <w:spacing w:after="0" w:line="280"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defined procedure for timely incident detection, containment, response, and remediation, including a written security incident response plan that includes procedures for responding to cybersecurity incidents;</w:t>
      </w:r>
    </w:p>
    <w:p>
      <w:pPr>
        <w:spacing w:after="0" w:line="189" w:lineRule="exact"/>
        <w:rPr>
          <w:rFonts w:ascii="Times New Roman" w:cs="Times New Roman" w:eastAsia="Times New Roman" w:hAnsi="Times New Roman"/>
          <w:sz w:val="18"/>
          <w:szCs w:val="18"/>
          <w:color w:val="auto"/>
        </w:rPr>
      </w:pPr>
    </w:p>
    <w:p>
      <w:pPr>
        <w:ind w:left="980" w:hanging="327"/>
        <w:spacing w:after="0" w:line="280"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assessment processes designed to help identify material cybersecurity risks to our critical systems, information, products, services, and broader enterprise IT environment;</w:t>
      </w:r>
    </w:p>
    <w:p>
      <w:pPr>
        <w:spacing w:after="0" w:line="189"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w:t>
      </w:r>
    </w:p>
    <w:p>
      <w:pPr>
        <w:sectPr>
          <w:pgSz w:w="11900" w:h="16838" w:orient="portrait"/>
          <w:cols w:equalWidth="0" w:num="1">
            <w:col w:w="11240"/>
          </w:cols>
          <w:pgMar w:left="320" w:top="121" w:right="339" w:bottom="1440"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980" w:hanging="327"/>
        <w:spacing w:after="0" w:line="280"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consultants or other third-party experts and service providers, where considered appropriate, to assess, test, or otherwise assist with aspects of our cybersecurity controls; and</w:t>
      </w:r>
    </w:p>
    <w:p>
      <w:pPr>
        <w:spacing w:after="0" w:line="189" w:lineRule="exact"/>
        <w:rPr>
          <w:rFonts w:ascii="Times New Roman" w:cs="Times New Roman" w:eastAsia="Times New Roman" w:hAnsi="Times New Roman"/>
          <w:sz w:val="18"/>
          <w:szCs w:val="18"/>
          <w:color w:val="auto"/>
        </w:rPr>
      </w:pPr>
    </w:p>
    <w:p>
      <w:pPr>
        <w:ind w:left="980" w:hanging="327"/>
        <w:spacing w:after="0" w:line="280"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cybersecurity and privacy training of employees, including incident response personnel and senior management, and specialized training for certain teams depending on their role and/or access to certain types of information, such as consumer information.</w:t>
      </w:r>
    </w:p>
    <w:p>
      <w:pPr>
        <w:spacing w:after="0" w:line="154"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2"/>
          <w:szCs w:val="22"/>
          <w:color w:val="auto"/>
        </w:rPr>
        <w:t>During the year ended December 31, 2025, we did not identify risks from known cybersecurity threats, including as a result of any prior cybersecurity incidents we have experienced from time to time, that have materially affected or are reasonably likely to materially affect us, including our operations, business strategy, operating results, or financial condition. We will continue to monitor and assess our cybersecurity risk management program as well as invest in and seek to improve such systems and processes as appropriate. If we were to experience a material cybersecurity incident in the future, such incident may have a material adverse effect on our operations, business strategy, operating results, and financial condition. For more information regarding cybersecurity risks that we face and potential related impacts on our business, see the section titled “Risk Factors” in Part I, Item 1A of this Report.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Governance</w:t>
      </w:r>
    </w:p>
    <w:p>
      <w:pPr>
        <w:spacing w:after="0" w:line="22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Our full Board of Directors oversees our risk management, including our information technology and cybersecurity policies, procedures, and risk assessments. Our management reports to our Board of Directors on information security matters as necessary, regarding any significant cybersecurity incidents, as well as any incidents with lesser impact potential.</w:t>
      </w:r>
    </w:p>
    <w:p>
      <w:pPr>
        <w:spacing w:after="0" w:line="175"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various processes for managing risk. An overall review of risk is inherent in our Board of Directors ongoing consideration of our long-term strategies, transactions and other matters presented to and discussed by the Board of Directors. This includes a discussion of the likelihood and potential magnitude of various risks, including cybersecurity risks, and any actions management has taken to limit, monitor or control those risks. The Board of Directors receives briefings from management periodically on our cyber risk management program and presentations on cybersecurity topics as part of the Board of Directors’ continuing education on topics that impact public companies.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7" w:lineRule="exact"/>
        <w:rPr>
          <w:sz w:val="20"/>
          <w:szCs w:val="20"/>
          <w:color w:val="auto"/>
        </w:rPr>
      </w:pPr>
    </w:p>
    <w:p>
      <w:pPr>
        <w:jc w:val="both"/>
        <w:ind w:firstLine="646"/>
        <w:spacing w:after="0" w:line="276" w:lineRule="auto"/>
        <w:rPr>
          <w:sz w:val="20"/>
          <w:szCs w:val="20"/>
          <w:color w:val="auto"/>
        </w:rPr>
      </w:pPr>
      <w:r>
        <w:rPr>
          <w:rFonts w:ascii="Times New Roman" w:cs="Times New Roman" w:eastAsia="Times New Roman" w:hAnsi="Times New Roman"/>
          <w:sz w:val="17"/>
          <w:szCs w:val="17"/>
          <w:color w:val="auto"/>
        </w:rPr>
        <w:t>Our headquarters is located at 13100 Magisterial Drive, Suite 201, Louisville, KY 40223, where we lease approximately 19,000 square-feet of office space, including approximately 7,300 square-feet of warehouse space. We also lease office spaces in other locations as necessary to support our operations outside of Louisville. Our material leased facilities include approximately 4,500 square feet to support our Atlanta operations at a facility known as Northridge Center II, located at 365 Northridge Road, Atlanta, GA 30350, and 15,000 square feet to support our CDM operations at a facility located at 137-139 Northfield Drive West, Unit 1-3, Waterloo, Ontario N2L 5A6. We believe our current space is sufficient for our projected near-term future growth.</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corporate phone number is (502) 791-8800.</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not party to any material legal proceedings, other than ordinary routine litigation incidental to its business.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0" w:lineRule="exact"/>
        <w:rPr>
          <w:sz w:val="20"/>
          <w:szCs w:val="20"/>
          <w:color w:val="auto"/>
        </w:rPr>
      </w:pPr>
    </w:p>
    <w:p>
      <w:pPr>
        <w:ind w:right="440"/>
        <w:spacing w:after="0" w:line="285" w:lineRule="auto"/>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7"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Our common stock is listed for trading on the Nasdaq Capital Market under the symbol “CREX”. The transfer agent and registrar for our common stock is Computershare Limited.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April 10, 2026, we had 328 holders of record of our common stock.</w:t>
      </w:r>
    </w:p>
    <w:p>
      <w:pPr>
        <w:sectPr>
          <w:pgSz w:w="11900" w:h="16838" w:orient="portrait"/>
          <w:cols w:equalWidth="0" w:num="1">
            <w:col w:w="11240"/>
          </w:cols>
          <w:pgMar w:left="320" w:top="121" w:right="339"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7"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future earnings, if any, to operate and expand our business and to finance the development and expansion of our business. We do not anticipate paying cash dividends on our common stock in the foreseeable future. Any payment of cash dividends in the future will be at the discretion of our Board of Directors and will depend upon our results of operations, earnings, capital requirements, contractual restrictions, and other factors deemed relevant by our Board of Directors.</w:t>
      </w:r>
    </w:p>
    <w:p>
      <w:pPr>
        <w:spacing w:after="0" w:line="183"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Holders of our common stock are entitled to share pro rata in dividends and distributions with respect to the common stock when, as and if declared by our Board of Directors out of funds legally available for distribution.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7"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currency is rounded to the nearest thousands, except share and per share amounts.)</w:t>
      </w:r>
    </w:p>
    <w:p>
      <w:pPr>
        <w:spacing w:after="0" w:line="223"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financial statements and related notes for the years ended December 31, 2025 and 2024, which are included elsewhere in this Report. This Management’s Discussion and Analysis of Financial Condition and Results of Operations contains statements that are forward-looking. These statements are based on current expectations and assumptions that are subject to risk, uncertainties and other factors. These statements are often identified by the use of words such as “may,” “will,” “expect,” “believe,” “anticipate,” “intend,” “could,” “estimate,” or “continue,” and similar expressions or variations.</w:t>
      </w:r>
    </w:p>
    <w:p>
      <w:pPr>
        <w:spacing w:after="0" w:line="183"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You should review the “</w:t>
      </w:r>
      <w:r>
        <w:rPr>
          <w:rFonts w:ascii="Times New Roman" w:cs="Times New Roman" w:eastAsia="Times New Roman" w:hAnsi="Times New Roman"/>
          <w:sz w:val="18"/>
          <w:szCs w:val="18"/>
          <w:u w:val="single" w:color="auto"/>
          <w:color w:val="0000EE"/>
        </w:rPr>
        <w:t>Cautionary Note Regarding Forward-Looking Statements; Risk Factor Summary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sections of this Report for a discussion of important factors that could cause actual results to differ materially from the results described in or implied by the forward-looking statements described in the following discussion and analysis.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The Company transforms environments through digital solutions by providing innovative digital signage solutions for key market segments and use cases, including:</w:t>
      </w:r>
    </w:p>
    <w:p>
      <w:pPr>
        <w:spacing w:after="0" w:line="163" w:lineRule="exact"/>
        <w:rPr>
          <w:sz w:val="20"/>
          <w:szCs w:val="20"/>
          <w:color w:val="auto"/>
        </w:rPr>
      </w:pPr>
    </w:p>
    <w:p>
      <w:pPr>
        <w:ind w:left="980" w:hanging="327"/>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and Sports Venues</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Restaurants, including QSRs</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Stores</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Services</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Lottery</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Use Developments</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DOOH Advertising Networks</w:t>
      </w:r>
    </w:p>
    <w:p>
      <w:pPr>
        <w:spacing w:after="0" w:line="250"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spacing w:after="0" w:line="175" w:lineRule="exact"/>
        <w:rPr>
          <w:sz w:val="20"/>
          <w:szCs w:val="20"/>
          <w:color w:val="auto"/>
        </w:rPr>
      </w:pPr>
    </w:p>
    <w:p>
      <w:pPr>
        <w:ind w:left="980" w:hanging="327"/>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brand awareness;</w:t>
      </w:r>
    </w:p>
    <w:p>
      <w:pPr>
        <w:sectPr>
          <w:pgSz w:w="11900" w:h="16838" w:orient="portrait"/>
          <w:cols w:equalWidth="0" w:num="1">
            <w:col w:w="11240"/>
          </w:cols>
          <w:pgMar w:left="320" w:top="121" w:right="339" w:bottom="1440"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980" w:hanging="327"/>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customer support;</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employee productivity and satisfaction;</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 and profitability;</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guest experience; and</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customer/guest engagement.</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Traffic content and advertising</w:t>
      </w:r>
    </w:p>
    <w:p>
      <w:pPr>
        <w:spacing w:after="0" w:line="250"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Through a combination of organically grown platforms and a series of strategic acquisitions, the Company assists customers to design, deploy, manage, and monetize their digital signage and in-store retail media networks. The Company sources leads and opportunities for its solutions through its digital and content marketing initiatives, close relationships with key industry partners, specifically equipment manufacturers, and the direct efforts of its in-house industry sales experts. Customer engagements focus on consultative conversations that ensure the Company’s solutions are positioned to help customers achieve their business objectives in the most cost-effective manner possible.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When comparing us to other digital signage providers, our customers value the following competitive advantages:</w:t>
      </w:r>
    </w:p>
    <w:p>
      <w:pPr>
        <w:spacing w:after="0" w:line="219" w:lineRule="exact"/>
        <w:rPr>
          <w:sz w:val="20"/>
          <w:szCs w:val="20"/>
          <w:color w:val="auto"/>
        </w:rPr>
      </w:pPr>
    </w:p>
    <w:p>
      <w:pPr>
        <w:jc w:val="both"/>
        <w:ind w:left="980" w:hanging="327"/>
        <w:spacing w:after="0" w:line="261"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Breadth of solutions </w:t>
      </w:r>
      <w:r>
        <w:rPr>
          <w:rFonts w:ascii="Times New Roman" w:cs="Times New Roman" w:eastAsia="Times New Roman" w:hAnsi="Times New Roman"/>
          <w:sz w:val="18"/>
          <w:szCs w:val="18"/>
          <w:color w:val="auto"/>
        </w:rPr>
        <w:t>– Creative Realities offers a wide breadth of solutions to our customers. Creative Realities is one of only a few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in the industry capable of providing the full portfolio of products and services required to implement and run an effective digital signage and in-store retail media networks. We leverage a ‘single vendor’ approach, providing customers with a one-stop-shop for sourcing digital signage and media solutions from design through day two services.</w:t>
      </w:r>
    </w:p>
    <w:p>
      <w:pPr>
        <w:spacing w:after="0" w:line="175" w:lineRule="exact"/>
        <w:rPr>
          <w:rFonts w:ascii="Times New Roman" w:cs="Times New Roman" w:eastAsia="Times New Roman" w:hAnsi="Times New Roman"/>
          <w:sz w:val="18"/>
          <w:szCs w:val="18"/>
          <w:color w:val="auto"/>
        </w:rPr>
      </w:pPr>
    </w:p>
    <w:p>
      <w:pPr>
        <w:jc w:val="both"/>
        <w:ind w:left="980" w:hanging="327"/>
        <w:spacing w:after="0" w:line="267"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Managed labor pool </w:t>
      </w:r>
      <w:r>
        <w:rPr>
          <w:rFonts w:ascii="Times New Roman" w:cs="Times New Roman" w:eastAsia="Times New Roman" w:hAnsi="Times New Roman"/>
          <w:sz w:val="18"/>
          <w:szCs w:val="18"/>
          <w:color w:val="auto"/>
        </w:rPr>
        <w:t>– Unlike most companies in our industry, we have a curated labor pool of qualified and vetted field technicians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service customers quickly nationwide. We can meet tight schedules even in exceptionally large deployments and still ensure quality and consistency.</w:t>
      </w:r>
    </w:p>
    <w:p>
      <w:pPr>
        <w:spacing w:after="0" w:line="170" w:lineRule="exact"/>
        <w:rPr>
          <w:rFonts w:ascii="Times New Roman" w:cs="Times New Roman" w:eastAsia="Times New Roman" w:hAnsi="Times New Roman"/>
          <w:sz w:val="18"/>
          <w:szCs w:val="18"/>
          <w:color w:val="auto"/>
        </w:rPr>
      </w:pPr>
    </w:p>
    <w:p>
      <w:pPr>
        <w:jc w:val="both"/>
        <w:ind w:left="980" w:hanging="327"/>
        <w:spacing w:after="0" w:line="267"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In-house creative resources </w:t>
      </w:r>
      <w:r>
        <w:rPr>
          <w:rFonts w:ascii="Times New Roman" w:cs="Times New Roman" w:eastAsia="Times New Roman" w:hAnsi="Times New Roman"/>
          <w:sz w:val="18"/>
          <w:szCs w:val="18"/>
          <w:color w:val="auto"/>
        </w:rPr>
        <w:t>– We assist customers in creating new content or repurposing existing content for digital signage experiences,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activity for which the Company has won several design awards in recent years. In each instance, our services can be essential in helping customers develop an effective content program.</w:t>
      </w:r>
    </w:p>
    <w:p>
      <w:pPr>
        <w:spacing w:after="0" w:line="197" w:lineRule="exact"/>
        <w:rPr>
          <w:rFonts w:ascii="Times New Roman" w:cs="Times New Roman" w:eastAsia="Times New Roman" w:hAnsi="Times New Roman"/>
          <w:sz w:val="18"/>
          <w:szCs w:val="18"/>
          <w:color w:val="auto"/>
        </w:rPr>
      </w:pPr>
    </w:p>
    <w:p>
      <w:pPr>
        <w:jc w:val="both"/>
        <w:ind w:left="980" w:hanging="327"/>
        <w:spacing w:after="0" w:line="261"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Network scalability and reliability </w:t>
      </w:r>
      <w:r>
        <w:rPr>
          <w:rFonts w:ascii="Times New Roman" w:cs="Times New Roman" w:eastAsia="Times New Roman" w:hAnsi="Times New Roman"/>
          <w:sz w:val="18"/>
          <w:szCs w:val="18"/>
          <w:color w:val="auto"/>
        </w:rPr>
        <w:t>– Our SaaS content management platforms power some of the largest and most complex digital signage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in North America, evidencing our ability to manage enterprise scale projects. This also provides us purchasing power to source products and services for our customers, enabling us to deliver cost effective, reliable and powerful solutions to small and medium size business customers.</w:t>
      </w:r>
    </w:p>
    <w:p>
      <w:pPr>
        <w:spacing w:after="0" w:line="202" w:lineRule="exact"/>
        <w:rPr>
          <w:rFonts w:ascii="Times New Roman" w:cs="Times New Roman" w:eastAsia="Times New Roman" w:hAnsi="Times New Roman"/>
          <w:sz w:val="18"/>
          <w:szCs w:val="18"/>
          <w:color w:val="auto"/>
        </w:rPr>
      </w:pPr>
    </w:p>
    <w:p>
      <w:pPr>
        <w:jc w:val="both"/>
        <w:ind w:left="980" w:hanging="327"/>
        <w:spacing w:after="0" w:line="261"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AdTech platforms </w:t>
      </w:r>
      <w:r>
        <w:rPr>
          <w:rFonts w:ascii="Times New Roman" w:cs="Times New Roman" w:eastAsia="Times New Roman" w:hAnsi="Times New Roman"/>
          <w:sz w:val="18"/>
          <w:szCs w:val="18"/>
          <w:color w:val="auto"/>
        </w:rPr>
        <w:t>– The Company has developed and deployed the AdLogic and CPM+ platforms, which, working in conjunction with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CMS platforms, present completely integrated digital advertising solutions for existing and prospective customers seeking to monetize their in-store retail media networks. These platforms anchor the Company's vertical expansion into AdTech bringing new, and expanding existing, addressable markets.</w:t>
      </w:r>
    </w:p>
    <w:p>
      <w:pPr>
        <w:spacing w:after="0" w:line="202" w:lineRule="exact"/>
        <w:rPr>
          <w:rFonts w:ascii="Times New Roman" w:cs="Times New Roman" w:eastAsia="Times New Roman" w:hAnsi="Times New Roman"/>
          <w:sz w:val="18"/>
          <w:szCs w:val="18"/>
          <w:color w:val="auto"/>
        </w:rPr>
      </w:pPr>
    </w:p>
    <w:p>
      <w:pPr>
        <w:jc w:val="both"/>
        <w:ind w:left="980" w:hanging="327"/>
        <w:spacing w:after="0" w:line="261"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sector expertise </w:t>
      </w:r>
      <w:r>
        <w:rPr>
          <w:rFonts w:ascii="Times New Roman" w:cs="Times New Roman" w:eastAsia="Times New Roman" w:hAnsi="Times New Roman"/>
          <w:sz w:val="18"/>
          <w:szCs w:val="18"/>
          <w:color w:val="auto"/>
        </w:rPr>
        <w:t>– Creative Realities has in-house experts in key market segments such as retail, QSRs, convenience stores,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DOOH advertising. Our expertise in these business segments enable our teams to provide meaningful business conversations and offer tailored solutions with prospects and customers to their unique business objectives. These experts build industry relationship and create thought leadership that drives lead flow and new opportunities for our business.</w:t>
      </w:r>
    </w:p>
    <w:p>
      <w:pPr>
        <w:spacing w:after="0" w:line="202" w:lineRule="exact"/>
        <w:rPr>
          <w:rFonts w:ascii="Times New Roman" w:cs="Times New Roman" w:eastAsia="Times New Roman" w:hAnsi="Times New Roman"/>
          <w:sz w:val="18"/>
          <w:szCs w:val="18"/>
          <w:color w:val="auto"/>
        </w:rPr>
      </w:pPr>
    </w:p>
    <w:p>
      <w:pPr>
        <w:ind w:left="980" w:hanging="327"/>
        <w:spacing w:after="0" w:line="285"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Logistics </w:t>
      </w:r>
      <w:r>
        <w:rPr>
          <w:rFonts w:ascii="Times New Roman" w:cs="Times New Roman" w:eastAsia="Times New Roman" w:hAnsi="Times New Roman"/>
          <w:sz w:val="18"/>
          <w:szCs w:val="18"/>
          <w:color w:val="auto"/>
        </w:rPr>
        <w:t>– Implementing a large digital signage project can be a logistical nightmare that can stall an initiative, even before deployment.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in logistics improves deployment efficiency, reduces delays and problems, and saves customers time and money.</w:t>
      </w:r>
    </w:p>
    <w:p>
      <w:pPr>
        <w:spacing w:after="0" w:line="181" w:lineRule="exact"/>
        <w:rPr>
          <w:rFonts w:ascii="Times New Roman" w:cs="Times New Roman" w:eastAsia="Times New Roman" w:hAnsi="Times New Roman"/>
          <w:sz w:val="18"/>
          <w:szCs w:val="18"/>
          <w:color w:val="auto"/>
        </w:rPr>
      </w:pPr>
    </w:p>
    <w:p>
      <w:pPr>
        <w:jc w:val="both"/>
        <w:ind w:left="980" w:hanging="327"/>
        <w:spacing w:after="0" w:line="267"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support </w:t>
      </w:r>
      <w:r>
        <w:rPr>
          <w:rFonts w:ascii="Times New Roman" w:cs="Times New Roman" w:eastAsia="Times New Roman" w:hAnsi="Times New Roman"/>
          <w:sz w:val="18"/>
          <w:szCs w:val="18"/>
          <w:color w:val="auto"/>
        </w:rPr>
        <w:t>– Digital signage networks present unique challenges for corporate IT departments. We simplify and improve end user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by leveraging our own NOC in Louisville, Kentucky. The NOC resolves many issues remotely and when field support is required, it can be dispatched quickly from the NOC, leveraging our managed labor pool to resolve customer issues quickly and effectively.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left="980" w:hanging="327"/>
        <w:spacing w:after="0" w:line="261"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Integrations and Application Development </w:t>
      </w:r>
      <w:r>
        <w:rPr>
          <w:rFonts w:ascii="Times New Roman" w:cs="Times New Roman" w:eastAsia="Times New Roman" w:hAnsi="Times New Roman"/>
          <w:sz w:val="18"/>
          <w:szCs w:val="18"/>
          <w:color w:val="auto"/>
        </w:rPr>
        <w:t>– The future of digital signage is not still images and videos on a screen. We believe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interactive applications and integrations with other data sources will dominate the future. From social media feeds, mobile integrations, corporate data stores, or POS systems, our proven ability to build scalable applications and integrations is a key advantage that customers can leverage to deliver more compelling and engaging experiences for their customers.</w:t>
      </w:r>
    </w:p>
    <w:p>
      <w:pPr>
        <w:spacing w:after="0" w:line="202" w:lineRule="exact"/>
        <w:rPr>
          <w:rFonts w:ascii="Times New Roman" w:cs="Times New Roman" w:eastAsia="Times New Roman" w:hAnsi="Times New Roman"/>
          <w:sz w:val="18"/>
          <w:szCs w:val="18"/>
          <w:color w:val="auto"/>
        </w:rPr>
      </w:pPr>
    </w:p>
    <w:p>
      <w:pPr>
        <w:jc w:val="both"/>
        <w:ind w:left="980" w:hanging="327"/>
        <w:spacing w:after="0" w:line="261"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Hardware support </w:t>
      </w:r>
      <w:r>
        <w:rPr>
          <w:rFonts w:ascii="Times New Roman" w:cs="Times New Roman" w:eastAsia="Times New Roman" w:hAnsi="Times New Roman"/>
          <w:sz w:val="18"/>
          <w:szCs w:val="18"/>
          <w:color w:val="auto"/>
        </w:rPr>
        <w:t>– A number of digital signage providers sell a proprietary media player or align themselves with just one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We utilize a range of media players including Windows, Android and BrightSign to provide customers the flexibility they need to select the appropriate hardware for any application knowing the entire network can still be served by a single digital signage platform, reducing complexity and improving the productivity of our customers.</w:t>
      </w:r>
    </w:p>
    <w:p>
      <w:pPr>
        <w:spacing w:after="0" w:line="202"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Media Network – </w:t>
      </w:r>
      <w:r>
        <w:rPr>
          <w:rFonts w:ascii="Times New Roman" w:cs="Times New Roman" w:eastAsia="Times New Roman" w:hAnsi="Times New Roman"/>
          <w:sz w:val="18"/>
          <w:szCs w:val="18"/>
          <w:color w:val="auto"/>
        </w:rPr>
        <w:t>The Company owns and operates the largest mall shopping network in Canada.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Sources of Revenue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 primary sources of revenue for the Company are:</w:t>
      </w:r>
    </w:p>
    <w:p>
      <w:pPr>
        <w:spacing w:after="0" w:line="223" w:lineRule="exact"/>
        <w:rPr>
          <w:sz w:val="20"/>
          <w:szCs w:val="20"/>
          <w:color w:val="auto"/>
        </w:rPr>
      </w:pPr>
    </w:p>
    <w:p>
      <w:pPr>
        <w:ind w:left="980" w:hanging="327"/>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sales from reselling digital signage hardware from original equipment manufacturers such as Samsung and BrightSign.</w:t>
      </w:r>
    </w:p>
    <w:p>
      <w:pPr>
        <w:spacing w:after="0" w:line="250"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from helping customers design, deploy and manage their digital signage and in-store retail media networks, including:</w:t>
      </w:r>
    </w:p>
    <w:p>
      <w:pPr>
        <w:spacing w:after="0" w:line="250" w:lineRule="exact"/>
        <w:rPr>
          <w:rFonts w:ascii="Times New Roman" w:cs="Times New Roman" w:eastAsia="Times New Roman" w:hAnsi="Times New Roman"/>
          <w:sz w:val="18"/>
          <w:szCs w:val="18"/>
          <w:color w:val="auto"/>
        </w:rPr>
      </w:pPr>
    </w:p>
    <w:p>
      <w:pPr>
        <w:ind w:left="1300" w:hanging="324"/>
        <w:spacing w:after="0"/>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system design/engineering</w:t>
      </w:r>
    </w:p>
    <w:p>
      <w:pPr>
        <w:spacing w:after="0" w:line="277" w:lineRule="exact"/>
        <w:rPr>
          <w:rFonts w:ascii="Times New Roman" w:cs="Times New Roman" w:eastAsia="Times New Roman" w:hAnsi="Times New Roman"/>
          <w:sz w:val="18"/>
          <w:szCs w:val="18"/>
          <w:color w:val="auto"/>
        </w:rPr>
      </w:pPr>
    </w:p>
    <w:p>
      <w:pPr>
        <w:ind w:left="1300" w:hanging="324"/>
        <w:spacing w:after="0"/>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installation</w:t>
      </w:r>
    </w:p>
    <w:p>
      <w:pPr>
        <w:spacing w:after="0" w:line="277" w:lineRule="exact"/>
        <w:rPr>
          <w:rFonts w:ascii="Times New Roman" w:cs="Times New Roman" w:eastAsia="Times New Roman" w:hAnsi="Times New Roman"/>
          <w:sz w:val="18"/>
          <w:szCs w:val="18"/>
          <w:color w:val="auto"/>
        </w:rPr>
      </w:pPr>
    </w:p>
    <w:p>
      <w:pPr>
        <w:ind w:left="1300" w:hanging="324"/>
        <w:spacing w:after="0"/>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development</w:t>
      </w:r>
    </w:p>
    <w:p>
      <w:pPr>
        <w:spacing w:after="0" w:line="277" w:lineRule="exact"/>
        <w:rPr>
          <w:rFonts w:ascii="Times New Roman" w:cs="Times New Roman" w:eastAsia="Times New Roman" w:hAnsi="Times New Roman"/>
          <w:sz w:val="18"/>
          <w:szCs w:val="18"/>
          <w:color w:val="auto"/>
        </w:rPr>
      </w:pPr>
    </w:p>
    <w:p>
      <w:pPr>
        <w:ind w:left="1300" w:hanging="324"/>
        <w:spacing w:after="0"/>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scheduling</w:t>
      </w:r>
    </w:p>
    <w:p>
      <w:pPr>
        <w:spacing w:after="0" w:line="277" w:lineRule="exact"/>
        <w:rPr>
          <w:rFonts w:ascii="Times New Roman" w:cs="Times New Roman" w:eastAsia="Times New Roman" w:hAnsi="Times New Roman"/>
          <w:sz w:val="18"/>
          <w:szCs w:val="18"/>
          <w:color w:val="auto"/>
        </w:rPr>
      </w:pPr>
    </w:p>
    <w:p>
      <w:pPr>
        <w:ind w:left="1300" w:hanging="324"/>
        <w:spacing w:after="0"/>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Post-deployment network and field support</w:t>
      </w:r>
    </w:p>
    <w:p>
      <w:pPr>
        <w:spacing w:after="0" w:line="258" w:lineRule="exact"/>
        <w:rPr>
          <w:rFonts w:ascii="Times New Roman" w:cs="Times New Roman" w:eastAsia="Times New Roman" w:hAnsi="Times New Roman"/>
          <w:sz w:val="18"/>
          <w:szCs w:val="18"/>
          <w:color w:val="auto"/>
        </w:rPr>
      </w:pPr>
    </w:p>
    <w:p>
      <w:pPr>
        <w:ind w:left="1300" w:hanging="324"/>
        <w:spacing w:after="0"/>
        <w:tabs>
          <w:tab w:leader="none" w:pos="130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AdTech to traffic advertising and content directly and through programmatic channels</w:t>
      </w:r>
    </w:p>
    <w:p>
      <w:pPr>
        <w:spacing w:after="0" w:line="223" w:lineRule="exact"/>
        <w:rPr>
          <w:rFonts w:ascii="Times New Roman" w:cs="Times New Roman" w:eastAsia="Times New Roman" w:hAnsi="Times New Roman"/>
          <w:sz w:val="22"/>
          <w:szCs w:val="22"/>
          <w:color w:val="auto"/>
        </w:rPr>
      </w:pPr>
    </w:p>
    <w:p>
      <w:pPr>
        <w:ind w:left="980" w:right="20" w:hanging="327"/>
        <w:spacing w:after="0" w:line="280"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subscription licensing and support revenue from our digital signage software platforms, which are generally sold via a SaaS model. Our platforms:</w:t>
      </w:r>
    </w:p>
    <w:p>
      <w:pPr>
        <w:spacing w:after="0" w:line="158" w:lineRule="exact"/>
        <w:rPr>
          <w:rFonts w:ascii="Times New Roman" w:cs="Times New Roman" w:eastAsia="Times New Roman" w:hAnsi="Times New Roman"/>
          <w:sz w:val="18"/>
          <w:szCs w:val="18"/>
          <w:color w:val="auto"/>
        </w:rPr>
      </w:pPr>
    </w:p>
    <w:p>
      <w:pPr>
        <w:ind w:left="1300" w:hanging="324"/>
        <w:spacing w:after="0"/>
        <w:tabs>
          <w:tab w:leader="none" w:pos="130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b w:val="1"/>
          <w:bCs w:val="1"/>
          <w:color w:val="auto"/>
        </w:rPr>
        <w:t>ReflectView</w:t>
      </w:r>
      <w:r>
        <w:rPr>
          <w:rFonts w:ascii="Times New Roman" w:cs="Times New Roman" w:eastAsia="Times New Roman" w:hAnsi="Times New Roman"/>
          <w:sz w:val="17"/>
          <w:szCs w:val="17"/>
          <w:color w:val="auto"/>
        </w:rPr>
        <w:t>, the Company’s core digital signage platform for most applications, scalable and cost effective from 10 to 100,000+ devices;</w:t>
      </w:r>
    </w:p>
    <w:p>
      <w:pPr>
        <w:spacing w:after="0" w:line="254" w:lineRule="exact"/>
        <w:rPr>
          <w:rFonts w:ascii="Times New Roman" w:cs="Times New Roman" w:eastAsia="Times New Roman" w:hAnsi="Times New Roman"/>
          <w:sz w:val="20"/>
          <w:szCs w:val="20"/>
          <w:color w:val="auto"/>
        </w:rPr>
      </w:pPr>
    </w:p>
    <w:p>
      <w:pPr>
        <w:ind w:left="1300" w:hanging="324"/>
        <w:spacing w:after="0" w:line="236" w:lineRule="auto"/>
        <w:tabs>
          <w:tab w:leader="none" w:pos="130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Reflect Xperience</w:t>
      </w:r>
      <w:r>
        <w:rPr>
          <w:rFonts w:ascii="Times New Roman" w:cs="Times New Roman" w:eastAsia="Times New Roman" w:hAnsi="Times New Roman"/>
          <w:sz w:val="18"/>
          <w:szCs w:val="18"/>
          <w:color w:val="auto"/>
        </w:rPr>
        <w:t>, a web-based interface that allows customers to give content scheduling access to local users via the web or mobile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devices, while still maintaining centralized programming control;</w:t>
      </w:r>
    </w:p>
    <w:p>
      <w:pPr>
        <w:spacing w:after="0" w:line="220" w:lineRule="exact"/>
        <w:rPr>
          <w:rFonts w:ascii="Times New Roman" w:cs="Times New Roman" w:eastAsia="Times New Roman" w:hAnsi="Times New Roman"/>
          <w:sz w:val="22"/>
          <w:szCs w:val="22"/>
          <w:color w:val="auto"/>
        </w:rPr>
      </w:pPr>
    </w:p>
    <w:p>
      <w:pPr>
        <w:ind w:left="1300" w:hanging="324"/>
        <w:spacing w:after="0" w:line="236" w:lineRule="auto"/>
        <w:tabs>
          <w:tab w:leader="none" w:pos="130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AdLogic</w:t>
      </w:r>
      <w:r>
        <w:rPr>
          <w:rFonts w:ascii="Times New Roman" w:cs="Times New Roman" w:eastAsia="Times New Roman" w:hAnsi="Times New Roman"/>
          <w:sz w:val="18"/>
          <w:szCs w:val="18"/>
          <w:color w:val="auto"/>
        </w:rPr>
        <w:t>, the Company’s ad management platform for digital signage networks, which presently delivers approximately 50 million ads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daily;</w:t>
      </w:r>
    </w:p>
    <w:p>
      <w:pPr>
        <w:spacing w:after="0" w:line="220" w:lineRule="exact"/>
        <w:rPr>
          <w:rFonts w:ascii="Times New Roman" w:cs="Times New Roman" w:eastAsia="Times New Roman" w:hAnsi="Times New Roman"/>
          <w:sz w:val="22"/>
          <w:szCs w:val="22"/>
          <w:color w:val="auto"/>
        </w:rPr>
      </w:pPr>
    </w:p>
    <w:p>
      <w:pPr>
        <w:ind w:left="1300" w:hanging="324"/>
        <w:spacing w:after="0" w:line="236" w:lineRule="auto"/>
        <w:tabs>
          <w:tab w:leader="none" w:pos="130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Clarity</w:t>
      </w:r>
      <w:r>
        <w:rPr>
          <w:rFonts w:ascii="Times New Roman" w:cs="Times New Roman" w:eastAsia="Times New Roman" w:hAnsi="Times New Roman"/>
          <w:sz w:val="18"/>
          <w:szCs w:val="18"/>
          <w:color w:val="auto"/>
        </w:rPr>
        <w:t>, the Company’s digital signage platform for menu board solutions, which has become a market leader for a range of restaurant,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QSR and convenience store applications; and</w:t>
      </w:r>
    </w:p>
    <w:p>
      <w:pPr>
        <w:spacing w:after="0" w:line="220" w:lineRule="exact"/>
        <w:rPr>
          <w:rFonts w:ascii="Times New Roman" w:cs="Times New Roman" w:eastAsia="Times New Roman" w:hAnsi="Times New Roman"/>
          <w:sz w:val="22"/>
          <w:szCs w:val="22"/>
          <w:color w:val="auto"/>
        </w:rPr>
      </w:pPr>
    </w:p>
    <w:p>
      <w:pPr>
        <w:ind w:left="1300" w:hanging="324"/>
        <w:spacing w:after="0" w:line="236" w:lineRule="auto"/>
        <w:tabs>
          <w:tab w:leader="none" w:pos="130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iShowroomProX</w:t>
      </w:r>
      <w:r>
        <w:rPr>
          <w:rFonts w:ascii="Times New Roman" w:cs="Times New Roman" w:eastAsia="Times New Roman" w:hAnsi="Times New Roman"/>
          <w:sz w:val="18"/>
          <w:szCs w:val="18"/>
          <w:color w:val="auto"/>
        </w:rPr>
        <w:t>, an omni-channel digital sales support platform targeted at original equipment manufacturers in the transportation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sector, which integrates with dozens of key data services including dealer inventory at the VIN level.</w:t>
      </w:r>
    </w:p>
    <w:p>
      <w:pPr>
        <w:spacing w:after="0" w:line="19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While hardware sales and support services revenues can fluctuate more significantly year over year based on new, large-scale network deployments, the Company is focusing on maintaining and increasing recurring SaaS revenue as digital signage adoption/utilization expands across the vertical markets we serve.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Expenses</w:t>
      </w:r>
    </w:p>
    <w:p>
      <w:pPr>
        <w:spacing w:after="0" w:line="227"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Our operating expenses are comprised of sales and marketing, and general and administrative expenses. Sales and marketing expenses include salaries and benefits for our sales, business development solution management and marketing personnel, and commissions paid on sales. This category also includes amounts spent on marketing networking events, promotional materials, hardware and software to prospective new customers, including those expenses incurred in trade shows and product demonstrations, and other related expenses. Our general and administrative expenses consist of corporate overhead, including administrative salaries, real property lease payments, salaries, and benefits for our corporate officers and other expenses such as legal and accounting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North Run Securities Purchase Agreement</w:t>
      </w:r>
    </w:p>
    <w:p>
      <w:pPr>
        <w:spacing w:after="0" w:line="227"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 xml:space="preserve">On October 15, 2025, we entered into a Securities Purchase Agreement (the “Securities Purchase Agreement”) with North Run Strategic Opportunities Fund I, LP (the “Lead Investor”) and NR-SOF I (Co-Invest I), LP (together with the Lead Investor, the “Buyers”), each an affiliate of North Run Capital, LP (“North Run”), pursuant to which we agreed to sell in a private placement (the “Offering”), for an aggregate gross purchase price of $30,000, an aggregate of 30,000 shares of a newly established series of preferred stock, par value $0.01 per share, to be designated as Series A Convertible Preferred Stock (the “Preferred Shares”). On November 5, 2025, in anticipation of the closing of the Offering, we filed the Certificate of Designations with the Secretary of State of the State of Minnesota, which established the designations, preferences, powers and rights of the Preferred Shares. The closing of the purchase and sale of the Preferred Shares occurred on November 6, 2025. We used net proceeds from the Offering to pay a portion of the purchase price for our acquisition of the business of Cineplex Digital Media Inc. and its affiliates (the “CDM Acquisition”). See Note 9, </w:t>
      </w:r>
      <w:r>
        <w:rPr>
          <w:rFonts w:ascii="Times New Roman" w:cs="Times New Roman" w:eastAsia="Times New Roman" w:hAnsi="Times New Roman"/>
          <w:sz w:val="18"/>
          <w:szCs w:val="18"/>
          <w:i w:val="1"/>
          <w:iCs w:val="1"/>
          <w:color w:val="auto"/>
        </w:rPr>
        <w:t>Series A Redeemable 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for a description of the terms of the Securities Purchase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CDM Acquisition</w:t>
      </w:r>
    </w:p>
    <w:p>
      <w:pPr>
        <w:spacing w:after="0" w:line="227"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On October 15, 2025, the Company entered into a Share Purchase Agreement (the “Share Purchase Agreement”) with its wholly owned subsidiary, 1001372953 Ontario Inc., an Ontario corporation and Cineplex Entertainment Limited Partnership, a Manitoba limited partnership (“Cineplex”), to acquire DDC Group International, Inc., an Ontario corporation and wholly owned subsidiary of Cineplex (“DDC”). DDC is the parent company of its wholly owned subsidiary, Cineplex Digital Media Inc., an Ontario corporation (“CDMI”), and CDMI’s wholly owned subsidiary, Cineplex Digital Media US Inc., a Delaware corporation (“CDMUS”). In this Report, DDC, CDMI and CDMUS are collectively referred to as “CDM”, and such acquisition is referred to as the “CDM Acquisition”.</w:t>
      </w:r>
    </w:p>
    <w:p>
      <w:pPr>
        <w:spacing w:after="0" w:line="187"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 xml:space="preserve">On November 7, 2025, the parties consummated the transactions contemplated by the Share Purchase Agreement. Upon the terms and conditions of the Share Purchase Agreement, at the closing of the CDM Acquisition, the Company (indirectly through 1001372953 Ontario Inc.) acquired ownership of all of the issued and outstanding capital shares of DDC for a total purchase price of approximately CAD $70,000, subject to customary purchase price adjustments. The final purchase price after adjustments was approximately CAD $60,263 (or approximately USD $42,761). See Note 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for a description of the terms of the Share Purchase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Credit Agreement</w:t>
      </w:r>
    </w:p>
    <w:p>
      <w:pPr>
        <w:spacing w:after="0" w:line="227"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On November 6, 2025 (the “Refinancing Date”), the Company and certain of its subsidiaries entered into the Amended and Restated Credit Agreement (the “Amended Credit Agreement”), with FMB acting as agent (“Agent”), and a new syndicate of lenders (“Lenders”) which included FMB and two additional creditors, Northwest Bank (“NWB”) and Axos Bank (“Axos”; together with NWB, the “New Lenders”). In the ordinary course of its business, Agent has performed and may continue to perform commercial banking and financial services for the Company for which it has received and will continue to receive customary fees and expenses. The Amended Credit Agreement provides the Company, CDMI and CDMUS (collectively, “Borrowers”) with two debt facilities, including a three-year term loan of $36,000 (the “Term Loan”) and a three-year revolving debt arrangement of up to $22,500 (the “New Revolving Credit Facility”). The Term Loan and New Revolving Credit Facility in the Amended Credit Agreement both have maturity dates of November 6, 2028 (the “Maturity Date”), and are secured by all the assets of the Borrowers.</w:t>
      </w:r>
    </w:p>
    <w:p>
      <w:pPr>
        <w:spacing w:after="0" w:line="185"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Borrowers used a portion of the proceeds from the Term Loan to finance a portion of the purchase price for the CDM Acquisition (as defined below) and may use additional proceeds of the Term Loan and New Revolving Credit Facility to refinance certain indebtedness of the Borrowers, for working capital and for other general corporate purposes.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the Consolidated Financial Statements for a description of the terms of the Amended Credit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 All dollar amounts reported in Results of Operations are in thousands, except per-share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2025 Compared to Year Ended December 31, 2024</w:t>
      </w:r>
    </w:p>
    <w:p>
      <w:pPr>
        <w:spacing w:after="0" w:line="227"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The tables presented below compare our results of operations from one period to another and present the results for each period and the change in those results from one period to another in both dollars and percentage change.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6"/>
          </w:tcPr>
          <w:p>
            <w:pPr>
              <w:jc w:val="right"/>
              <w:ind w:right="462"/>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6"/>
          </w:tcPr>
          <w:p>
            <w:pPr>
              <w:jc w:val="right"/>
              <w:ind w:right="76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w w:val="98"/>
              </w:rPr>
              <w:t>Difference $</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Difference %</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Hardware</w:t>
            </w:r>
          </w:p>
        </w:tc>
        <w:tc>
          <w:tcPr>
            <w:tcW w:w="9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21,232</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18,259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2,973</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Services and other</w:t>
            </w: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36,000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32,595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3,405</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57,232</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50,854</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200" w:type="dxa"/>
            <w:vAlign w:val="bottom"/>
            <w:vMerge w:val="continue"/>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Hardware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15,292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13,521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1,771</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Services and other</w:t>
            </w: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16,226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13,322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2,904</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7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2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5,803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6,015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(212)</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23,065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17,058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6,007</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impairment of software asset</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5,712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5,712</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11,507</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(9,804)</w:t>
            </w:r>
          </w:p>
        </w:tc>
        <w:tc>
          <w:tcPr>
            <w:tcW w:w="20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(1045.2%)</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expenses (income):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2,479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1,775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704</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change in fair value of contingent consideration</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(1,608)</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(4,775)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(4,775)</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(1,059)</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on debt modification</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24</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expenses (income), net</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618</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Total other (income) expenses, net</w:t>
            </w: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40" w:type="dxa"/>
            <w:vAlign w:val="bottom"/>
            <w:tcBorders>
              <w:top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200" w:type="dxa"/>
            <w:vAlign w:val="bottom"/>
            <w:tcBorders>
              <w:top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20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 expense</w:t>
            </w: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(1,060)</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760" w:type="dxa"/>
            <w:vAlign w:val="bottom"/>
          </w:tcPr>
          <w:p>
            <w:pPr>
              <w:spacing w:after="0"/>
              <w:rPr>
                <w:sz w:val="19"/>
                <w:szCs w:val="19"/>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Sales increased by $6,378 or 12.5%, to $57,232 for the year ended December 31, 2025 compared to $50,854 for the year ended December 31, 2024. The increase was driven by the CDM Acquisition, which contributed $13,613 in total revenue from the November 7, 2025 acquisition date through December 31, 2025, partially offset by a decline in legacy CRI revenue on a standalone basis.</w:t>
      </w:r>
    </w:p>
    <w:p>
      <w:pPr>
        <w:spacing w:after="0" w:line="175"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Hardware revenues were $21,232 for the year ended December 31, 2025, an increase of $2,973, or 16.3%, from $18,259 for the year ended December 31, 2024. The increase in hardware revenues was primarily driven by purchases from customers in our QSR and sports and entertainment verticals along with incremental hardware attributable to the CDM Acquisition. Services and other revenues were $36,000, an increase of $3,405, or 10.4%, from $32,595 in the prior year. Legacy CRI experienced a $9,000 decline in service revenues primarily attributable to fewer deployments during the period, a decline in media revenue as the Company exited the media business effective October 1, 2024, and lower SaaS subscription revenues. The decrease was offset by $12,577 of services and other revenues generated by CDM in the post-acquisition period.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7"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Gross profit increased $1,703, or 7%, to $25,714 for the year ended December 31, 2025 from $24,011 for the year ended December 31, 2024. Gross margin decreased to 44.9% from 47.2% The decline in gross margin percentage was primarily driven by the inclusion of CDM, which carries a different revenue and cost mix, as well as changes in product mix within legacy CRI operations, including higher-volume but lower-margin hardware deployments during the year.</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7"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Sales and marketing expenses generally include the salaries, taxes, and benefits of our sales and marketing personnel, as well as trade show activities, travel, and other related sales and marketing costs. Sales and marketing expenses decreased by $212, or 3.5%, to $5,803 for the year ended December 31, 2025 compared to $6,015 for the year ended December 31, 2024. Legacy CRI sales and marketing expenses decreased approximately $780 primarily as a result of a decrease in fixed and variable salaries of our marketing personnel of $450 and decreased participation in tradeshows of $105. The decrease in legacy CRI results was offset by $582 of CDM expenses for the post-acquisition period.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7" w:lineRule="exact"/>
        <w:rPr>
          <w:sz w:val="20"/>
          <w:szCs w:val="20"/>
          <w:color w:val="auto"/>
        </w:rPr>
      </w:pPr>
    </w:p>
    <w:p>
      <w:pPr>
        <w:jc w:val="both"/>
        <w:ind w:firstLine="646"/>
        <w:spacing w:after="0" w:line="252" w:lineRule="auto"/>
        <w:rPr>
          <w:sz w:val="20"/>
          <w:szCs w:val="20"/>
          <w:color w:val="auto"/>
        </w:rPr>
      </w:pPr>
      <w:r>
        <w:rPr>
          <w:rFonts w:ascii="Times New Roman" w:cs="Times New Roman" w:eastAsia="Times New Roman" w:hAnsi="Times New Roman"/>
          <w:sz w:val="18"/>
          <w:szCs w:val="18"/>
          <w:color w:val="auto"/>
        </w:rPr>
        <w:t>General and administrative expenses increased $6,007, or 35.2%, to $23,065 for the year ended December 31, 2025 compared to $17,058 for the year ended December 31, 2024. The increase was primarily attributable to (1) approximately $2,182 in stock-based compensation expense recognized in the current year in connection with equity awards granted in 2025, compared to $13 in the prior year, as all previously outstanding time-vested and performance awards were fully expensed as of December 31, 2024, (2) incremental general and administrative costs associated with CDM from the November 7, 2025 acquisition date of approximately $3,992 (3) Deal and other expenses related to the acquisition of CDM totaling $1,954, and (4) decrease in SG&amp;A (excluding the effects of stock compensation and deal costs) of approximately $1,251 related to cost containment efforts related to legacy CRI. These included a $1,367 reduction in fixed and variable salaries, benefits, and payroll taxes for general and administrative personnel, as well as broad-based savings achieved across multiple spending categories. The Company implemented a number of low-cost restructuring measures and targeted vendor spend reductions, none of which were individually material, but which collectively contributed to a more efficient back-office cost structure. These actions were further supported by the retirement of legacy software platforms and the transition to a unified ERP system, which has enabled modest improvements in workflow efficiency and systems integration.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Loss on Impairment of Software Asset</w:t>
      </w:r>
    </w:p>
    <w:p>
      <w:pPr>
        <w:spacing w:after="0" w:line="227" w:lineRule="exact"/>
        <w:rPr>
          <w:sz w:val="20"/>
          <w:szCs w:val="20"/>
          <w:color w:val="auto"/>
        </w:rPr>
      </w:pPr>
    </w:p>
    <w:p>
      <w:pPr>
        <w:jc w:val="both"/>
        <w:ind w:firstLine="646"/>
        <w:spacing w:after="0" w:line="272" w:lineRule="auto"/>
        <w:rPr>
          <w:sz w:val="20"/>
          <w:szCs w:val="20"/>
          <w:color w:val="auto"/>
        </w:rPr>
      </w:pPr>
      <w:r>
        <w:rPr>
          <w:rFonts w:ascii="Times New Roman" w:cs="Times New Roman" w:eastAsia="Times New Roman" w:hAnsi="Times New Roman"/>
          <w:sz w:val="17"/>
          <w:szCs w:val="17"/>
          <w:color w:val="auto"/>
        </w:rPr>
        <w:t>During the year ended December 31, 2025, the Company recognized a $5,712 asset impairment charge related to a proprietary software platform capitalized as an intangible asset under ASC 350-40. The impairment was recorded after management determined that expected future cash flows associated with the platform were not sufficient to recover its carrying amount, primarily due to uncertainty regarding the renewal of an existing software license agreement. The uncertainty arose in September 2025 when the customer communicated that it was unable to renew their license agreement due to budget constraints, representing a triggering event under ASC 350-40. The impairment loss was measured as the excess of the asset’s carrying amount over its estimated fair value, which was determined using an income approach based on discounted cash flows and Level 3 inputs under ASC 820. The impairment did not impact cash flows or liquidity, but it did result in a significant increase in total operating expenses for the year ended December 31, 2025.</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7"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 xml:space="preserve">Interest expense, including amortization of debt discount, was $2,479 for the year ended December 31, 2025 compared to $1,775 for the same period in 2024, an increase of $704, or 39.7%. The modest year-over-year increase reflects higher outstanding debt balances following the November 2025 refinancing in connection with the CDM Acquisition, partially offset by lower amortization of debt discount ($27 in 2025 compared to $569 in 2024 as the prior debt discount was fully written off upon extinguishment of the Prior Credit Agreement in May 2024). See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the Consolidated Financial Statements for a discussion of the Company’s debt and related interest expense obligations.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Loss on Change in Fair Value of Contingent Consideration</w:t>
      </w:r>
    </w:p>
    <w:p>
      <w:pPr>
        <w:spacing w:after="0" w:line="22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Company had a contingent consideration arrangement related to its acquisition of Reflect, which was recorded at fair value and remeasured at each reporting period using a Monte Carlo simulation model. During the year ended December 31, 2024, the Company recognized a $1,608 loss on the change in fair value of this contingent consideration. The contingent consideration was settled with a gain in 2025.</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Gain on Settlement of Contingent Consideration</w:t>
      </w:r>
    </w:p>
    <w:p>
      <w:pPr>
        <w:spacing w:after="0" w:line="22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 xml:space="preserve">During the year ended December 31, 2025, the Company recognized a gain of $4,775 on settlement of contingent consideration, representing the excess of the carrying value of the contingent consideration liability over the fair value of the cash and equity consideration transferred in settlement. See Note 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to the Consolidated Financial Statements for further detail.</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Loss on Debt Modification and Extinguishment</w:t>
      </w:r>
    </w:p>
    <w:p>
      <w:pPr>
        <w:spacing w:after="0" w:line="227"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a $24 loss on the modification of its revolving credit facility in connection with the Amended Credit Agreement in November 2025. During the year ended December 31, 2024, the Company recognized a $1,059 loss on extinguishment of debt equal to the remaining unamortized portion of debt discount associated with the prior term loans when the Company entered into the Prior Credit Agreement on May 23,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7"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Other expense, net was $516 for the year ended December 31, 2025 compared to other income, net of $102 for the year ended December 31, 2024, a change of $618. Other expenses consist primarily of $293 in legal expenses incurred in connection with the contingent consideration settlement and a patent infringement claim and $283 in severance-related expenses in connection with the termination of certain employees as part of a cost-reduction initiative.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Operating Results on a Non-GAAP Basis</w:t>
      </w:r>
    </w:p>
    <w:p>
      <w:pPr>
        <w:spacing w:after="0" w:line="227"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The following non-GAAP data, which adjusts for the categories of expenses described below, is a non-GAAP financial measure. Our management believes that this non-GAAP financial measure is useful information for investors, shareholders and other stakeholders of our Company in gauging our results of operations on an ongoing basis. We believe that earnings before interest, depreciation, and amortization (“EBITDA”) is a performance measure and not a liquidity measure, and therefore a reconciliation between net (loss) income, a GAAP financial measure, and EBITDA and Adjusted EBITDA has been provided. EBITDA should not be considered as an alternative to net (loss) income as an indicator of performance or as an alternative to cash flows from operating activities as an indicator of cash flows, in each case as determined in accordance with GAAP, or as a measure of liquidity. In addition, EBITDA does not take into account changes in certain assets and liabilities as well as interest and income taxes that can affect cash flows. We do not intend the presentation of these non-GAAP measures to be considered in isolation or as a substitute for results prepared in accordance with GAAP. These non-GAAP measures should be read only in conjunction with our Consolidated Financial Statements prepared in accordance with GAAP that are included elsewhere in this Report.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right"/>
              <w:ind w:right="180"/>
              <w:spacing w:after="0" w:line="187"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6"/>
                <w:szCs w:val="16"/>
                <w:color w:val="auto"/>
              </w:rPr>
            </w:pPr>
          </w:p>
        </w:tc>
        <w:tc>
          <w:tcPr>
            <w:tcW w:w="1240" w:type="dxa"/>
            <w:vAlign w:val="bottom"/>
            <w:gridSpan w:val="3"/>
          </w:tcPr>
          <w:p>
            <w:pPr>
              <w:spacing w:after="0" w:line="187"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80"/>
              <w:spacing w:after="0" w:line="187"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90"/>
              <w:spacing w:after="0" w:line="187"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income</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(8,276)</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(1,965)</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(7,862)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4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3,187</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(6,189)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Deal &amp; transaction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impairment of software asset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modification of revolver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14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5,231</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right"/>
              <w:ind w:right="180"/>
              <w:spacing w:after="0" w:line="187"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6"/>
                <w:szCs w:val="16"/>
                <w:color w:val="auto"/>
              </w:rPr>
            </w:pPr>
          </w:p>
        </w:tc>
        <w:tc>
          <w:tcPr>
            <w:tcW w:w="1240" w:type="dxa"/>
            <w:vAlign w:val="bottom"/>
            <w:gridSpan w:val="3"/>
          </w:tcPr>
          <w:p>
            <w:pPr>
              <w:spacing w:after="0" w:line="187"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80"/>
              <w:spacing w:after="0" w:line="187"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90"/>
              <w:spacing w:after="0" w:line="187"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income</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(3,508)</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(2,838)</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(615)</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interest,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employee share-based awards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(1,481)</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(gain) on fair value of contingent consideration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 Director grants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5,029</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467</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2,271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1,525</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jc w:val="both"/>
        <w:ind w:firstLine="646"/>
        <w:spacing w:after="0" w:line="282" w:lineRule="auto"/>
        <w:rPr>
          <w:sz w:val="20"/>
          <w:szCs w:val="20"/>
          <w:color w:val="auto"/>
        </w:rPr>
      </w:pPr>
      <w:r>
        <w:rPr>
          <w:rFonts w:ascii="Times New Roman" w:cs="Times New Roman" w:eastAsia="Times New Roman" w:hAnsi="Times New Roman"/>
          <w:sz w:val="18"/>
          <w:szCs w:val="18"/>
          <w:color w:val="auto"/>
        </w:rPr>
        <w:t xml:space="preserve">See Note 1, </w:t>
      </w:r>
      <w:r>
        <w:rPr>
          <w:rFonts w:ascii="Times New Roman" w:cs="Times New Roman" w:eastAsia="Times New Roman" w:hAnsi="Times New Roman"/>
          <w:sz w:val="18"/>
          <w:szCs w:val="18"/>
          <w:i w:val="1"/>
          <w:iCs w:val="1"/>
          <w:color w:val="auto"/>
        </w:rPr>
        <w:t>Nature of Organization and Operations,</w:t>
      </w:r>
      <w:r>
        <w:rPr>
          <w:rFonts w:ascii="Times New Roman" w:cs="Times New Roman" w:eastAsia="Times New Roman" w:hAnsi="Times New Roman"/>
          <w:sz w:val="18"/>
          <w:szCs w:val="18"/>
          <w:color w:val="auto"/>
        </w:rPr>
        <w:t xml:space="preserve"> to the accompanying Consolidated Financial Statements for a detailed discussion of liquidity and financial resources.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7"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Net cash used in operating activities was $7,750 for the year ended December 31, 2025 compared to net cash provided by operating activities of $3,381 for the year ended December 31, 2024. Cash used in 2025 was primarily attributable to a net loss of $8,276, adjusted for net non-cash charges of $12,021, offset by a $11,495 net decrease in cash from changes in operating assets and liabilities. Cash provided in 2024 was primarily attributable to a net loss of $3,508, adjusted for net non-cash charges of $7,675, offset by a $786 net decrease in cash from changes in operating assets and liabilities.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7"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was $40,477 for the year ended December 31, 2025 compared to $2,801 for the year ended December 31, 2024. The increase was primarily attributable to $37,983 in net cash paid for the CDM Acquisition on November 7, 2025 (net of cash acquired). Capitalization of internally developed software costs was $2,188 for the year ended December 31, 2025 compared to $2,790 for the year ended December 31, 2024, with the decrease reflecting the completion of the Company's automotive digital signage platform during the second quarter of 2024. Purchases of property and equipment were $306 for the year ended December 31, 2025 compared to $11 for the year ended December 31, 2024. The Company did not have any material commitments for capital expenditures as of December 31, 2025.</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7"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Net cash provided by financing activities was $48,739 for the year ended December 31, 2025 compared to net cash used of $2,453 for the year ended December 31, 2024. Cash provided in 2025 was primarily driven by capital raised in connection with the CDM Acquisition, of which $30,000 represented gross proceeds from the sale of Series A Redeemable Convertible Preferred Stock (net of $2,544 in issuance costs) and $36,000 represented proceeds from the Term Loan under the Amended Credit Agreement. These inflows were partially offset by net repayments under the revolving credit facility of $8,105, a $3,000 cash payment in connection with the settlement of the contingent consideration liability, $2,272 in repayments of finance lease obligations, $850 in deferred financing costs, and $490 in scheduled term loan repayments. Cash used in 2024 was primarily attributable to $15,147 in repayments of term debt, partially offset by $13,044 in net borrowings under the revolving credit facility. See Note 11, Debt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the Consolidated Financial Statements for further discussion.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During the year ended December 31, 2025, we did not engage in any off-balance sheet arrangements set forth in Item 303(a) (4) of Regulation S-K.</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7"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As of December 31, 2025, we had operating and finance lease obligations of approximately $23,912 payable over the next five years. These obligations relate primarily to corporate office space, warehousing and light-assembly facilities used to stage and deploy digital signage hardware, and leased equipment supporting our operations. Our contractual lease commitments increased materially during 2025 as a result of the CDM Acquisition on November 7, 2025, which added leases for the Waterloo, Ontario corporate office (operating lease) and two finance leases covering facilities and equipment with Cadillac Fairview and Cominar.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7"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are in conformity with U.S. GAAP. These accounting principles require us to make estimates and judgments that can affect the reported amounts of assets and liabilities as of the date of the financial statements, as well as the reported amounts of revenue and expense during the periods presented. We believe that the estimates and judgments upon which we rely are reasonable based upon information available to us at the time that we make these estimates and judgments. To the extent that there are material differences between these estimates and actual results, our financial results will be affected. The accounting policies that reflect our more significant estimates and judgments and which we believe are the most critical to aid in fully understanding and evaluating our reported financial results are described below.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83"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Management has identified certain critical accounting estimates which are outlined below. In addition, there are other items within our financial statements that require estimation but are not deemed critical, as defined above. Changes in estimates used in these and other items could have a material impact on our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7"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 xml:space="preserve">On November 7, 2025, the Company completed the CDM Acquisition and accounted for the transaction as a business combination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accounting for a business combination requires the Company to make significant estimates and assumptions to determine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values of assets acquired and liabilities assumed, especially with respect to intangible assets. These estimates are based on information available at the acquisition date and are inherently uncertain. The Company engaged a third-party valuation specialist to assist in the determination of fair values.</w:t>
      </w:r>
    </w:p>
    <w:p>
      <w:pPr>
        <w:spacing w:after="0" w:line="183"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The key assumptions underlying the preliminary purchase price allocation include discount rates, projected revenue growth rates, customer attrition rates, royalty rates, and the remaining useful lives of identified intangible assets. The valuation of customer relationships utilized the multi-period excess earnings method, developed technology utilized the relief-from-royalty method, and non-compete agreements utilized the with-and-without method. Changes in the assumptions used to determine fair value could result in materially different asset and liability values, which would affect the amount of goodwill recognized and the amortization of intangible assets in future periods.</w:t>
      </w:r>
    </w:p>
    <w:p>
      <w:pPr>
        <w:spacing w:after="0" w:line="183"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 xml:space="preserve">The purchase price allocation for the CDM Acquisition remains preliminary as of December 31, 2025 and is subject to adjustment during the measurement period, which extends through November 7, 2026. Preliminary fair values may be revised as additional information becomes available, including but not limited to the finalization of the valuation of identified intangible assets, the assessment of deferred tax assets and liabilities, and the resolution of post-closing working capital adjustments. See Note 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Goodwill is evaluated for impairment annually as of September 30 and whenever events or circumstances make it more likely than not that impairment may have occurred. We have no other indefinite-lived intangible assets. We have one reporting unit, and therefore the entire goodwill is allocated to that reporting unit.</w:t>
      </w:r>
    </w:p>
    <w:p>
      <w:pPr>
        <w:spacing w:after="0" w:line="175"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Using the quantitative approach, fair value of the reporting unit is estimated using both (1) a market approach, leveraging recent industry merger and acquisition activity as well as comparable public company information, and (2) a discounted cash flow analyses consisting of various assumptions, including expectations of future cash flows based on projections or forecasts derived from analysis of business prospects and economic or market trends that may occur. We base our fair value estimates on assumptions we believe to be reasonable but that are unpredictable and inherently uncertain. If the carrying amount exceeds the fair value, further analysis is performed to measure the impairment loss.</w:t>
      </w:r>
    </w:p>
    <w:p>
      <w:pPr>
        <w:spacing w:after="0" w:line="183"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Using the qualitative approach, the Company reviews macroeconomic conditions, industry and market conditions and entity specific factors, including strategies and financial performance for potential indicators of impairment.</w:t>
      </w:r>
    </w:p>
    <w:p>
      <w:pPr>
        <w:spacing w:after="0" w:line="163"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Our market capitalization could fluctuate from time to time. Such fluctuation may be an indicator of possible impairment of goodwill if our market capitalization falls below its book value. If this situation occurs, we perform the required detailed analysis to determine if there is impairment.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was recorded as a result of our annual assessment completed as of September 30, 2025.</w:t>
      </w:r>
    </w:p>
    <w:p>
      <w:pPr>
        <w:spacing w:after="0" w:line="223"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valuation of goodwill is subject to a high degree of judgment, uncertainty and complexity. We believe the future estimates and assumptions used to test for impairment losses on goodwill are reasonable. However, if actual results are not consistent with our estimates or assumptions, we may be exposed to an impairment charge that could be material.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Pronouncements</w:t>
      </w:r>
    </w:p>
    <w:p>
      <w:pPr>
        <w:spacing w:after="0" w:line="225" w:lineRule="exact"/>
        <w:rPr>
          <w:sz w:val="20"/>
          <w:szCs w:val="20"/>
          <w:color w:val="auto"/>
        </w:rPr>
      </w:pPr>
    </w:p>
    <w:p>
      <w:pPr>
        <w:jc w:val="both"/>
        <w:ind w:firstLine="646"/>
        <w:spacing w:after="0" w:line="266"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our Consolidated Financial Statements included in Part II, ITEM 8 of this Report, for a full description of recent accounting pronouncements, including the expected dates of adoption and estimated effects on results of operations and financial condition, which is incorporated herein by reference.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Index to Consolidated Financial Statements on </w:t>
      </w:r>
      <w:r>
        <w:rPr>
          <w:rFonts w:ascii="Times New Roman" w:cs="Times New Roman" w:eastAsia="Times New Roman" w:hAnsi="Times New Roman"/>
          <w:sz w:val="18"/>
          <w:szCs w:val="18"/>
          <w:u w:val="single" w:color="auto"/>
          <w:color w:val="0000EE"/>
        </w:rPr>
        <w:t>Page F-1</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7"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Chief Executive Officer (principal executive officer) and Chief Financial Officer (principal financial officer), of the effectiveness of our disclosure controls and procedures, as defined in Rules 13a-15(e) and 15d-15(e) under the Exchange Act, as of the end of the period covered by this Report. Based on that evaluation, our management, including our Chief Executive Officer and Chief Financial Officer, concluded that our disclosure controls and procedures were effective as of December 31, 2025, and designed to ensure that information required to be disclosed by us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2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w:t>
      </w:r>
    </w:p>
    <w:p>
      <w:pPr>
        <w:spacing w:after="0" w:line="175" w:lineRule="exact"/>
        <w:rPr>
          <w:sz w:val="20"/>
          <w:szCs w:val="20"/>
          <w:color w:val="auto"/>
        </w:rPr>
      </w:pPr>
    </w:p>
    <w:p>
      <w:pPr>
        <w:jc w:val="both"/>
        <w:ind w:right="20" w:firstLine="646"/>
        <w:spacing w:after="0" w:line="28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of achieving their control objectives.</w:t>
      </w:r>
    </w:p>
    <w:p>
      <w:pPr>
        <w:spacing w:after="0" w:line="163"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we evaluated the effectiveness of our internal control over financial reporting as of December 31, 2025 based on the framework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 Based on our assessment and those criteria,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believes that we maintained effective internal control over financial reporting as of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Exclusion of Acquired Business</w:t>
      </w:r>
    </w:p>
    <w:p>
      <w:pPr>
        <w:spacing w:after="0" w:line="227"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As permitted by the guidance issued by the Securities and Exchange Commission, management has excluded from its assessment of the effectiveness of internal control over financial reporting as of December 31, 2025, the internal control over financial reporting of CDM, which was acquired on November 7, 2025. CDM represented approximately 60% of total assets and 22% of total revenues included in the Company’s consolidated financial statements as of and for the year ended December 31, 2025. We are in the process of integrating CDM into our overall internal controls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7"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December 31, 2025, that have materially affected, or are reasonably likely to materially affect, our internal control over financial reporting, other than the ongoing integration of CDM.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5"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During the quarter ended December 31, 2025, none of the officers (as defined in Exchange Act Rule 16a-1(f)) or directors of the Company adopted or terminated a “Rule 10b5-1 trading arrangement,” (as defined in Item 408(a) of Regulation S-K) intended to satisfy the affirmative defense conditions of Exchange Act Rule 10b5-1(c) or any non-Rule 10b5-1 trading arrangement.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7" w:lineRule="exact"/>
        <w:rPr>
          <w:sz w:val="20"/>
          <w:szCs w:val="20"/>
          <w:color w:val="auto"/>
        </w:rPr>
      </w:pPr>
    </w:p>
    <w:p>
      <w:pPr>
        <w:ind w:right="440" w:firstLine="646"/>
        <w:spacing w:after="0" w:line="280" w:lineRule="auto"/>
        <w:rPr>
          <w:sz w:val="20"/>
          <w:szCs w:val="20"/>
          <w:color w:val="auto"/>
        </w:rPr>
      </w:pPr>
      <w:r>
        <w:rPr>
          <w:rFonts w:ascii="Times New Roman" w:cs="Times New Roman" w:eastAsia="Times New Roman" w:hAnsi="Times New Roman"/>
          <w:sz w:val="18"/>
          <w:szCs w:val="18"/>
          <w:color w:val="auto"/>
        </w:rPr>
        <w:t>Our Board of Directors consists of Richard Mills (Chairman and CEO), David Bell, Thomas B. Ellis, Donald A. Harris, Daniel McGrath, and Stephen Nesbit.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current directors and executive officers.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Age</w:t>
            </w:r>
          </w:p>
        </w:tc>
        <w:tc>
          <w:tcPr>
            <w:tcW w:w="10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09"/>
        </w:trPr>
        <w:tc>
          <w:tcPr>
            <w:tcW w:w="2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Bell</w:t>
            </w:r>
          </w:p>
        </w:tc>
        <w:tc>
          <w:tcPr>
            <w:tcW w:w="1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81</w:t>
            </w:r>
          </w:p>
        </w:tc>
        <w:tc>
          <w:tcPr>
            <w:tcW w:w="100" w:type="dxa"/>
            <w:vAlign w:val="bottom"/>
            <w:shd w:val="clear" w:color="auto" w:fill="CCEEFF"/>
          </w:tcPr>
          <w:p>
            <w:pPr>
              <w:spacing w:after="0"/>
              <w:rPr>
                <w:sz w:val="18"/>
                <w:szCs w:val="18"/>
                <w:color w:val="auto"/>
              </w:rPr>
            </w:pPr>
          </w:p>
        </w:tc>
        <w:tc>
          <w:tcPr>
            <w:tcW w:w="7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5"/>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Michael Bosco</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52</w:t>
            </w:r>
          </w:p>
        </w:tc>
        <w:tc>
          <w:tcPr>
            <w:tcW w:w="10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5"/>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B. Ellis</w:t>
            </w:r>
          </w:p>
        </w:tc>
        <w:tc>
          <w:tcPr>
            <w:tcW w:w="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56</w:t>
            </w:r>
          </w:p>
        </w:tc>
        <w:tc>
          <w:tcPr>
            <w:tcW w:w="10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5"/>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Donald A. Harris</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72</w:t>
            </w:r>
          </w:p>
        </w:tc>
        <w:tc>
          <w:tcPr>
            <w:tcW w:w="10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5"/>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McGrath</w:t>
            </w:r>
          </w:p>
        </w:tc>
        <w:tc>
          <w:tcPr>
            <w:tcW w:w="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63</w:t>
            </w:r>
          </w:p>
        </w:tc>
        <w:tc>
          <w:tcPr>
            <w:tcW w:w="10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5"/>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Richard Mills</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70</w:t>
            </w:r>
          </w:p>
        </w:tc>
        <w:tc>
          <w:tcPr>
            <w:tcW w:w="10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 (Chairman)</w:t>
            </w:r>
          </w:p>
        </w:tc>
      </w:tr>
      <w:tr>
        <w:trPr>
          <w:trHeight w:val="215"/>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Nesbit</w:t>
            </w:r>
          </w:p>
        </w:tc>
        <w:tc>
          <w:tcPr>
            <w:tcW w:w="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74</w:t>
            </w:r>
          </w:p>
        </w:tc>
        <w:tc>
          <w:tcPr>
            <w:tcW w:w="10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Tamra Koshewa</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58</w:t>
            </w:r>
          </w:p>
        </w:tc>
        <w:tc>
          <w:tcPr>
            <w:tcW w:w="10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biographies of the above-identified individuals are set forth below:</w:t>
      </w:r>
    </w:p>
    <w:p>
      <w:pPr>
        <w:spacing w:after="0" w:line="219"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Bell </w:t>
      </w:r>
      <w:r>
        <w:rPr>
          <w:rFonts w:ascii="Times New Roman" w:cs="Times New Roman" w:eastAsia="Times New Roman" w:hAnsi="Times New Roman"/>
          <w:sz w:val="18"/>
          <w:szCs w:val="18"/>
          <w:color w:val="auto"/>
        </w:rPr>
        <w:t>joined our Board of Directors in August 2014 in connection with our acquisition of Creative Realities, LLC. Mr. Bell brings over 40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of advertising and marketing industry experience to the Board, including serving as CEO of three of the largest companies in the industry - Bozell Worldwide, True North Communications and The Interpublic Group of Companies, Inc. Mr. Bell has previously led Slipstream Communications, LLC which is an international company providing strategic branding, digital marketing, and public relations services and served as a Senior Advisor to Google Inc. from 2006 to 2009. Mr. Bell previously served as an Operating Advisor at Pegasus Capital Advisors. He was a Senior Advisor to AOL from 2008 to 2016 and has also served on the boards of multiple publicly traded companies, including Lighting Science Group Corporation and Point Blank Solutions, Inc., and Primedia, Inc., and served as President and CEO of The Interpublic Group of Companies Inc. from 2003 to 2005. Mr. Bell served as an independent director on the Board of Directors of Time, Inc. from June 2014 to January 2018.</w:t>
      </w:r>
    </w:p>
    <w:p>
      <w:pPr>
        <w:spacing w:after="0" w:line="185" w:lineRule="exact"/>
        <w:rPr>
          <w:sz w:val="20"/>
          <w:szCs w:val="20"/>
          <w:color w:val="auto"/>
        </w:rPr>
      </w:pPr>
    </w:p>
    <w:p>
      <w:pPr>
        <w:jc w:val="both"/>
        <w:ind w:firstLine="646"/>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P. Bosco </w:t>
      </w:r>
      <w:r>
        <w:rPr>
          <w:rFonts w:ascii="Times New Roman" w:cs="Times New Roman" w:eastAsia="Times New Roman" w:hAnsi="Times New Roman"/>
          <w:sz w:val="18"/>
          <w:szCs w:val="18"/>
          <w:color w:val="auto"/>
        </w:rPr>
        <w:t>was appointed to our Board of Directors on December 30, 2025. Mr. Bosco serves as a Partner at North Run Capital, LP, a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investment firm, a position he has held since 2005. Previously, Mr. Bosco served as Vice President of Resurgence Asset Management from 2002 until 2004, Senior Associate at Hampshire Equity Partners from 1997 until 2000, and as Corporate Finance Analyst at Alex. Brown &amp; Sons, Inc. from 1995 until 1997. Mr. Bosco received a B.S. degree from Boston College and an M.B.A. from The Wharton School, University of Pennsylvania.</w:t>
      </w:r>
    </w:p>
    <w:p>
      <w:pPr>
        <w:spacing w:after="0" w:line="176" w:lineRule="exact"/>
        <w:rPr>
          <w:sz w:val="20"/>
          <w:szCs w:val="20"/>
          <w:color w:val="auto"/>
        </w:rPr>
      </w:pPr>
    </w:p>
    <w:p>
      <w:pPr>
        <w:jc w:val="both"/>
        <w:ind w:firstLine="64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B. Ellis </w:t>
      </w:r>
      <w:r>
        <w:rPr>
          <w:rFonts w:ascii="Times New Roman" w:cs="Times New Roman" w:eastAsia="Times New Roman" w:hAnsi="Times New Roman"/>
          <w:sz w:val="18"/>
          <w:szCs w:val="18"/>
          <w:color w:val="auto"/>
        </w:rPr>
        <w:t>was appointed to our Board of Directors on November 6, 2025. Mr. Ellis has served as a Co-Managing Member at North Run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LP, a public security investment firm, since December 2002. Prior to co-founding North Run in 2002, Mr. Ellis, was a Principal at Berkshire Partners, LLC, a private equity firm, an Analyst at MHR Fund Management, a hedge fund and distressed debt fund, and an Associate in the Investment Banking Division of Goldman, Sachs &amp; Co. Mr. Ellis received an A.B. degree from Princeton University and a J.D. degree from Harvard Law School. Mr. Ellis has served on the board of directors of LENSAR, Inc. (Nasdaq: LNSR) since May 2023, on the board of directors of Guerilla RF, Inc. (OTCQX:GUER) since August 2024, and on the board of directors of LightPath Technologies, Inc. (Nasdaq: LPTH) since February 2025.</w:t>
      </w:r>
    </w:p>
    <w:p>
      <w:pPr>
        <w:spacing w:after="0" w:line="182" w:lineRule="exact"/>
        <w:rPr>
          <w:sz w:val="20"/>
          <w:szCs w:val="20"/>
          <w:color w:val="auto"/>
        </w:rPr>
      </w:pPr>
    </w:p>
    <w:p>
      <w:pPr>
        <w:jc w:val="both"/>
        <w:ind w:firstLine="64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Donald A. Harris </w:t>
      </w:r>
      <w:r>
        <w:rPr>
          <w:rFonts w:ascii="Times New Roman" w:cs="Times New Roman" w:eastAsia="Times New Roman" w:hAnsi="Times New Roman"/>
          <w:sz w:val="18"/>
          <w:szCs w:val="18"/>
          <w:color w:val="auto"/>
        </w:rPr>
        <w:t>was appointed to our Board of Directors in August 2014 in connection with our acquisition of Broadcast International, Inc.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been President of 1162 Management, and the General Partner of 5 Star Partnership, a private equity firm, since June 2006. Mr. Harris has been President and Chief Executive Officer of UbiquiTel Inc., a telecommunications company organized by Mr. Harris and other investors, since its inception in September 1999 and also its Chairman since May 2000. Mr. Harris served as the President of Comcast Cellular Communications Inc. from March 1992 to March 1997. Mr. Harris received a Bachelor of Science degree from the United States Military Academy and an MBA from Columbia University. Mr. Harris’s experience in the telecommunications industry and his association with private equity funding is valuable to the Company.</w:t>
      </w:r>
    </w:p>
    <w:p>
      <w:pPr>
        <w:spacing w:after="0" w:line="182"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McGrath </w:t>
      </w:r>
      <w:r>
        <w:rPr>
          <w:rFonts w:ascii="Times New Roman" w:cs="Times New Roman" w:eastAsia="Times New Roman" w:hAnsi="Times New Roman"/>
          <w:sz w:val="18"/>
          <w:szCs w:val="18"/>
          <w:color w:val="auto"/>
        </w:rPr>
        <w:t>was appointed to our Board of Directors on November 6, 2025. Mr. McGrath joined Cineplex Odeon Corporation in 1987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held various financial and operational roles from 1987 to 2000. Upon joining Galaxy in 2000, he held the position of Executive Vice President and held that position with the corporation until 2011 when he was named Chief Operating Officer. In his current role as Chief Operating Officer of Cineplex Inc., Mr. McGrath oversees theatre operations and food service, location-based entertainment (The Rec Room, Playdium, Junxion), design and construction, real estate, strategic planning, as well as the company’s media businesses, which included Cineplex Digital Media prior to the Company’s acquisition of such business in 2025. He is a member of the Board of Directors of Scene+, the Movie Theatre Association of Canada (where he is also Treasurer), Canada’s Walk of Fame, and he is a member of the Finance Committee for Covenant House. Mr. McGrath graduated from Brock University with a BAdmin (Honours) and holds the accounting designations of Chartered Professional Accountant (CPA) and Chartered Accountant (CA).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Mills </w:t>
      </w:r>
      <w:r>
        <w:rPr>
          <w:rFonts w:ascii="Times New Roman" w:cs="Times New Roman" w:eastAsia="Times New Roman" w:hAnsi="Times New Roman"/>
          <w:sz w:val="18"/>
          <w:szCs w:val="18"/>
          <w:color w:val="auto"/>
        </w:rPr>
        <w:t>is currently our Chief Executive Officer, a member of our Board of Directors and Chairman of the Board. Mr. Mills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Chief Financial Officer from October 10, 2025 to December 1, 2025, and has served as our Chief Executive Officer and as a member of our Board of Directors since 2015, and as Chairman of the Board since November 2023. Mr. Mills possesses over 32 years of industry experience. He was previously Chief Executive Officer of ConeXus World Global, a leading digital media services company, which he founded in 2010, and which was acquired by the Company. Prior to founding ConeXus, Mr. Mills was President and Director at Beacon Enterprise Solutions Group, Inc., a public telecom and technology infrastructure services provider. Previous to that, he joined publicly traded Pomeroy Computer Resources, Inc. in 1993 and served as Chief Operating Officer and a member of the Board of Directors from 1995 until 1999. Mr. Mills helped grow sales at Pomeroy during his time there from $100 million to $700 million. Mr. Mills was also a founder of Strategic Communications LLC.</w:t>
      </w:r>
    </w:p>
    <w:p>
      <w:pPr>
        <w:spacing w:after="0" w:line="185"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Nesbit </w:t>
      </w:r>
      <w:r>
        <w:rPr>
          <w:rFonts w:ascii="Times New Roman" w:cs="Times New Roman" w:eastAsia="Times New Roman" w:hAnsi="Times New Roman"/>
          <w:sz w:val="18"/>
          <w:szCs w:val="18"/>
          <w:color w:val="auto"/>
        </w:rPr>
        <w:t>was appointed to our Board of Directors in 2019. Mr. Nesbit has been in the digital signage and digital advertising industry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20 years. He is currently the Managing Director of Prestonwood Trail Holdings LLC and has provided advisory services for companies in the Digital Signage and Digital Media Industry for the past 10 years. He has directed and advised projects in North America, Europe, Asia proper, Southeast Asia, the Middle East, Australia and Africa. Prior to founding Prestonwood Trail, Mr. Nesbit was the President/COO at Reflect Systems, a prominent software and services company in the Digital Signage business. He joined Reflect after serving as President/COO of MarketForward, the Global Digital Media Division owned by the Publicis Groupe S.A. in Paris France. Mr. Nesbit began his career in Digital Signage as the EVP Global Operations &amp; GM International Business for Next Generation Network. NGN was one of the first Digital Place Based Advertising companies in the industry before its sale to Anschutz Investments where the company changed its name to National Cinemedia (NASDAQ: NCMI). He began his career at IBM in the Data Processing Division holding various field and HQ management positions. Mr. Nesbit also held management and executive positions at Wang Labs and BBN Communications Inc., the communications company that was the original architect of the Internet. Mr. Nesbit holds an undergraduate degree from the University of Notre Dame and earned an MBA from the Indiana University Kelly Graduate School of Business.</w:t>
      </w:r>
    </w:p>
    <w:p>
      <w:pPr>
        <w:spacing w:after="0" w:line="183"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Tamra Koshewa </w:t>
      </w:r>
      <w:r>
        <w:rPr>
          <w:rFonts w:ascii="Times New Roman" w:cs="Times New Roman" w:eastAsia="Times New Roman" w:hAnsi="Times New Roman"/>
          <w:sz w:val="18"/>
          <w:szCs w:val="18"/>
          <w:color w:val="auto"/>
        </w:rPr>
        <w:t>has served as the Chief Financial Officer of the Company since December 1, 2025. Ms. Koshewa possesses over 30 years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leadership experience with multiple companies across diverse industries including manufacturing, technology, and services. Most recently she was CFO for private equity owned entities including Manna Beverages, LLFlex and HMI. Previously she held senior finance positions at Equipment Depot, AAF International, Time Warner Cable, American Commercial Lines and General Electric, where, over the course of a decade, she graduated from GE’s Experienced Financial Leadership Program and was certified as a Six Sigma Master Black Belt. Early in her career she was a certified public accountant (inactive) with KPMG. Ms. Koshewa has a bachelor's degree in accounting from Bellarmine University and an MBA from Vanderbilt’s Owen Graduate School of Management. In addition, Ms. Koshewa has been a member of the board of directors of Maryhurst, a Kentucky-based nonprofit health care organization for children, since 2012.</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our corporate bylaws, all of our directors serve for annual terms expiring upon the next annual meeting of our shareholders.</w:t>
      </w:r>
    </w:p>
    <w:p>
      <w:pPr>
        <w:spacing w:after="0" w:line="223" w:lineRule="exact"/>
        <w:rPr>
          <w:sz w:val="20"/>
          <w:szCs w:val="20"/>
          <w:color w:val="auto"/>
        </w:rPr>
      </w:pPr>
    </w:p>
    <w:p>
      <w:pPr>
        <w:jc w:val="both"/>
        <w:ind w:firstLine="646"/>
        <w:spacing w:after="0" w:line="252" w:lineRule="auto"/>
        <w:rPr>
          <w:sz w:val="20"/>
          <w:szCs w:val="20"/>
          <w:color w:val="auto"/>
        </w:rPr>
      </w:pPr>
      <w:r>
        <w:rPr>
          <w:rFonts w:ascii="Times New Roman" w:cs="Times New Roman" w:eastAsia="Times New Roman" w:hAnsi="Times New Roman"/>
          <w:sz w:val="18"/>
          <w:szCs w:val="18"/>
          <w:color w:val="auto"/>
        </w:rPr>
        <w:t>When considering whether directors and nominees have the experience, qualifications, attributes and skills to enable the Board of Directors to satisfy its oversight responsibilities effectively in light of our business and structure, the Board of Directors focuses primarily on the industry and transactional experience, in addition to any unique skills or attributes associated with a director. With regard to Mr. Bell, the Board considered his deep experience within the advertising and marketing industries and his prior management of large enterprises. With regard to Mr. Bosco, the Board of Directors considered his substantial accounting, banking and corporate finance experience. With regard to Mr. Mills, the Board of Directors considered his extensive background and experience in the industry. With regard to Mr. Harris, the Board of Directors considered his extensive experience in the telecommunications industry and association with private equity investors. With regard to Mr. Nesbit, the Board of Directors considered his extensive experience in the digital signage industry, having run several companies in the industry and acted as a consultant broadly for digital signage companies over the past twenty years. With regard to Mr. Ellis, the Board of Directors considered his background in finance and his extensive experience investing in and working with companies. With regard to Mr. McGrath, the Board of Directors considered his significant experience in management of digital media operations, including the business of Cineplex Digital Media that was recently acquired by the Company.</w:t>
      </w:r>
    </w:p>
    <w:p>
      <w:pPr>
        <w:spacing w:after="0" w:line="192"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Board of Directors has determined that there are presently five “independent” directors, as such term is defined in Section 5605(a)(2) of the Nasdaq listing rules, each of whom also meets the criteria for independence set forth in Rule 10A-3(b)(1) under the Securities Exchange Act of 1934. The directors whom the board has determined to be independent are Messrs. Bell, Bosco, Ellis, Harris and Nesbit.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Pursuant to the Securities Purchase Agreement dated October 15, 2025 among the Company, North Run Strategic Opportunities Fund I, LP (the “Lead Investor”) and NR-SOF I (Co-Invest I), LP (the “Securities Purchase Agreement”), we agreed to increase the size of the Board of Directors from four to seven directors, and to appoint two designees of the Lead Investor to the Board of Directors. In accordance with this covenant, Thomas B. Ellis and Michael P. Bosco were appointed to the Board, effective as of November 6, 2025 and December 30, 2025, respectively. We also agreed to provide the Lead Investor with continuing director designation rights based on the Lead Investor’s and its affiliates’ beneficial ownership of Common Stock on an as-converted basis. The director designation right will be limited to one Board designee at such time as the Lead Investor and its affiliates cease to beneficially own at least 15% of the Company’s outstanding shares of Common Stock on an as-converted basis, and the designation right will cease to exist if such beneficial ownership threshold falls below 5%. Pursuant to the Securities Purchase Agreement, if any of the Lead Investor’s board designees is not re-elected to the Board at any meeting of the Company’s shareholders at which directors are elected, our Board is obligated to promptly increase the size of the Board by one member, if necessary, and appoint the applicable board designee to fill the resulting vacancy.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7" w:lineRule="exact"/>
        <w:rPr>
          <w:sz w:val="20"/>
          <w:szCs w:val="20"/>
          <w:color w:val="auto"/>
        </w:rPr>
      </w:pPr>
    </w:p>
    <w:p>
      <w:pPr>
        <w:jc w:val="both"/>
        <w:ind w:firstLine="646"/>
        <w:spacing w:after="0" w:line="252" w:lineRule="auto"/>
        <w:rPr>
          <w:sz w:val="20"/>
          <w:szCs w:val="20"/>
          <w:color w:val="auto"/>
        </w:rPr>
      </w:pPr>
      <w:r>
        <w:rPr>
          <w:rFonts w:ascii="Times New Roman" w:cs="Times New Roman" w:eastAsia="Times New Roman" w:hAnsi="Times New Roman"/>
          <w:sz w:val="18"/>
          <w:szCs w:val="18"/>
          <w:color w:val="auto"/>
        </w:rPr>
        <w:t>Richard Mills serves as the Chairman of the Board of Directors and the Company’s Chief Executive Officer. The role of the Chief Executive Officer is to manage business operations and development. The role of the Chair of the Board is to oversee, among other things, communications and relations between our Board of Directors and senior management, consideration by our Board of Directors of the Company’s strategies and policies, and the evaluation of our principal executive officers by our Board of Directors. We believe that by having the Chairman and CEO held by the same person, information flows more easily between the management team and the Board of Directors. The Board of Directors believes that the Board of Directors and Company are best served at this stage of the Company’s growth and operations for Mr. Mills, as the Company’s CEO, to also serve as the Chairman. The Board maintains a majority of independence, with five out of seven current directors being independent to provide appropriate oversight of the CEO’s performance and functioning. Mr. Mills is not a member of the Company’s Audit Committee or Compensation Committee. During the fiscal year ended December 31, 2025, the Board held five videoconference meetings. During that year, all directors attended at least 80% of the aggregate of the meetings of the Board and of each of the Board committees on which he served at the time. We encourage, but do not require, the Board to attend annual shareholder meetings. Messrs. Mills and Harris attended the 2025 annual meeting of the shareholders.</w:t>
      </w:r>
    </w:p>
    <w:p>
      <w:pPr>
        <w:spacing w:after="0" w:line="192"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Although risk management is a core responsibility of the Company’s management, the Board of Directors recognizes that it plays a critical role in oversight of risk. The Board, in order to more specifically carry out this responsibility, has assigned the audit committee the primary duty to periodically review the Company’s policies and practices with respect to risk assessment and risk management, including discussing with management the Company’s major risk exposures and the steps that have been taken to monitor and control those exposures. Those risks include Company risks, such as cyber security incidents, and industry and general economic risks, such as risks related to the impact of trade policies on our supply chain, all as further identified in our annual report. The compensation committee has been assigned the duty to assess the impact of the Company’s compensation programs on risk and recommend to the Board of Directors the adoption of any policies deemed necessary or advisable in order to mitigate compensation- and human capital management-related risks.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 Membership</w:t>
      </w:r>
    </w:p>
    <w:p>
      <w:pPr>
        <w:spacing w:after="0" w:line="227" w:lineRule="exact"/>
        <w:rPr>
          <w:sz w:val="20"/>
          <w:szCs w:val="20"/>
          <w:color w:val="auto"/>
        </w:rPr>
      </w:pPr>
    </w:p>
    <w:p>
      <w:pPr>
        <w:jc w:val="both"/>
        <w:ind w:right="20" w:firstLine="646"/>
        <w:spacing w:after="0" w:line="265" w:lineRule="auto"/>
        <w:rPr>
          <w:sz w:val="20"/>
          <w:szCs w:val="20"/>
          <w:color w:val="auto"/>
        </w:rPr>
      </w:pPr>
      <w:r>
        <w:rPr>
          <w:rFonts w:ascii="Times New Roman" w:cs="Times New Roman" w:eastAsia="Times New Roman" w:hAnsi="Times New Roman"/>
          <w:sz w:val="18"/>
          <w:szCs w:val="18"/>
          <w:color w:val="auto"/>
        </w:rPr>
        <w:t>Our Board of Directors has created a standing Compensation Committee and Audit Committee, which are described below. The Company’s committees have a separately adopted charter that is available on the Company’s website at https://investors.cri.com. Messrs. Bell, Bosco, Ellis, Harris, and Nesbit qualify as “independent” members of the board as described above.</w:t>
      </w:r>
    </w:p>
    <w:p>
      <w:pPr>
        <w:spacing w:after="0" w:line="175"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Board of Directors has not created a separate committee for nomination or corporate governance. Instead, the entire Board of Directors shares the responsibility of identifying potential director-nominees to serve on the Board of Directors. Nevertheless, nominees to serve as directors on our Board of Directors are selected by those directors on our board who are independent.</w:t>
      </w:r>
    </w:p>
    <w:p>
      <w:pPr>
        <w:spacing w:after="0" w:line="173"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i w:val="1"/>
          <w:iCs w:val="1"/>
          <w:color w:val="auto"/>
        </w:rPr>
        <w:t>Compensation Committee Information</w:t>
      </w:r>
      <w:r>
        <w:rPr>
          <w:rFonts w:ascii="Times New Roman" w:cs="Times New Roman" w:eastAsia="Times New Roman" w:hAnsi="Times New Roman"/>
          <w:sz w:val="18"/>
          <w:szCs w:val="18"/>
          <w:color w:val="auto"/>
        </w:rPr>
        <w:t>. Our Compensation Committee consists of Stephen Nesbit, Donald Harris, and David Bell. Mr. Nesbit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serves as chair of the committee. Each member of the Compensation Committee is independent under the applicable Nasdaq listing standards. The Compensation Committee met twice and took action by written consent three times during the fiscal year ended December 31, 2025. The Compensation Committee has a written charter. The Compensation Committee’s duties, which are specified in the Compensation Committee charter, include, but are not limited to:</w:t>
      </w:r>
    </w:p>
    <w:p>
      <w:pPr>
        <w:spacing w:after="0" w:line="185" w:lineRule="exact"/>
        <w:rPr>
          <w:sz w:val="20"/>
          <w:szCs w:val="20"/>
          <w:color w:val="auto"/>
        </w:rPr>
      </w:pPr>
    </w:p>
    <w:p>
      <w:pPr>
        <w:jc w:val="both"/>
        <w:ind w:left="660" w:hanging="330"/>
        <w:spacing w:after="0" w:line="25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the Company’s Chief Executive Officer’s compensation, evaluating the Company’s Chief Executive Officer’s performance in light of such goals and objectives and determining and approving the remuneration (if any) of the Company’s Chief Executive Officer based on such evaluation;</w:t>
      </w:r>
    </w:p>
    <w:p>
      <w:pPr>
        <w:spacing w:after="0" w:line="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35" w:lineRule="exact"/>
        <w:rPr>
          <w:rFonts w:ascii="Times New Roman" w:cs="Times New Roman" w:eastAsia="Times New Roman" w:hAnsi="Times New Roman"/>
          <w:sz w:val="18"/>
          <w:szCs w:val="18"/>
          <w:color w:val="auto"/>
        </w:rPr>
      </w:pPr>
    </w:p>
    <w:p>
      <w:pPr>
        <w:ind w:left="660" w:hanging="330"/>
        <w:spacing w:after="0" w:line="26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 and reviewing specific disclosures in the proxy statement and reports;</w:t>
      </w:r>
    </w:p>
    <w:p>
      <w:pPr>
        <w:ind w:left="660" w:hanging="330"/>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producing a report on executive compensation to be included in our annual proxy statement;</w:t>
      </w:r>
    </w:p>
    <w:p>
      <w:pPr>
        <w:sectPr>
          <w:pgSz w:w="11900" w:h="16838" w:orient="portrait"/>
          <w:cols w:equalWidth="0" w:num="1">
            <w:col w:w="11240"/>
          </w:cols>
          <w:pgMar w:left="320" w:top="121" w:right="339" w:bottom="1440" w:gutter="0" w:footer="0" w:header="0"/>
        </w:sect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660" w:hanging="330"/>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 and</w:t>
      </w:r>
    </w:p>
    <w:p>
      <w:pPr>
        <w:spacing w:after="0" w:line="3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reassessing, on an annual basis, the adequacy of the charter and recommending to the Board any proposed changes to the charter.</w:t>
      </w:r>
    </w:p>
    <w:p>
      <w:pPr>
        <w:spacing w:after="0" w:line="248" w:lineRule="exact"/>
        <w:rPr>
          <w:sz w:val="20"/>
          <w:szCs w:val="20"/>
          <w:color w:val="auto"/>
        </w:rPr>
      </w:pPr>
    </w:p>
    <w:p>
      <w:pPr>
        <w:jc w:val="both"/>
        <w:ind w:firstLine="646"/>
        <w:spacing w:after="0" w:line="256" w:lineRule="auto"/>
        <w:rPr>
          <w:sz w:val="20"/>
          <w:szCs w:val="20"/>
          <w:color w:val="auto"/>
        </w:rPr>
      </w:pPr>
      <w:r>
        <w:rPr>
          <w:rFonts w:ascii="Times New Roman" w:cs="Times New Roman" w:eastAsia="Times New Roman" w:hAnsi="Times New Roman"/>
          <w:sz w:val="18"/>
          <w:szCs w:val="18"/>
          <w:i w:val="1"/>
          <w:iCs w:val="1"/>
          <w:color w:val="auto"/>
        </w:rPr>
        <w:t>Audit Committee Information</w:t>
      </w:r>
      <w:r>
        <w:rPr>
          <w:rFonts w:ascii="Times New Roman" w:cs="Times New Roman" w:eastAsia="Times New Roman" w:hAnsi="Times New Roman"/>
          <w:sz w:val="18"/>
          <w:szCs w:val="18"/>
          <w:color w:val="auto"/>
        </w:rPr>
        <w:t>. Our Audit Committee consists of David Bell, Stephen Nesbit, and Donald Harris. Mr. Bell serves as chair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The Board of Directors has determined that at least one member of the Audit Committee, Mr. Bell, is an “audit committee financial expert” as that term is defined in Regulation S-K promulgated under the Securities Exchange Act of 1934. Mr. Bell’s relevant experience in this regard is detailed above in his biography. The Board of Directors has determined that each director serving on the Audit Committee is able to read and understand fundamental financial statements. The audit committee met four times during the fiscal year ended December 31, 2025. Pursuant to our audit committee charter, responsibilities of the Audit Committee include:</w:t>
      </w:r>
    </w:p>
    <w:p>
      <w:pPr>
        <w:spacing w:after="0" w:line="184" w:lineRule="exact"/>
        <w:rPr>
          <w:sz w:val="20"/>
          <w:szCs w:val="20"/>
          <w:color w:val="auto"/>
        </w:rPr>
      </w:pPr>
    </w:p>
    <w:p>
      <w:pPr>
        <w:ind w:left="660" w:hanging="330"/>
        <w:spacing w:after="0" w:line="26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 the annual audited financial statements, and recommending to the board whether the audited financial statements should be included in our required disclosures;</w:t>
      </w:r>
    </w:p>
    <w:p>
      <w:pPr>
        <w:ind w:left="660" w:hanging="330"/>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interim financial statements prior to the filing of quarterly reports and earnings releases;</w:t>
      </w:r>
    </w:p>
    <w:p>
      <w:pPr>
        <w:spacing w:after="0" w:line="1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committee report, as required by the SEC rules, to be included in the Company’s annual proxy statement or annual report;</w:t>
      </w:r>
    </w:p>
    <w:p>
      <w:pPr>
        <w:spacing w:after="0" w:line="35" w:lineRule="exact"/>
        <w:rPr>
          <w:rFonts w:ascii="Times New Roman" w:cs="Times New Roman" w:eastAsia="Times New Roman" w:hAnsi="Times New Roman"/>
          <w:sz w:val="18"/>
          <w:szCs w:val="18"/>
          <w:color w:val="auto"/>
        </w:rPr>
      </w:pPr>
    </w:p>
    <w:p>
      <w:pPr>
        <w:ind w:left="660" w:hanging="330"/>
        <w:spacing w:after="0" w:line="26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auditor significant financial reporting issues and judgments made in connection with the preparation of our financial statements;</w:t>
      </w:r>
    </w:p>
    <w:p>
      <w:pPr>
        <w:ind w:left="660" w:hanging="330"/>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major risk assessment and risk management policies;</w:t>
      </w:r>
    </w:p>
    <w:p>
      <w:pPr>
        <w:spacing w:after="0" w:line="1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our independent auditor;</w:t>
      </w:r>
    </w:p>
    <w:p>
      <w:pPr>
        <w:spacing w:after="0" w:line="35" w:lineRule="exact"/>
        <w:rPr>
          <w:rFonts w:ascii="Times New Roman" w:cs="Times New Roman" w:eastAsia="Times New Roman" w:hAnsi="Times New Roman"/>
          <w:sz w:val="18"/>
          <w:szCs w:val="18"/>
          <w:color w:val="auto"/>
        </w:rPr>
      </w:pPr>
    </w:p>
    <w:p>
      <w:pPr>
        <w:ind w:left="660" w:hanging="330"/>
        <w:spacing w:after="0" w:line="26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ind w:left="660" w:hanging="330"/>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6" w:lineRule="exact"/>
        <w:rPr>
          <w:rFonts w:ascii="Times New Roman" w:cs="Times New Roman" w:eastAsia="Times New Roman" w:hAnsi="Times New Roman"/>
          <w:sz w:val="18"/>
          <w:szCs w:val="18"/>
          <w:color w:val="auto"/>
        </w:rPr>
      </w:pPr>
    </w:p>
    <w:p>
      <w:pPr>
        <w:ind w:left="660" w:hanging="330"/>
        <w:spacing w:after="0" w:line="26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auditor, including the fees and terms of the services to be performed;</w:t>
      </w:r>
    </w:p>
    <w:p>
      <w:pPr>
        <w:ind w:left="660" w:hanging="330"/>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auditor;</w:t>
      </w:r>
    </w:p>
    <w:p>
      <w:pPr>
        <w:spacing w:after="0" w:line="16" w:lineRule="exact"/>
        <w:rPr>
          <w:rFonts w:ascii="Times New Roman" w:cs="Times New Roman" w:eastAsia="Times New Roman" w:hAnsi="Times New Roman"/>
          <w:sz w:val="18"/>
          <w:szCs w:val="18"/>
          <w:color w:val="auto"/>
        </w:rPr>
      </w:pPr>
    </w:p>
    <w:p>
      <w:pPr>
        <w:ind w:left="660" w:right="20" w:hanging="330"/>
        <w:spacing w:after="0" w:line="26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ind w:left="660" w:hanging="330"/>
        <w:spacing w:after="0" w:line="249"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ind w:left="660" w:hanging="330"/>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reassessing on an annual basis the adequacy of the charter and recommending to the Board any proposed changes to the charter.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7"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The Audit Committee reviewed and discussed the financial statements for the fiscal year ended December 31, 2025, with management. The Audit Committee also discussed with the Company’s independent auditors the matters required to be discussed by the applicable requirements of the Public Company Accounting Oversight Board (“PCAOB”) and the SEC. The Audit Committee has received the written disclosures and the letter from the Company’s independent accountant required by applicable requirements of the PCAOB regarding the independent accountant’s communications with the Audit Committee concerning independence, and has discussed with the Company’s independent accountant its independence.</w:t>
      </w:r>
    </w:p>
    <w:p>
      <w:pPr>
        <w:spacing w:after="0" w:line="183"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of Directors that the audited financial statements of the Company included in the Annual Report on Form 10-K for the fiscal year ended December 31, 2025 be included in such report.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report has been furnished by the Audit Committee of the Board of Directors.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David Bell (Chair)</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Donald Harris</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Stephen Nesbit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Board Members</w:t>
      </w:r>
    </w:p>
    <w:p>
      <w:pPr>
        <w:spacing w:after="0" w:line="227"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Our Board of Directors has provided the following process for shareholders and interested parties to send communications to our Board and/or individual directors. All communications should be addressed to Creative Realities, Inc., 13100 Magisterial Drive, Ste. 201, Louisville, KY 40223, Attention: Corporate Secretary. Communications to individual directors may also be made to such director at our Company’s address. All communications sent to any individual director will be received directly by such individuals and will not be screened or reviewed by any Company personnel. Any communications sent to the Board in the care of the Corporate Secretary will be reviewed by the Corporate Secretary to ensure that such communications relate to the business of the Company before being reviewed by the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7"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employees, officers (including our principal executive officer, principal financial officer, principal accounting officer or controller, and persons performing similar functions) and directors. Our Code of Business Conduct and Ethics is designed to help ensure our business is conducted in accordance with the highest standards of ethical behavior and satisfies the requirements of Item 406(b) of Regulation S-K. Our Code of Business Conduct and Ethics is available, free of charge, on the Company’s website at https://investors.cri.com, or upon written request to our Corporate Secretary at 13100 Magisterial Drive, Ste. 201, Louisville, KY 40223.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7"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We have adopted an insider trading policy applicable to members of the Board of Directors, executive officers of the Company, and all employees of the Company or household and immediate family members of such individuals and entities that such individuals influence or control (collectively, “Insiders”). The Company may also determine that other persons should be subject to the policy, such as contractors or consultants who have access to material non-public information. The policy prohibits any Insider from engaging in transactions involving the purchase or sale of the Company’s securities while such person has access to material nonpublic information, as well as from trading in the securities of other companies in breach of a fiduciary duty or other relationship of trust and confidence while in possession of material nonpublic information about such company or its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and Pledging Policies</w:t>
      </w:r>
    </w:p>
    <w:p>
      <w:pPr>
        <w:spacing w:after="0" w:line="227"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Our Insider Trading Policy provides that no Insider may trade in options, warrants, puts, calls or similar hedging instruments designed to hedge or offset any decrease in market value of our securities, may not sell our securities “short,” and may not hold our securities in margin accounts or pledge our securities except in cases where the individual seeks to pledge our securities as collateral for a loan (not including margin debt) if they can clearly demonstrate the financial capacity to repay the loan without resort to the pledged securities. These prohibitions apply to avoid any appearance that an Insider is trading based on material non-public information and focus his or her attention on short-term performance at the expense of the Company’s long-term objectives.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5" w:lineRule="exact"/>
        <w:rPr>
          <w:sz w:val="20"/>
          <w:szCs w:val="20"/>
          <w:color w:val="auto"/>
        </w:rPr>
      </w:pPr>
    </w:p>
    <w:p>
      <w:pPr>
        <w:ind w:right="80" w:firstLine="646"/>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sets forth information concerning the compensation of our named executive officers for 2025 and 2024 </w:t>
      </w:r>
      <w:r>
        <w:rPr>
          <w:rFonts w:ascii="Times New Roman" w:cs="Times New Roman" w:eastAsia="Times New Roman" w:hAnsi="Times New Roman"/>
          <w:sz w:val="18"/>
          <w:szCs w:val="18"/>
          <w:i w:val="1"/>
          <w:iCs w:val="1"/>
          <w:color w:val="auto"/>
        </w:rPr>
        <w:t>(table and footnotes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whole dollars)</w:t>
      </w:r>
      <w:r>
        <w:rPr>
          <w:rFonts w:ascii="Times New Roman" w:cs="Times New Roman" w:eastAsia="Times New Roman" w:hAnsi="Times New Roman"/>
          <w:sz w:val="18"/>
          <w:szCs w:val="18"/>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38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Option</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38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320" w:type="dxa"/>
            <w:vAlign w:val="bottom"/>
          </w:tcPr>
          <w:p>
            <w:pPr>
              <w:spacing w:after="0"/>
              <w:rPr>
                <w:sz w:val="20"/>
                <w:szCs w:val="20"/>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3"/>
        </w:trPr>
        <w:tc>
          <w:tcPr>
            <w:tcW w:w="1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Position(a)</w:t>
            </w:r>
          </w:p>
        </w:tc>
        <w:tc>
          <w:tcPr>
            <w:tcW w:w="100" w:type="dxa"/>
            <w:vAlign w:val="bottom"/>
          </w:tcPr>
          <w:p>
            <w:pPr>
              <w:spacing w:after="0"/>
              <w:rPr>
                <w:sz w:val="20"/>
                <w:szCs w:val="20"/>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Years</w:t>
            </w:r>
          </w:p>
        </w:tc>
        <w:tc>
          <w:tcPr>
            <w:tcW w:w="9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Mills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450,000</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1,485,000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502,249</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w:t>
            </w: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2,707,249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Director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450,000</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David Mudd</w:t>
            </w:r>
          </w:p>
        </w:tc>
        <w:tc>
          <w:tcPr>
            <w:tcW w:w="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197,336</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165,000</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168,229</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w:t>
            </w: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530,565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Interim Chief Financial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207,692</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230,192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75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550" cy="8255"/>
                    </a:xfrm>
                    <a:prstGeom prst="rect">
                      <a:avLst/>
                    </a:prstGeom>
                    <a:noFill/>
                  </pic:spPr>
                </pic:pic>
              </a:graphicData>
            </a:graphic>
          </wp:anchor>
        </w:drawing>
      </w:r>
    </w:p>
    <w:p>
      <w:pPr>
        <w:spacing w:after="0" w:line="298" w:lineRule="exact"/>
        <w:rPr>
          <w:sz w:val="20"/>
          <w:szCs w:val="20"/>
          <w:color w:val="auto"/>
        </w:rPr>
      </w:pPr>
    </w:p>
    <w:p>
      <w:pPr>
        <w:ind w:left="340" w:hanging="332"/>
        <w:spacing w:after="0" w:line="26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Mills joined the Company effective October 15, 2015. Mr. Mudd served as the Interim Chief Financial Officer of the Company from February 1, 2025 until October 10, 2025.</w:t>
      </w:r>
    </w:p>
    <w:p>
      <w:pPr>
        <w:jc w:val="both"/>
        <w:ind w:left="340" w:hanging="332"/>
        <w:spacing w:after="0" w:line="25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450,000 Restricted Stock Units ("RSUs") granted to Mr. Mills pursuant to a Restricted Stock Unit Agreement in accordance with Issuer's 2023 Stock Incentive Plan, as amended (the "Plan"), with RSUs vesting in three equal installments as follows: 150,000 vest on December 31, 2025, 150,000 vest on July 3, 2027 and 150,000 vest on July 3, 2028. Accelerated vesting shall occur upon the earliest of Reporting Person's death or disability, termination of employment without "cause" by Issuer, or a "Sale Transaction" occurring under the Plan.</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340" w:hanging="332"/>
        <w:spacing w:after="0" w:line="26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206,000 options issued pursuant to an Option Agreement in accordance with the Plan, with options vesting and exercisable in three installments as follows: 68,667 options vest on June 2, 2026, 68,667 options vest on June 2, 2027, and 68,666 options vest on June 2, 2028.</w:t>
      </w:r>
    </w:p>
    <w:p>
      <w:pPr>
        <w:ind w:left="340" w:right="40" w:hanging="332"/>
        <w:spacing w:after="0" w:line="249"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50,000 RSUs granted to Mr. Mudd pursuant to a Restricted Stock Unit Agreement in accordance with the Plan, with RSUs vesting in three equal installments as follows: 16,666 vest on July 3, 2026, 16,666 vest on July 3, 2027 and 16,667 vest on July 3, 2028. Accelerated vesting shall occur upon the earliest of Mr. Mudd’s death or disability, or a "Sale Transaction" occurring under the Plan.</w:t>
      </w:r>
    </w:p>
    <w:p>
      <w:pPr>
        <w:spacing w:after="0" w:line="1" w:lineRule="exact"/>
        <w:rPr>
          <w:rFonts w:ascii="Times New Roman" w:cs="Times New Roman" w:eastAsia="Times New Roman" w:hAnsi="Times New Roman"/>
          <w:sz w:val="18"/>
          <w:szCs w:val="18"/>
          <w:color w:val="auto"/>
        </w:rPr>
      </w:pPr>
    </w:p>
    <w:p>
      <w:pPr>
        <w:ind w:left="340" w:hanging="332"/>
        <w:spacing w:after="0" w:line="259"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69,000 options issued pursuant to an Option Agreement in accordance with the Plan, with options vesting and exercisable in three installments as follows: 23,000 options vest on June 2, 2026, 23,000 options vest on June 2, 2027, and 23,000 options vest on June 2, 2028.</w:t>
      </w:r>
    </w:p>
    <w:p>
      <w:pPr>
        <w:spacing w:after="0" w:line="180"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The material terms of employment agreements of Richard Mills, Chief Executive Officer of the Company, and David Ryan Mudd, former Interim Chief Financial Officer of the Company, and payments to be made upon a change in control are discussed below.</w:t>
      </w:r>
    </w:p>
    <w:p>
      <w:pPr>
        <w:spacing w:after="0" w:line="163"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Our named executive officers are eligible for retirement benefits on the same terms as non-executives under the Company’s defined contribution 401(k) retirement plan. Employees may contribute pretax or after-tax compensation to the plan in accordance with current maximum contribution levels proscribed by the Internal Revenue Service. The Company contributes an employer contribution match of 50% of employee wages up to 6%, for an effective match of 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Richard Mills Employment Agreement</w:t>
      </w:r>
    </w:p>
    <w:p>
      <w:pPr>
        <w:spacing w:after="0" w:line="227" w:lineRule="exact"/>
        <w:rPr>
          <w:sz w:val="20"/>
          <w:szCs w:val="20"/>
          <w:color w:val="auto"/>
        </w:rPr>
      </w:pPr>
    </w:p>
    <w:p>
      <w:pPr>
        <w:jc w:val="both"/>
        <w:ind w:firstLine="646"/>
        <w:spacing w:after="0" w:line="252" w:lineRule="auto"/>
        <w:rPr>
          <w:sz w:val="20"/>
          <w:szCs w:val="20"/>
          <w:color w:val="auto"/>
        </w:rPr>
      </w:pPr>
      <w:r>
        <w:rPr>
          <w:rFonts w:ascii="Times New Roman" w:cs="Times New Roman" w:eastAsia="Times New Roman" w:hAnsi="Times New Roman"/>
          <w:sz w:val="18"/>
          <w:szCs w:val="18"/>
          <w:color w:val="auto"/>
        </w:rPr>
        <w:t>The Company employs Richard Mills as its Chief Executive Officer. Mr. Mills and the Company entered into an employment agreement on November 12, 2021. The employment agreement is effective for a one-year term, which automatically renews for additional one-year periods unless either the Company or Mr. Mills elects not to extend the term. The agreement provided for an initial annual base salary of $330,000 subject to annual increases but generally not subject to decreases. In accordance with the agreement, Mr. Mills’ annual base salary was adjusted automatically on February 17, 2022 to $450,000, subject to annual increases but not generally subject to decreases. Under the agreement, Mr. Mills is eligible to participate in performance-based cash bonus or equity award plans for Company senior executives. Mr. Mills will participate in Company employee benefit plans, policies, programs, perquisites and arrangements to the extent he meets applicable eligibility requirements. In the event of a termination of employment for good reason, as defined, without cause, as defined, or within 12 months following a change in control, as defined, other than for reason of death, disability or for cause, Mr. Mills will be entitled to receive aggregate severance payments equal to twelve months of his base salary. The agreement provides that any severance payments would be paid in installments over the course of the severance. The agreement contains certain non-solicitation and non-competition provisions that continue after employment for a period of one year. The agreement also contains other customary restrictive and other covenants relating to the confidentiality of information, the ownership of inventions and other matters. On June 15, 2022, the Board approved an amendment to certain aspects of Mr. Mills’ compensation as further described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David Ryan Mudd Employment Agreement</w:t>
      </w:r>
    </w:p>
    <w:p>
      <w:pPr>
        <w:spacing w:after="0" w:line="227"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The Company and Mr. Mudd entered into an employment agreement in which the Company paid Mr. Mudd an annual base salary of $235,000 through January 31, 2026, at which point his annual base salary would have increased to $260,000 until his resignation on October 10, 2025. If Mr. Mudd’s employment was terminated for good reason, as defined, without cause, as defined, or within 12 months following a change in control, as defined, other than for cause, Mr. Mudd would have been entitled to receive aggregate severance payments equal to the annual base salary that would have been payable until January 31, 2027, or six months, whichever is larger. The agreement provided that any severance payments would be paid in installments over the course of the severance. The agreement contains certain non-solicitation and non-competition provisions that continue after employment for a period of one year. The agreement also contains other customary restrictive and other covenants relating to the confidentiality of information, the ownership of inventions and other matters. Mr. Mudd ceased serving as the Interim Chief Financial Officer of the Company on October 10,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Tamra Koshewa Employment Agreement</w:t>
      </w:r>
    </w:p>
    <w:p>
      <w:pPr>
        <w:spacing w:after="0" w:line="227"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In connection with Ms. Koshewa’s appointment as Chief Financial Officer on December 1, 2025, the Company and Ms. Koshewa entered into an employment agreement. The employment agreement provides that the Company will employ Ms. Koshewa on an “at will” basis, and pay Ms. Koshewa an annual base salary of $350,000, and a minimum bonus for 2025 of no less than $50,000. If Ms. Koshewa’s employment is terminated by the Company without cause, as defined, or within 12 months following a change in control, as defined, for any reason other than for death, disability or cause, Ms. Koshewa will be entitled to receive aggregate severance payments equal to six months of Ms. Koshewa’s annual base salary. The agreement provides that any severance payments would be paid in installments over the course of the severance. The agreement contains certain non-solicitation provisions that continue after employment for a period of one year. The agreement also contains other customary restrictive and other covenants relating to the confidentiality of information, the ownership of inventions and other matters.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7" w:lineRule="exact"/>
        <w:rPr>
          <w:sz w:val="20"/>
          <w:szCs w:val="20"/>
          <w:color w:val="auto"/>
        </w:rPr>
      </w:pPr>
    </w:p>
    <w:p>
      <w:pPr>
        <w:ind w:right="220" w:firstLine="646"/>
        <w:spacing w:after="0" w:line="280"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outstanding stock options and restricted stock awards held by our named executive officers as of December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4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Option Awards(a)</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7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7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or units of</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or units of</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7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4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7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7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that has</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that have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7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4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7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not vested</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not vested</w:t>
            </w:r>
          </w:p>
        </w:tc>
        <w:tc>
          <w:tcPr>
            <w:tcW w:w="0" w:type="dxa"/>
            <w:vAlign w:val="bottom"/>
          </w:tcPr>
          <w:p>
            <w:pPr>
              <w:spacing w:after="0"/>
              <w:rPr>
                <w:sz w:val="1"/>
                <w:szCs w:val="1"/>
                <w:color w:val="auto"/>
              </w:rPr>
            </w:pPr>
          </w:p>
        </w:tc>
      </w:tr>
      <w:tr>
        <w:trPr>
          <w:trHeight w:val="238"/>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7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Non-Exercisable</w:t>
            </w:r>
          </w:p>
        </w:tc>
        <w:tc>
          <w:tcPr>
            <w:tcW w:w="14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7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Mills</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160,000(a)</w:t>
            </w:r>
          </w:p>
        </w:tc>
        <w:tc>
          <w:tcPr>
            <w:tcW w:w="17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-(a)</w:t>
            </w:r>
          </w:p>
        </w:tc>
        <w:tc>
          <w:tcPr>
            <w:tcW w:w="14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7.59</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6/1/2030</w:t>
            </w:r>
          </w:p>
        </w:tc>
        <w:tc>
          <w:tcPr>
            <w:tcW w:w="1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300,000(b)</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160,000(c)</w:t>
            </w:r>
          </w:p>
        </w:tc>
        <w:tc>
          <w:tcPr>
            <w:tcW w:w="17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6/1/2030</w:t>
            </w:r>
          </w:p>
        </w:tc>
        <w:tc>
          <w:tcPr>
            <w:tcW w:w="120" w:type="dxa"/>
            <w:vAlign w:val="bottom"/>
          </w:tcPr>
          <w:p>
            <w:pPr>
              <w:spacing w:after="0"/>
              <w:rPr>
                <w:sz w:val="18"/>
                <w:szCs w:val="18"/>
                <w:color w:val="auto"/>
              </w:rPr>
            </w:pPr>
          </w:p>
        </w:tc>
        <w:tc>
          <w:tcPr>
            <w:tcW w:w="1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333,334(d)</w:t>
            </w:r>
          </w:p>
        </w:tc>
        <w:tc>
          <w:tcPr>
            <w:tcW w:w="17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-(d)</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2/17/2025</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w:t>
            </w:r>
          </w:p>
        </w:tc>
        <w:tc>
          <w:tcPr>
            <w:tcW w:w="17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206,000(e)</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3.05</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6/2/2035</w:t>
            </w:r>
          </w:p>
        </w:tc>
        <w:tc>
          <w:tcPr>
            <w:tcW w:w="120" w:type="dxa"/>
            <w:vAlign w:val="bottom"/>
          </w:tcPr>
          <w:p>
            <w:pPr>
              <w:spacing w:after="0"/>
              <w:rPr>
                <w:sz w:val="18"/>
                <w:szCs w:val="18"/>
                <w:color w:val="auto"/>
              </w:rPr>
            </w:pPr>
          </w:p>
        </w:tc>
        <w:tc>
          <w:tcPr>
            <w:tcW w:w="1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David Ryan Mudd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17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69,000(f)</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3.05</w:t>
            </w: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1/8/2026(f)</w:t>
            </w:r>
          </w:p>
        </w:tc>
        <w:tc>
          <w:tcPr>
            <w:tcW w:w="1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50,000(g)</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75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550" cy="8255"/>
                    </a:xfrm>
                    <a:prstGeom prst="rect">
                      <a:avLst/>
                    </a:prstGeom>
                    <a:noFill/>
                  </pic:spPr>
                </pic:pic>
              </a:graphicData>
            </a:graphic>
          </wp:anchor>
        </w:drawing>
      </w:r>
    </w:p>
    <w:p>
      <w:pPr>
        <w:spacing w:after="0" w:line="279"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vested in three equal installments on June 1 annually, beginning in 2021 and ending in 2023.</w:t>
      </w:r>
    </w:p>
    <w:p>
      <w:pPr>
        <w:spacing w:after="0" w:line="26" w:lineRule="exact"/>
        <w:rPr>
          <w:rFonts w:ascii="Times New Roman" w:cs="Times New Roman" w:eastAsia="Times New Roman" w:hAnsi="Times New Roman"/>
          <w:sz w:val="18"/>
          <w:szCs w:val="18"/>
          <w:color w:val="auto"/>
        </w:rPr>
      </w:pPr>
    </w:p>
    <w:p>
      <w:pPr>
        <w:jc w:val="both"/>
        <w:ind w:left="340" w:hanging="332"/>
        <w:spacing w:after="0" w:line="249"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450,000 Restricted Stock Units ("RSUs") granted to Mr. Mills pursuant to a Restricted Stock Unit Agreement in accordance with Issuer's 2023 Stock Incentive Plan, as amended (the "Plan"), with RSUs vesting in three equal installments as follows: 150,000 vest on December 31, 2025, 150,000 vest on July 3, 2027 and 150,000 vest on July 3, 2028. Accelerated vesting shall occur upon the earliest of Reporting Person's death or disability, termination of employment without "cause" by Issuer, or a "Sale Transaction" occurring under the Plan.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1"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(the “Performance Options”) became vested in increments of 16.67 percent of the total shares purchasable under this issuance subject to satisfying Company revenue target and earnings before interest, taxes, depreciation and amortization (“EBITDA”) target for the applicable year. In each of calendar years 2020, 2021 and 2022, one-third of the total shares may vest (if the revenue and EBITDA targets are met), and the shares that are subject to vesting each year are allocated equally to each of the revenue and EBITDA targets for such year, with each target and vesting being independently achieved without regard for the other. These Performance Options include a catch-up provision, where any options that did not vest during a prior year due to the Company’s failure to meet a prior revenue or EBITDA target may vest in a subsequent vesting year if the revenue or EBITDA target, as applicable, is met in the future year. The revenue and EBITDA targets for the subject years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Revenue Target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EBITDA Target</w:t>
            </w:r>
          </w:p>
        </w:tc>
        <w:tc>
          <w:tcPr>
            <w:tcW w:w="0" w:type="dxa"/>
            <w:vAlign w:val="bottom"/>
          </w:tcPr>
          <w:p>
            <w:pPr>
              <w:spacing w:after="0"/>
              <w:rPr>
                <w:sz w:val="1"/>
                <w:szCs w:val="1"/>
                <w:color w:val="auto"/>
              </w:rPr>
            </w:pPr>
          </w:p>
        </w:tc>
      </w:tr>
      <w:tr>
        <w:trPr>
          <w:trHeight w:val="238"/>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Calendar Year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(millions)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executives met the foregoing EBITDA target for calendar year 2021.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8"/>
          <w:szCs w:val="18"/>
          <w:color w:val="auto"/>
        </w:rPr>
        <w:t>On June 15, 2022, the Board approved of an amendment to the Performance Options to provide that the revenue target for the calendar year 2022 set forth therein ($38 million) is eliminated, and the remaining shares that are available for vesting under the Performance Options (106,667 unvested) (including the unvested portions of shares based on the satisfaction of the revenue targets for 2020 and 2021 by virtue of the catch-up provisions in the Performance Options) will fully vest upon the achievement of the updated EBITDA target for calendar year 2022 of $3.6 million.</w:t>
      </w:r>
    </w:p>
    <w:p>
      <w:pPr>
        <w:spacing w:after="0" w:line="183" w:lineRule="exact"/>
        <w:rPr>
          <w:sz w:val="20"/>
          <w:szCs w:val="20"/>
          <w:color w:val="auto"/>
        </w:rPr>
      </w:pPr>
    </w:p>
    <w:p>
      <w:pPr>
        <w:ind w:left="660" w:right="20"/>
        <w:spacing w:after="0" w:line="280" w:lineRule="auto"/>
        <w:rPr>
          <w:sz w:val="20"/>
          <w:szCs w:val="20"/>
          <w:color w:val="auto"/>
        </w:rPr>
      </w:pPr>
      <w:r>
        <w:rPr>
          <w:rFonts w:ascii="Times New Roman" w:cs="Times New Roman" w:eastAsia="Times New Roman" w:hAnsi="Times New Roman"/>
          <w:sz w:val="18"/>
          <w:szCs w:val="18"/>
          <w:color w:val="auto"/>
        </w:rPr>
        <w:t>The Performance Options state that the calculation of EBITDA set forth in the Performance Options shall be calculated in a form consistent with the Company’s 2022 approved budget, which:</w:t>
      </w:r>
    </w:p>
    <w:p>
      <w:pPr>
        <w:spacing w:after="0" w:line="163"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excludes any impact on EBITDA of:</w:t>
      </w:r>
    </w:p>
    <w:p>
      <w:pPr>
        <w:spacing w:after="0" w:line="250" w:lineRule="exact"/>
        <w:rPr>
          <w:sz w:val="20"/>
          <w:szCs w:val="20"/>
          <w:color w:val="auto"/>
        </w:rPr>
      </w:pPr>
    </w:p>
    <w:p>
      <w:pPr>
        <w:ind w:left="1300" w:hanging="324"/>
        <w:spacing w:after="0" w:line="280"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treatment (including any “mark-to-market accounting”) of the Company’s warrants or the “Guaranteed Consideration” (as defined in the Merger Agreement),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300" w:hanging="324"/>
        <w:spacing w:after="0" w:line="280"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transaction expenses associated with the Merger and the capital raising financing activities of the Company to effectuate the Merger, and</w:t>
      </w:r>
    </w:p>
    <w:p>
      <w:pPr>
        <w:spacing w:after="0" w:line="162" w:lineRule="exact"/>
        <w:rPr>
          <w:rFonts w:ascii="Times New Roman" w:cs="Times New Roman" w:eastAsia="Times New Roman" w:hAnsi="Times New Roman"/>
          <w:sz w:val="18"/>
          <w:szCs w:val="18"/>
          <w:color w:val="auto"/>
        </w:rPr>
      </w:pPr>
    </w:p>
    <w:p>
      <w:pPr>
        <w:ind w:left="1300" w:hanging="324"/>
        <w:spacing w:after="0"/>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write-down or write-off of any Company inventory of Safe Space Solutions products.</w:t>
      </w:r>
    </w:p>
    <w:p>
      <w:pPr>
        <w:spacing w:after="0" w:line="250" w:lineRule="exact"/>
        <w:rPr>
          <w:rFonts w:ascii="Times New Roman" w:cs="Times New Roman" w:eastAsia="Times New Roman" w:hAnsi="Times New Roman"/>
          <w:sz w:val="18"/>
          <w:szCs w:val="18"/>
          <w:color w:val="auto"/>
        </w:rPr>
      </w:pPr>
    </w:p>
    <w:p>
      <w:pPr>
        <w:jc w:val="both"/>
        <w:ind w:left="980" w:hanging="327"/>
        <w:spacing w:after="0" w:line="265"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deductions related to any cash or stock bonuses paid or payable to any employees of the Company for services provided in calendar year 2022 (even if such bonuses are actually paid after calendar year 2022), including bonuses paid pursuant to the terms of the 2022 Cash Bonus Plan (as described above) (collectively, the “EBITDA Calculations”).</w:t>
      </w:r>
    </w:p>
    <w:p>
      <w:pPr>
        <w:spacing w:after="0" w:line="175" w:lineRule="exact"/>
        <w:rPr>
          <w:sz w:val="20"/>
          <w:szCs w:val="20"/>
          <w:color w:val="auto"/>
        </w:rPr>
      </w:pPr>
    </w:p>
    <w:p>
      <w:pPr>
        <w:ind w:left="340" w:right="420"/>
        <w:spacing w:after="0" w:line="280" w:lineRule="auto"/>
        <w:rPr>
          <w:sz w:val="20"/>
          <w:szCs w:val="20"/>
          <w:color w:val="auto"/>
        </w:rPr>
      </w:pPr>
      <w:r>
        <w:rPr>
          <w:rFonts w:ascii="Times New Roman" w:cs="Times New Roman" w:eastAsia="Times New Roman" w:hAnsi="Times New Roman"/>
          <w:sz w:val="18"/>
          <w:szCs w:val="18"/>
          <w:color w:val="auto"/>
        </w:rPr>
        <w:t>The unvested portion of the Performance Options as of December 31, 2022 vested in full effective as of March 30, 2023 upon confirmation by the Board of Directors of achievement of the performance metrics for the year ended December 31, 2022.</w:t>
      </w:r>
    </w:p>
    <w:p>
      <w:pPr>
        <w:spacing w:after="0" w:line="163" w:lineRule="exact"/>
        <w:rPr>
          <w:sz w:val="20"/>
          <w:szCs w:val="20"/>
          <w:color w:val="auto"/>
        </w:rPr>
      </w:pPr>
    </w:p>
    <w:p>
      <w:pPr>
        <w:jc w:val="both"/>
        <w:ind w:left="340" w:hanging="332"/>
        <w:spacing w:after="0" w:line="257"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Mills received ten-year options to purchase 333,334 shares of common stock (the “New Options”). The New Options were eligible to vest at any time on or prior to the date on which the “Guaranteed Price” is agreed upon by the Company and RSI Exit Corporation, or finally determined in accordance with the terms of the Merger Agreement, if the trailing 10-trading day VWAP of the Company’s common stock, as reported on the Nasdaq Capital Market, exceeded certain share price targets. The New Options were fully vested in connection with a settlement of certain claims related to the Guaranteed Price.</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 Price Targets</w:t>
            </w: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b w:val="1"/>
                <w:bCs w:val="1"/>
                <w:color w:val="auto"/>
                <w:w w:val="99"/>
              </w:rPr>
              <w:t>Guaranteed</w:t>
            </w: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$ 6.00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$ 9.00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$ 12.00</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$ 15.00</w:t>
            </w:r>
          </w:p>
        </w:tc>
        <w:tc>
          <w:tcPr>
            <w:tcW w:w="2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$ 18.00</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Mills Shares Vested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16,667</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33,334</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50,000</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66,667</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83,333</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83,333</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333,334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Logan Shares Vested</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30,000</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40,000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50,000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50,000</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Shares Vested</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340" w:hanging="332"/>
        <w:spacing w:after="0" w:line="28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vest in three installments as follows: 68,667 options vest on June 2, 2026, 68,667 options vest on June 2, 2027, and 68,666 options vest on June 2, 2028.</w:t>
      </w:r>
    </w:p>
    <w:p>
      <w:pPr>
        <w:spacing w:after="0" w:line="162" w:lineRule="exact"/>
        <w:rPr>
          <w:rFonts w:ascii="Times New Roman" w:cs="Times New Roman" w:eastAsia="Times New Roman" w:hAnsi="Times New Roman"/>
          <w:sz w:val="18"/>
          <w:szCs w:val="18"/>
          <w:color w:val="auto"/>
        </w:rPr>
      </w:pPr>
    </w:p>
    <w:p>
      <w:pPr>
        <w:jc w:val="both"/>
        <w:ind w:left="340" w:hanging="332"/>
        <w:spacing w:after="0" w:line="265"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69,000 options issued pursuant to an Option Agreement in accordance with the Plan, with options vesting and exercisable in three installments as follows: 23,000 options vest on June 2, 2026, 23,000 options vest on June 2, 2027, and 23,000 options vest on June 2, 2028. Mr. Mudd resigned as Interim Chief Financial Officer effective October 10, 2025, and such option terminated 90 days after such resignation.</w:t>
      </w:r>
    </w:p>
    <w:p>
      <w:pPr>
        <w:spacing w:after="0" w:line="175" w:lineRule="exact"/>
        <w:rPr>
          <w:rFonts w:ascii="Times New Roman" w:cs="Times New Roman" w:eastAsia="Times New Roman" w:hAnsi="Times New Roman"/>
          <w:sz w:val="18"/>
          <w:szCs w:val="18"/>
          <w:color w:val="auto"/>
        </w:rPr>
      </w:pPr>
    </w:p>
    <w:p>
      <w:pPr>
        <w:ind w:left="340" w:right="40" w:hanging="332"/>
        <w:spacing w:after="0" w:line="259"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50,000 RSUs granted to Mr. Mudd pursuant to a Restricted Stock Unit Agreement in accordance with the Plan, with RSUs vesting in three equal installments as follows: 16,666 vest on July 3, 2026, 16,666 vest on July 3, 2027 and 16,667 vest on July 3, 2028. Accelerated vesting shall occur upon the earliest of Mr. Mudd’s death or disability, or a "Sale Transaction" occurring under the Plan. Mr. Mudd resigned as Interim Chief Financial Officer effective October 10, 2025, and such RSUs have terminated.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7"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The Company’s Board of Directors had a director compensation plan to compensate non-officer directors for services provided to the Board and its standing committees. For calendar years 2025 and thereafter, the Compensation Committee approves an annual grant under the Creative Realities, Inc. 2023 Stock Incentive Plan, as amended (the “Plan”), to each non-employee director of the Company as of December 31 of each calendar year, commencing December 31, 2025, of shares of the Company’s common stock (the “Shares”) having an aggregate value of $36,000 (pro-rated for partial years of service), with such Shares to be valued at the closing price of the Company’s common stock on December 31 of the applicable year (or if such date is not a trading day, as of the trading day immediately prior thereto).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the compensation paid to Company non-employee directors during 2025:</w:t>
      </w:r>
    </w:p>
    <w:p>
      <w:pPr>
        <w:spacing w:after="0" w:line="21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 and footnotes in whole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19685</wp:posOffset>
            </wp:positionV>
            <wp:extent cx="58426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42635"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Nonqualified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earned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Non-equity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deferred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or paid</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in cash</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9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($)(b)</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Bell</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Michael Bell</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B. Ellis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Donald A. Harris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McGrath</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Stephen Nesbit</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36,000</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to our Principal Executive Officer (“PEO”) and our Principal Financial Officer (“PFO”) and certain financial performance of the Company.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right"/>
              <w:ind w:right="102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w:t>
            </w:r>
          </w:p>
        </w:tc>
        <w:tc>
          <w:tcPr>
            <w:tcW w:w="1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Value of Initial</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Fixed $100</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Investment Based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Table Total for</w:t>
            </w: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Actually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Table Total for</w:t>
            </w: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On:</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Net Income(6)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Total Shareholder</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PEO(1)</w:t>
            </w: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Paid to PEO(2)</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Non-PEO NEO(3)</w:t>
            </w: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Non-PEO NEO(4)</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Return(5)</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5"/>
        </w:trPr>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18"/>
                <w:szCs w:val="18"/>
                <w:color w:val="auto"/>
              </w:rPr>
            </w:pPr>
          </w:p>
        </w:tc>
        <w:tc>
          <w:tcPr>
            <w:tcW w:w="15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0"/>
              </w:rPr>
              <w:t>(b)</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220" w:type="dxa"/>
            <w:vAlign w:val="bottom"/>
          </w:tcPr>
          <w:p>
            <w:pPr>
              <w:spacing w:after="0"/>
              <w:rPr>
                <w:sz w:val="20"/>
                <w:szCs w:val="20"/>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2,707,249</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3,066,367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512,291</w:t>
            </w:r>
          </w:p>
        </w:tc>
        <w:tc>
          <w:tcPr>
            <w:tcW w:w="2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345,013</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450,000</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438,154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392,893</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450,000</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498,678</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373,292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(2,937)</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40" w:right="20" w:hanging="332"/>
        <w:spacing w:after="0" w:line="311" w:lineRule="auto"/>
        <w:tabs>
          <w:tab w:leader="none" w:pos="3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in column (b) are the amounts of total compensation reported for Richard Mills (our Chief Executive Officer) for each corresponding year in the “Total” column of the Summary Compensation Table. Refer to “Executive Compensation—Summary Compensation Table."</w:t>
      </w:r>
    </w:p>
    <w:p>
      <w:pPr>
        <w:spacing w:after="0" w:line="139" w:lineRule="exact"/>
        <w:rPr>
          <w:rFonts w:ascii="Times New Roman" w:cs="Times New Roman" w:eastAsia="Times New Roman" w:hAnsi="Times New Roman"/>
          <w:sz w:val="17"/>
          <w:szCs w:val="17"/>
          <w:color w:val="auto"/>
        </w:rPr>
      </w:pPr>
    </w:p>
    <w:p>
      <w:pPr>
        <w:jc w:val="both"/>
        <w:ind w:left="340" w:hanging="332"/>
        <w:spacing w:after="0" w:line="259"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(c) represent the amounts of “compensation actually paid” to Mr. Mills, as computed in accordance with Item 402(v) of Regulation S-K. The dollar amounts do not reflect the actual amount of compensation earned by or paid to Mr. Mills during the applicable year. In accordance with the requirements of Item 402(v) of Regulation S-K, the following adjustments were made to Mr. Mills’ total compensation for each year to determine the compensation actually paid:</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Value of Equity</w:t>
            </w: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PEO</w:t>
            </w: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Awards(a)</w:t>
            </w: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Adjustments(b)</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PEO</w:t>
            </w:r>
          </w:p>
        </w:tc>
        <w:tc>
          <w:tcPr>
            <w:tcW w:w="0" w:type="dxa"/>
            <w:vAlign w:val="bottom"/>
          </w:tcPr>
          <w:p>
            <w:pPr>
              <w:spacing w:after="0"/>
              <w:rPr>
                <w:sz w:val="1"/>
                <w:szCs w:val="1"/>
                <w:color w:val="auto"/>
              </w:rPr>
            </w:pPr>
          </w:p>
        </w:tc>
      </w:tr>
      <w:tr>
        <w:trPr>
          <w:trHeight w:val="238"/>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2,707,249</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(1,987,249)</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2,346,367</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2024</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450,000</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(11,846)</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438,154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2023</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450,000</w:t>
            </w: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48,678</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498,678</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40" w:hanging="332"/>
        <w:spacing w:after="0" w:line="280"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equity awards represents the total of the amounts reported in the “Stock Awards” and “Option Awards” columns in the Summary Compensation Table for the applicable year.</w:t>
      </w:r>
    </w:p>
    <w:p>
      <w:pPr>
        <w:spacing w:after="0" w:line="162"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w:t>
      </w:r>
    </w:p>
    <w:p>
      <w:pPr>
        <w:spacing w:after="0" w:line="3" w:lineRule="exact"/>
        <w:rPr>
          <w:rFonts w:ascii="Times New Roman" w:cs="Times New Roman" w:eastAsia="Times New Roman" w:hAnsi="Times New Roman"/>
          <w:sz w:val="17"/>
          <w:szCs w:val="17"/>
          <w:color w:val="auto"/>
        </w:rPr>
      </w:pPr>
    </w:p>
    <w:p>
      <w:pPr>
        <w:jc w:val="both"/>
        <w:ind w:left="3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w:t>
      </w:r>
    </w:p>
    <w:p>
      <w:pPr>
        <w:sectPr>
          <w:pgSz w:w="11900" w:h="16838" w:orient="portrait"/>
          <w:cols w:equalWidth="0" w:num="1">
            <w:col w:w="11240"/>
          </w:cols>
          <w:pgMar w:left="320" w:top="121" w:right="339" w:bottom="596"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596"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amounts deducted or added in calculating the equity award adjustments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Fair Value of</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Dividends or</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 over</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Year over</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Year Change in</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at the End</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Earnings Paid on</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Year Change in</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Fair Value as of</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Fair Value of</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of the Prior Year</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Stock or Option</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Fair Value of</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Vesting Date of</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Equity Awards</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of Equity Awards</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Awards not</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Otherwise</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Year End</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Equity Awards</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Granted in</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that Failed to</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Reflected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and Unvested</w:t>
            </w: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Prior Years</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Meet Vesting</w:t>
            </w: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in Fair Value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 Equity</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and Vested</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that Vested</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Conditions</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or Total</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Award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 the Year</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 the Year</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in the Year</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0" w:type="dxa"/>
            <w:vAlign w:val="bottom"/>
          </w:tcPr>
          <w:p>
            <w:pPr>
              <w:spacing w:after="0"/>
              <w:rPr>
                <w:sz w:val="1"/>
                <w:szCs w:val="1"/>
                <w:color w:val="auto"/>
              </w:rPr>
            </w:pPr>
          </w:p>
        </w:tc>
      </w:tr>
      <w:tr>
        <w:trPr>
          <w:trHeight w:val="215"/>
        </w:trPr>
        <w:tc>
          <w:tcPr>
            <w:tcW w:w="104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3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1,278,447</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391,500</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676,420</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2,346,367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6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(11,846)</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(10,465)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59,143</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48,678</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340" w:hanging="332"/>
        <w:spacing w:after="0" w:line="259"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(d) represent the amounts reported for the NEO (excluding our PEO) in the “Total” column of the Summary Compensation Table in each applicable year. The NEO (excluding our PEO) included for purposes of calculating the amounts in 2023 and 2024 was Will Logan, our Chief Financial Officer as of the applicable time periods, and in 2025 was David Ryan Mudd, our Interim Chief Financial Officer as of the applicable time period.</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65"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(e) represent the amounts of “compensation actually paid” to the NEO (excluding our PEO), as computed in accordance with Item 402(v) of Regulation S-K. The dollar amounts do not reflect the actual average amount of compensation earned by or paid to the NEO (excluding our PEO) during the applicable year.</w:t>
      </w:r>
    </w:p>
    <w:p>
      <w:pPr>
        <w:spacing w:after="0" w:line="175" w:lineRule="exact"/>
        <w:rPr>
          <w:sz w:val="20"/>
          <w:szCs w:val="20"/>
          <w:color w:val="auto"/>
        </w:rPr>
      </w:pPr>
    </w:p>
    <w:p>
      <w:pPr>
        <w:ind w:left="980" w:right="100"/>
        <w:spacing w:after="0" w:line="265" w:lineRule="auto"/>
        <w:rPr>
          <w:sz w:val="20"/>
          <w:szCs w:val="20"/>
          <w:color w:val="auto"/>
        </w:rPr>
      </w:pPr>
      <w:r>
        <w:rPr>
          <w:rFonts w:ascii="Times New Roman" w:cs="Times New Roman" w:eastAsia="Times New Roman" w:hAnsi="Times New Roman"/>
          <w:sz w:val="18"/>
          <w:szCs w:val="18"/>
          <w:color w:val="auto"/>
        </w:rPr>
        <w:t>In accordance with the requirements of Item 402(v) of Regulation S-K, the following adjustments were made to average total compensation for the NEO (excluding our PEO) for each year to determine the compensation actually paid, using the same methodology described above in Note (2):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Summary</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Non-PEO</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 Non-PEO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NEO</w:t>
            </w: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Equity Awards(a)</w:t>
            </w: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Adjustments(b)</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NEO</w:t>
            </w:r>
          </w:p>
        </w:tc>
        <w:tc>
          <w:tcPr>
            <w:tcW w:w="0" w:type="dxa"/>
            <w:vAlign w:val="bottom"/>
          </w:tcPr>
          <w:p>
            <w:pPr>
              <w:spacing w:after="0"/>
              <w:rPr>
                <w:sz w:val="1"/>
                <w:szCs w:val="1"/>
                <w:color w:val="auto"/>
              </w:rPr>
            </w:pPr>
          </w:p>
        </w:tc>
      </w:tr>
      <w:tr>
        <w:trPr>
          <w:trHeight w:val="238"/>
        </w:trPr>
        <w:tc>
          <w:tcPr>
            <w:tcW w:w="3120" w:type="dxa"/>
            <w:vAlign w:val="bottom"/>
            <w:gridSpan w:val="3"/>
          </w:tcPr>
          <w:p>
            <w:pPr>
              <w:jc w:val="right"/>
              <w:ind w:right="2760"/>
              <w:spacing w:after="0"/>
              <w:rPr>
                <w:sz w:val="20"/>
                <w:szCs w:val="20"/>
                <w:color w:val="auto"/>
              </w:rPr>
            </w:pPr>
            <w:r>
              <w:rPr>
                <w:rFonts w:ascii="Times New Roman" w:cs="Times New Roman" w:eastAsia="Times New Roman" w:hAnsi="Times New Roman"/>
                <w:sz w:val="18"/>
                <w:szCs w:val="18"/>
                <w:b w:val="1"/>
                <w:bCs w:val="1"/>
                <w:color w:val="auto"/>
                <w:w w:val="89"/>
              </w:rPr>
              <w:t>Year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2025</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512,291</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(333,229)</w:t>
            </w: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165,951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400,000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(7,107)</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350,000</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23,292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40" w:hanging="332"/>
        <w:spacing w:after="0" w:line="280"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equity awards represents the total of the amounts reported in the “Stock Awards” and “Option Awards” columns in the Summary Compensation Table for the applicable year.</w:t>
      </w:r>
    </w:p>
    <w:p>
      <w:pPr>
        <w:spacing w:after="0" w:line="162"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w:t>
      </w:r>
    </w:p>
    <w:p>
      <w:pPr>
        <w:spacing w:after="0" w:line="3" w:lineRule="exact"/>
        <w:rPr>
          <w:rFonts w:ascii="Times New Roman" w:cs="Times New Roman" w:eastAsia="Times New Roman" w:hAnsi="Times New Roman"/>
          <w:sz w:val="17"/>
          <w:szCs w:val="17"/>
          <w:color w:val="auto"/>
        </w:rPr>
      </w:pPr>
    </w:p>
    <w:p>
      <w:pPr>
        <w:jc w:val="both"/>
        <w:ind w:left="3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amounts deducted or added in calculating the equity award adjustments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Value of</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Dividends or</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Year Over</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Value as of</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Year over Year</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Vesting Date</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at the End of the</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Earnings Paid on</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of Equity</w:t>
            </w: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Fair Value of</w:t>
            </w: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Prior Year of</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Stock or Option</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Equity Awards</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Year End</w:t>
            </w: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Fair Value of</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Equity Awards</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that</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Awards not</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Otherwise</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Outstanding and</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Granted in Prior</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Failed to Meet</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Reflected</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Vesting</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of Equity</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Unvested</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and Vested</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Years that Vested</w:t>
            </w: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Conditions</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 Fair Value or</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Award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Equity Awards</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in the Year</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in the Year</w:t>
            </w: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in the Year</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0" w:type="dxa"/>
            <w:vAlign w:val="bottom"/>
          </w:tcPr>
          <w:p>
            <w:pPr>
              <w:spacing w:after="0"/>
              <w:rPr>
                <w:sz w:val="1"/>
                <w:szCs w:val="1"/>
                <w:color w:val="auto"/>
              </w:rPr>
            </w:pPr>
          </w:p>
        </w:tc>
      </w:tr>
      <w:tr>
        <w:trPr>
          <w:trHeight w:val="215"/>
        </w:trPr>
        <w:tc>
          <w:tcPr>
            <w:tcW w:w="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165,951</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165,951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2024</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(7,107)</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2023</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(6,279)</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29,571</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23,292</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340" w:hanging="332"/>
        <w:spacing w:after="0" w:line="265"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total shareholder return (Cumulative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income reflected in the Company’s audited financial statements for the applicable year.</w:t>
      </w:r>
    </w:p>
    <w:p>
      <w:pPr>
        <w:spacing w:after="0" w:line="21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227" w:lineRule="exact"/>
        <w:rPr>
          <w:sz w:val="20"/>
          <w:szCs w:val="20"/>
          <w:color w:val="auto"/>
        </w:rPr>
      </w:pPr>
    </w:p>
    <w:p>
      <w:pPr>
        <w:ind w:firstLine="646"/>
        <w:spacing w:after="0" w:line="280" w:lineRule="auto"/>
        <w:rPr>
          <w:sz w:val="20"/>
          <w:szCs w:val="20"/>
          <w:color w:val="auto"/>
        </w:rPr>
      </w:pPr>
      <w:r>
        <w:rPr>
          <w:rFonts w:ascii="Times New Roman" w:cs="Times New Roman" w:eastAsia="Times New Roman" w:hAnsi="Times New Roman"/>
          <w:sz w:val="18"/>
          <w:szCs w:val="18"/>
          <w:color w:val="auto"/>
        </w:rPr>
        <w:t>In accordance with Item 402(v) of Regulation S-K, we are providing the following descriptions of the relationships between information presented in the Pay Versus Performance table above.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Compensation Actually Paid and Cumulative TSR</w:t>
      </w:r>
    </w:p>
    <w:p>
      <w:pPr>
        <w:spacing w:after="0" w:line="223" w:lineRule="exact"/>
        <w:rPr>
          <w:sz w:val="20"/>
          <w:szCs w:val="20"/>
          <w:color w:val="auto"/>
        </w:rPr>
      </w:pPr>
    </w:p>
    <w:p>
      <w:pPr>
        <w:ind w:firstLine="646"/>
        <w:spacing w:after="0" w:line="280" w:lineRule="auto"/>
        <w:rPr>
          <w:sz w:val="20"/>
          <w:szCs w:val="20"/>
          <w:color w:val="auto"/>
        </w:rPr>
      </w:pPr>
      <w:r>
        <w:rPr>
          <w:rFonts w:ascii="Times New Roman" w:cs="Times New Roman" w:eastAsia="Times New Roman" w:hAnsi="Times New Roman"/>
          <w:sz w:val="18"/>
          <w:szCs w:val="18"/>
          <w:color w:val="auto"/>
        </w:rPr>
        <w:t>The following graph sets forth the relationship between Compensation Actually Paid to our PEO, Compensation Actually Paid to our Non-PEO NEO,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95820" cy="36302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5820" cy="36302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Compensation Actually Paid and Net Income</w:t>
      </w:r>
    </w:p>
    <w:p>
      <w:pPr>
        <w:spacing w:after="0" w:line="223" w:lineRule="exact"/>
        <w:rPr>
          <w:sz w:val="20"/>
          <w:szCs w:val="20"/>
          <w:color w:val="auto"/>
        </w:rPr>
      </w:pPr>
    </w:p>
    <w:p>
      <w:pPr>
        <w:ind w:firstLine="646"/>
        <w:spacing w:after="0" w:line="280" w:lineRule="auto"/>
        <w:rPr>
          <w:sz w:val="20"/>
          <w:szCs w:val="20"/>
          <w:color w:val="auto"/>
        </w:rPr>
      </w:pPr>
      <w:r>
        <w:rPr>
          <w:rFonts w:ascii="Times New Roman" w:cs="Times New Roman" w:eastAsia="Times New Roman" w:hAnsi="Times New Roman"/>
          <w:sz w:val="18"/>
          <w:szCs w:val="18"/>
          <w:color w:val="auto"/>
        </w:rPr>
        <w:t>The following graph sets forth the relationship between Compensation Actually Paid to our PEO, the Compensation Actually Paid to our Non-PEO NEO, and the Company’s net income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114935</wp:posOffset>
            </wp:positionV>
            <wp:extent cx="6150610" cy="39890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50610" cy="398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for Granting Certain Equity Awards</w:t>
      </w:r>
    </w:p>
    <w:p>
      <w:pPr>
        <w:spacing w:after="0" w:line="227"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While the granting of options and other equity awards to officers, directors and other employees is not expressly addressed in our Insider Trading Policy, we generally follow the same principles set forth in the Insider Trading Policy when granting equity awards, including options, to our officers, directors and other employees with access to material nonpublic information. Generally, our Board of Directors or Compensation Committee does not approve grants of such awards during a blackout period and does not take material nonpublic information into account when determining the timing and terms of such an award. Further, we do not have a policy or practice of timing the disclosure of material nonpublic information for the purpose of affecting the value of executive compensation.</w:t>
      </w:r>
    </w:p>
    <w:p>
      <w:pPr>
        <w:spacing w:after="0" w:line="210" w:lineRule="exact"/>
        <w:rPr>
          <w:sz w:val="20"/>
          <w:szCs w:val="20"/>
          <w:color w:val="auto"/>
        </w:rPr>
      </w:pPr>
    </w:p>
    <w:p>
      <w:pPr>
        <w:ind w:right="640"/>
        <w:spacing w:after="0" w:line="285"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8"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The table below sets forth certain information with respect to beneficial ownership of our Common Stock and Series A Preferred Stock as of April 10, 2026, on which date there were 10,567,268 shares of issued and outstanding Common Stock and 30,000 shares of issued and outstanding Series A Preferred Stock. The following table sets forth the number of shares of Common Stock and Series A Preferred Stock, and percentage of such shares, beneficially owned by:</w:t>
      </w:r>
    </w:p>
    <w:p>
      <w:pPr>
        <w:spacing w:after="0" w:line="183" w:lineRule="exact"/>
        <w:rPr>
          <w:sz w:val="20"/>
          <w:szCs w:val="20"/>
          <w:color w:val="auto"/>
        </w:rPr>
      </w:pPr>
    </w:p>
    <w:p>
      <w:pPr>
        <w:ind w:left="1300" w:hanging="647"/>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of the Company;</w:t>
      </w:r>
    </w:p>
    <w:p>
      <w:pPr>
        <w:spacing w:after="0" w:line="250" w:lineRule="exact"/>
        <w:rPr>
          <w:rFonts w:ascii="Times New Roman" w:cs="Times New Roman" w:eastAsia="Times New Roman" w:hAnsi="Times New Roman"/>
          <w:sz w:val="18"/>
          <w:szCs w:val="18"/>
          <w:color w:val="auto"/>
        </w:rPr>
      </w:pPr>
    </w:p>
    <w:p>
      <w:pPr>
        <w:ind w:left="1300" w:hanging="647"/>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250" w:lineRule="exact"/>
        <w:rPr>
          <w:rFonts w:ascii="Times New Roman" w:cs="Times New Roman" w:eastAsia="Times New Roman" w:hAnsi="Times New Roman"/>
          <w:sz w:val="18"/>
          <w:szCs w:val="18"/>
          <w:color w:val="auto"/>
        </w:rPr>
      </w:pPr>
    </w:p>
    <w:p>
      <w:pPr>
        <w:ind w:left="1300" w:hanging="647"/>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directors and executive officers of the Company as a group; and</w:t>
      </w:r>
    </w:p>
    <w:p>
      <w:pPr>
        <w:spacing w:after="0" w:line="250" w:lineRule="exact"/>
        <w:rPr>
          <w:rFonts w:ascii="Times New Roman" w:cs="Times New Roman" w:eastAsia="Times New Roman" w:hAnsi="Times New Roman"/>
          <w:sz w:val="18"/>
          <w:szCs w:val="18"/>
          <w:color w:val="auto"/>
        </w:rPr>
      </w:pPr>
    </w:p>
    <w:p>
      <w:pPr>
        <w:ind w:left="1300" w:right="20" w:hanging="647"/>
        <w:spacing w:after="0" w:line="280"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own beneficially more than 5% of our outstanding shares of Common Stock and Series A Preferred Stock.</w:t>
      </w:r>
    </w:p>
    <w:p>
      <w:pPr>
        <w:spacing w:after="0" w:line="163"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general voting power and/or investment power with respect to securities. Shares of common stock issuable upon exercise of options or warrants that are currently exercisable or exercisable within 60 days of April 10, 2026, and shares of common stock issuable upon conversion of other securities currently convertible or convertible within 60 days, are deemed outstanding for computing the beneficial ownership percentage of the person holding such securities but are not deemed outstanding for computing the beneficial ownership percentage of any other person. Under applicable SEC rules, each person’s beneficial ownership is calculated by dividing the total number of shares with respect to which they possess beneficial ownership by the total number of outstanding shares of the Company. In any case where an individual has beneficial ownership over securities that are not outstanding but are issuable upon the exercise of options or warrants or similar rights within the next 60 days, that same number of shares is added to the denominator in the calculation described above. Because the calculation of each person’s beneficial ownership set forth in the “Percentage of Common Shares” column of the table may include shares that are not presently outstanding, the sum total of the percentages set forth in such column may exceed 100%.</w:t>
      </w:r>
    </w:p>
    <w:p>
      <w:pPr>
        <w:spacing w:after="0" w:line="186" w:lineRule="exact"/>
        <w:rPr>
          <w:sz w:val="20"/>
          <w:szCs w:val="20"/>
          <w:color w:val="auto"/>
        </w:rPr>
      </w:pPr>
    </w:p>
    <w:p>
      <w:pPr>
        <w:jc w:val="both"/>
        <w:ind w:right="20" w:firstLine="646"/>
        <w:spacing w:after="0" w:line="280" w:lineRule="auto"/>
        <w:rPr>
          <w:sz w:val="20"/>
          <w:szCs w:val="20"/>
          <w:color w:val="auto"/>
        </w:rPr>
      </w:pPr>
      <w:r>
        <w:rPr>
          <w:rFonts w:ascii="Times New Roman" w:cs="Times New Roman" w:eastAsia="Times New Roman" w:hAnsi="Times New Roman"/>
          <w:sz w:val="18"/>
          <w:szCs w:val="18"/>
          <w:color w:val="auto"/>
        </w:rPr>
        <w:t>Unless otherwise indicated in the table or its footnotes, the address of each of the following persons or entities is 13100 Magisterial Drive, Suite 201, Louisville, KY 40223, and each such person has sole voting and investment power with respect to the shares set forth opposite his, her or its name.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Title or Class of Securities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4"/>
          </w:tcPr>
          <w:p>
            <w:pPr>
              <w:jc w:val="right"/>
              <w:ind w:right="430"/>
              <w:spacing w:after="0" w:line="187" w:lineRule="exact"/>
              <w:rPr>
                <w:sz w:val="20"/>
                <w:szCs w:val="20"/>
                <w:color w:val="auto"/>
              </w:rPr>
            </w:pPr>
            <w:r>
              <w:rPr>
                <w:rFonts w:ascii="Times New Roman" w:cs="Times New Roman" w:eastAsia="Times New Roman" w:hAnsi="Times New Roman"/>
                <w:sz w:val="18"/>
                <w:szCs w:val="18"/>
                <w:b w:val="1"/>
                <w:bCs w:val="1"/>
                <w:color w:val="auto"/>
              </w:rPr>
              <w:t>Series A Convertible</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6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Preferred Stock (1)</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20"/>
              <w:spacing w:after="0" w:line="187"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4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Borders>
              <w:top w:val="single" w:sz="8" w:color="auto"/>
            </w:tcBorders>
            <w:gridSpan w:val="2"/>
          </w:tcPr>
          <w:p>
            <w:pPr>
              <w:jc w:val="center"/>
              <w:ind w:right="20"/>
              <w:spacing w:after="0" w:line="187"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3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Voting</w:t>
            </w:r>
          </w:p>
        </w:tc>
        <w:tc>
          <w:tcPr>
            <w:tcW w:w="0" w:type="dxa"/>
            <w:vAlign w:val="bottom"/>
          </w:tcPr>
          <w:p>
            <w:pPr>
              <w:spacing w:after="0"/>
              <w:rPr>
                <w:sz w:val="1"/>
                <w:szCs w:val="1"/>
                <w:color w:val="auto"/>
              </w:rPr>
            </w:pPr>
          </w:p>
        </w:tc>
      </w:tr>
      <w:tr>
        <w:trPr>
          <w:trHeight w:val="238"/>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40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34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Mills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1,135,260</w:t>
            </w:r>
          </w:p>
        </w:tc>
        <w:tc>
          <w:tcPr>
            <w:tcW w:w="20" w:type="dxa"/>
            <w:vAlign w:val="bottom"/>
          </w:tcPr>
          <w:p>
            <w:pPr>
              <w:spacing w:after="0"/>
              <w:rPr>
                <w:sz w:val="18"/>
                <w:szCs w:val="18"/>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Bell</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83,735</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Bosco</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2,117</w:t>
            </w:r>
          </w:p>
        </w:tc>
        <w:tc>
          <w:tcPr>
            <w:tcW w:w="4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B. Ellis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2,104,851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A. Harris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207,761</w:t>
            </w:r>
          </w:p>
        </w:tc>
        <w:tc>
          <w:tcPr>
            <w:tcW w:w="20" w:type="dxa"/>
            <w:vAlign w:val="bottom"/>
          </w:tcPr>
          <w:p>
            <w:pPr>
              <w:spacing w:after="0"/>
              <w:rPr>
                <w:sz w:val="18"/>
                <w:szCs w:val="18"/>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Tamra Koshewa (6)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McGrath</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2,117</w:t>
            </w:r>
          </w:p>
        </w:tc>
        <w:tc>
          <w:tcPr>
            <w:tcW w:w="4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Nesbit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6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All directors and executive officers as a group (8</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persons)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3,657,229</w:t>
            </w:r>
          </w:p>
        </w:tc>
        <w:tc>
          <w:tcPr>
            <w:tcW w:w="2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w:t>
            </w:r>
          </w:p>
        </w:tc>
        <w:tc>
          <w:tcPr>
            <w:tcW w:w="34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30.54%</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named executive officers: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Ryan Mudd (8)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5% stockholders:</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Mink Brook Partners LP</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763,379</w:t>
            </w:r>
          </w:p>
        </w:tc>
        <w:tc>
          <w:tcPr>
            <w:tcW w:w="20" w:type="dxa"/>
            <w:vAlign w:val="bottom"/>
          </w:tcPr>
          <w:p>
            <w:pPr>
              <w:spacing w:after="0"/>
              <w:rPr>
                <w:sz w:val="18"/>
                <w:szCs w:val="18"/>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5.81%</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Run Strategic Opportunities Fund I, LP (10)</w:t>
            </w:r>
          </w:p>
        </w:tc>
        <w:tc>
          <w:tcPr>
            <w:tcW w:w="15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1,752,279(11)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NR-SOF I (Co-Invest I), LP (12)</w:t>
            </w:r>
          </w:p>
        </w:tc>
        <w:tc>
          <w:tcPr>
            <w:tcW w:w="15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350,456(13)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75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55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660" w:hanging="330"/>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35" w:lineRule="exact"/>
        <w:rPr>
          <w:sz w:val="20"/>
          <w:szCs w:val="20"/>
          <w:color w:val="auto"/>
        </w:rPr>
      </w:pPr>
    </w:p>
    <w:p>
      <w:pPr>
        <w:jc w:val="both"/>
        <w:ind w:left="660" w:hanging="330"/>
        <w:spacing w:after="0" w:line="280"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Series A Preferred Stock generally are entitled to vote on an as-converted basis with holders of the Common Stock, subject to the Beneficial Ownership Limitation and the Exchange Cap limitation, on all matters on which holders of Common Stock are entitled to vote, voting</w:t>
      </w:r>
    </w:p>
    <w:p>
      <w:pPr>
        <w:sectPr>
          <w:pgSz w:w="11900" w:h="16840" w:orient="portrait"/>
          <w:cols w:equalWidth="0" w:num="1">
            <w:col w:w="11240"/>
          </w:cols>
          <w:pgMar w:left="320" w:top="121" w:right="339" w:bottom="0" w:gutter="0" w:footer="0" w:header="0"/>
        </w:sectPr>
      </w:pPr>
    </w:p>
    <w:bookmarkStart w:id="50" w:name="page51"/>
    <w:bookmarkEnd w:id="50"/>
    <w:p>
      <w:pPr>
        <w:jc w:val="both"/>
        <w:spacing w:after="0" w:line="257" w:lineRule="auto"/>
        <w:rPr>
          <w:sz w:val="20"/>
          <w:szCs w:val="20"/>
          <w:color w:val="auto"/>
        </w:rPr>
      </w:pPr>
      <w:r>
        <w:rPr>
          <w:rFonts w:ascii="Times New Roman" w:cs="Times New Roman" w:eastAsia="Times New Roman" w:hAnsi="Times New Roman"/>
          <w:sz w:val="18"/>
          <w:szCs w:val="18"/>
          <w:color w:val="auto"/>
        </w:rPr>
        <w:t>together with the Common Stock as a single class. Each share of Series A Preferred Stock is convertible into the number of shares common stock at the Conversion Rate calculated by dividing (i) the Stated Value of $1,000 plus an amount per share equal to dividends accrued and unpaid on such share through the date of determination, by (ii) by the Conversion Price of $3.00, subject to conversion limitations resulting from the Beneficial Ownership Limitation and the Exchange Cap limitation set forth in the Certificate of Designations and described elsewhere in this Report.</w:t>
      </w:r>
    </w:p>
    <w:p>
      <w:pPr>
        <w:spacing w:after="0" w:line="18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85090</wp:posOffset>
            </wp:positionV>
            <wp:extent cx="71329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left="660" w:hanging="330"/>
        <w:spacing w:after="0" w:line="25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302,601 shares held by Mr. Mills individually, (ii) 653,334 shares issuable upon the exercise of outstanding stock options, (iii) 150,000 shares issuable upon the vesting of outstanding restricted stock units, and (iv) 29,325 shares held by RFK Communications, LLC (“RFK”). Mr. Mills serves as the sole manager of RFK and has sole voting and investment power over shares of the Company held by RFK.</w:t>
      </w:r>
    </w:p>
    <w:p>
      <w:pPr>
        <w:spacing w:after="0" w:line="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20,000 shares issuable upon the exercise of outstanding stock options.</w:t>
      </w:r>
    </w:p>
    <w:p>
      <w:pPr>
        <w:spacing w:after="0" w:line="16" w:lineRule="exact"/>
        <w:rPr>
          <w:rFonts w:ascii="Times New Roman" w:cs="Times New Roman" w:eastAsia="Times New Roman" w:hAnsi="Times New Roman"/>
          <w:sz w:val="18"/>
          <w:szCs w:val="18"/>
          <w:color w:val="auto"/>
        </w:rPr>
      </w:pPr>
    </w:p>
    <w:p>
      <w:pPr>
        <w:jc w:val="both"/>
        <w:ind w:left="660" w:hanging="330"/>
        <w:spacing w:after="0" w:line="253"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shares issuable upon conversion of Series A Preferred Stock directly held by North Run Strategic Opportunities Fund I, LP (“NR-SOF”) and NR-SOF I (Co-Invest I), LP (“NR Co-Invest”), taking into account the Beneficial Ownership Limitation and the Exchange Cap limitation. Such shares may be deemed to be indirectly beneficially owned by North Run Strategic Opportunities Fund I GP, LLC (“NR GP”) as the general partner of NR-SOF and NR Co-Invest. Mr. Ellis, as a member of NR GP, may also be deemed to indirectly beneficially own the Series A Preferred Stock held by NR-SOF and NR Co-Invest. Mr. Ellis disclaims beneficial ownership of the reported securities except to the extent of his pecuniary interest therein.</w:t>
      </w:r>
    </w:p>
    <w:p>
      <w:pPr>
        <w:jc w:val="both"/>
        <w:ind w:left="660" w:hanging="330"/>
        <w:spacing w:after="0" w:line="249"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25,000 shares of Series A Preferred Stock directly held by NR-SOF and 5,000 shares of Series A Preferred Stock directly held by NR Co-Invest. Such shares may be deemed to be indirectly beneficially owned by NR GP as the general partner of NR-SOF and NR Co-Invest. Mr. Ellis, as a member of NR GP, may also be deemed to indirectly beneficially own the Series A Preferred Stock held by NR-SOF and NR Co-Invest. Mr. Ellis disclaims beneficial ownership of the reported securities except to the extent of his pecuniary interest therein.</w:t>
      </w:r>
    </w:p>
    <w:p>
      <w:pPr>
        <w:spacing w:after="0" w:line="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Tamra Koshewa was appointed as the Chief Financial Officer of the Company effective December 1, 2025.</w:t>
      </w:r>
    </w:p>
    <w:p>
      <w:pPr>
        <w:spacing w:after="0" w:line="16" w:lineRule="exact"/>
        <w:rPr>
          <w:rFonts w:ascii="Times New Roman" w:cs="Times New Roman" w:eastAsia="Times New Roman" w:hAnsi="Times New Roman"/>
          <w:sz w:val="18"/>
          <w:szCs w:val="18"/>
          <w:color w:val="auto"/>
        </w:rPr>
      </w:pPr>
    </w:p>
    <w:p>
      <w:pPr>
        <w:ind w:left="660" w:hanging="330"/>
        <w:spacing w:after="0" w:line="260"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total of 863,334 shares issuable upon the exercise of outstanding stock options and, without duplication, 2,102,733 shares currently issuable upon conversion of Series A Preferred Stock.</w:t>
      </w:r>
    </w:p>
    <w:p>
      <w:pPr>
        <w:ind w:left="660" w:hanging="330"/>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Mudd served as the Chief Financial Officer of the Company until October 10, 2025.</w:t>
      </w:r>
    </w:p>
    <w:p>
      <w:pPr>
        <w:spacing w:after="0" w:line="16" w:lineRule="exact"/>
        <w:rPr>
          <w:rFonts w:ascii="Times New Roman" w:cs="Times New Roman" w:eastAsia="Times New Roman" w:hAnsi="Times New Roman"/>
          <w:sz w:val="18"/>
          <w:szCs w:val="18"/>
          <w:color w:val="auto"/>
        </w:rPr>
      </w:pPr>
    </w:p>
    <w:p>
      <w:pPr>
        <w:jc w:val="both"/>
        <w:ind w:left="660" w:hanging="330"/>
        <w:spacing w:after="0" w:line="253"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on Amendment No. 1 to Schedule 13G filed on April 6, 2026 by (i) Mink Brook Asset Management LLC, (ii) Mink Brook Partners LP, (iii) Mink Brook Capital GP LLC, and (iv) William Mueller. As the general partner to Mink Brook Partners LP, Mink Brook Capital GP LLC may be deemed to have shared power to vote or to direct the vote and to dispose of or to direct the disposition of the shares held by Mink Brook Partners LP. As the managing member of Mink Brook Capital GP LLC and Mink Brook Asset Management LLC, William Mueller may be deemed to have shared power to vote or to direct the vote and to dispose or to direct the disposition of the shares held by Mink Brook Partners LP. Such beneficial ownership is expressly disclaimed, except to the extent of their respective pecuniary interests therein.</w:t>
      </w:r>
    </w:p>
    <w:p>
      <w:pPr>
        <w:jc w:val="both"/>
        <w:ind w:left="660" w:hanging="330"/>
        <w:spacing w:after="0" w:line="251"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on Schedule 13D filed on November 14, 2025 by (i) NR-SOF, (ii) NR Co-Invest, (iii) NR GP, (iv) Todd B. Hammer, and (v) Thomas B. Ellis, as well as information known to us. Securities held by NR-SOF may be deemed to be indirectly beneficially owned by NR GP as the general partner of NR-SOF. Messrs. Hammer and Ellis, as members of NR GP, may also be deemed to indirectly beneficially own the Series A Preferred Stock held by NR-SOF. NR GP and Messrs. Hammer and Ellis disclaim beneficial ownership of the reported securities except to the extent of their respective pecuniary interest therein.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left="660" w:hanging="330"/>
        <w:spacing w:after="0" w:line="254"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initially issuable upon conversion of shares of Series A Preferred Stock. The reported beneficial ownership excludes an additional 6,581,055 shares of Common Stock initially issuable upon conversion of the Series A Preferred Stock that are not presently issuable due to the Beneficial Ownership Limitation and the Exchange Cap limitation set forth in the Certificate of Designations and described elsewhere in this Report.</w:t>
      </w:r>
    </w:p>
    <w:p>
      <w:pPr>
        <w:spacing w:after="0" w:line="3" w:lineRule="exact"/>
        <w:rPr>
          <w:rFonts w:ascii="Times New Roman" w:cs="Times New Roman" w:eastAsia="Times New Roman" w:hAnsi="Times New Roman"/>
          <w:sz w:val="18"/>
          <w:szCs w:val="18"/>
          <w:color w:val="auto"/>
        </w:rPr>
      </w:pPr>
    </w:p>
    <w:p>
      <w:pPr>
        <w:jc w:val="both"/>
        <w:ind w:left="660" w:hanging="330"/>
        <w:spacing w:after="0" w:line="249"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on Schedule 13D filed on November 14, 2025 by (i) NR-SOF, (ii) NR Co-Invest, (iii) NR GP, (iv) Todd B. Hammer, and (v) Thomas B. Ellis, as well as information known to us. Securities held by NR Co-Invest may be deemed to be indirectly beneficially owned by NR GP as the general partner of NR Co-Invest. Messrs. Hammer and Ellis, as members of NR GP, may also be deemed to indirectly beneficially own the Series A Preferred Stock held by NR Co-Invest. NR GP and Messrs. Hammer and Ellis disclaim beneficial ownership of the reported securities except to the extent of their respective pecuniary interest therein.</w:t>
      </w:r>
    </w:p>
    <w:p>
      <w:pPr>
        <w:spacing w:after="0" w:line="2" w:lineRule="exact"/>
        <w:rPr>
          <w:rFonts w:ascii="Times New Roman" w:cs="Times New Roman" w:eastAsia="Times New Roman" w:hAnsi="Times New Roman"/>
          <w:sz w:val="18"/>
          <w:szCs w:val="18"/>
          <w:color w:val="auto"/>
        </w:rPr>
      </w:pPr>
    </w:p>
    <w:p>
      <w:pPr>
        <w:jc w:val="both"/>
        <w:ind w:left="660" w:hanging="330"/>
        <w:spacing w:after="0" w:line="25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initially issuable upon conversion of shares of Series A Preferred Stock. The reported beneficial ownership excludes an additional 1,316,211 shares of Common Stock initially issuable upon conversion of the Series A Preferred Stock that are not presently issuable due to the Beneficial Ownership Limitation and the Exchange Cap limitation set forth in the Certificate of Designations and described elsewhere in this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7" w:lineRule="exact"/>
        <w:rPr>
          <w:sz w:val="20"/>
          <w:szCs w:val="20"/>
          <w:color w:val="auto"/>
        </w:rPr>
      </w:pPr>
    </w:p>
    <w:p>
      <w:pPr>
        <w:ind w:firstLine="646"/>
        <w:spacing w:after="0" w:line="280" w:lineRule="auto"/>
        <w:rPr>
          <w:sz w:val="20"/>
          <w:szCs w:val="20"/>
          <w:color w:val="auto"/>
        </w:rPr>
      </w:pPr>
      <w:r>
        <w:rPr>
          <w:rFonts w:ascii="Times New Roman" w:cs="Times New Roman" w:eastAsia="Times New Roman" w:hAnsi="Times New Roman"/>
          <w:sz w:val="18"/>
          <w:szCs w:val="18"/>
          <w:color w:val="auto"/>
        </w:rPr>
        <w:t>The table below sets forth certain information, as of the close of business on December 31, 2025, regarding equity compensation plans (including individual compensation arrangements) under which our securities were then authorized for issuance.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5"/>
        </w:trPr>
        <w:tc>
          <w:tcPr>
            <w:tcW w:w="4760" w:type="dxa"/>
            <w:vAlign w:val="bottom"/>
          </w:tcPr>
          <w:p>
            <w:pPr>
              <w:spacing w:after="0"/>
              <w:rPr>
                <w:sz w:val="18"/>
                <w:szCs w:val="18"/>
                <w:color w:val="auto"/>
              </w:rPr>
            </w:pP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5"/>
        </w:trPr>
        <w:tc>
          <w:tcPr>
            <w:tcW w:w="476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5"/>
              </w:rPr>
              <w:t>to be</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Available for Issuance</w:t>
            </w:r>
          </w:p>
        </w:tc>
      </w:tr>
      <w:tr>
        <w:trPr>
          <w:trHeight w:val="215"/>
        </w:trPr>
        <w:tc>
          <w:tcPr>
            <w:tcW w:w="476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Issued Upon</w:t>
            </w: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 Equity</w:t>
            </w:r>
          </w:p>
        </w:tc>
      </w:tr>
      <w:tr>
        <w:trPr>
          <w:trHeight w:val="215"/>
        </w:trPr>
        <w:tc>
          <w:tcPr>
            <w:tcW w:w="476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 Plans</w:t>
            </w:r>
          </w:p>
        </w:tc>
      </w:tr>
      <w:tr>
        <w:trPr>
          <w:trHeight w:val="215"/>
        </w:trPr>
        <w:tc>
          <w:tcPr>
            <w:tcW w:w="476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Outstanding Options,</w:t>
            </w: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r>
      <w:tr>
        <w:trPr>
          <w:trHeight w:val="238"/>
        </w:trPr>
        <w:tc>
          <w:tcPr>
            <w:tcW w:w="4760" w:type="dxa"/>
            <w:vAlign w:val="bottom"/>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 and Rights</w:t>
            </w:r>
          </w:p>
        </w:tc>
        <w:tc>
          <w:tcPr>
            <w:tcW w:w="18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2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reflected in column (a))</w:t>
            </w:r>
          </w:p>
        </w:tc>
        <w:tc>
          <w:tcPr>
            <w:tcW w:w="220" w:type="dxa"/>
            <w:vAlign w:val="bottom"/>
          </w:tcPr>
          <w:p>
            <w:pPr>
              <w:spacing w:after="0"/>
              <w:rPr>
                <w:sz w:val="20"/>
                <w:szCs w:val="20"/>
                <w:color w:val="auto"/>
              </w:rPr>
            </w:pPr>
          </w:p>
        </w:tc>
      </w:tr>
      <w:tr>
        <w:trPr>
          <w:trHeight w:val="20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2060" w:type="dxa"/>
            <w:vAlign w:val="bottom"/>
            <w:gridSpan w:val="2"/>
            <w:shd w:val="clear" w:color="auto" w:fill="CCEEFF"/>
          </w:tcPr>
          <w:p>
            <w:pPr>
              <w:jc w:val="right"/>
              <w:spacing w:after="0" w:line="209" w:lineRule="exact"/>
              <w:rPr>
                <w:sz w:val="20"/>
                <w:szCs w:val="20"/>
                <w:color w:val="auto"/>
              </w:rPr>
            </w:pPr>
            <w:r>
              <w:rPr>
                <w:rFonts w:ascii="Times New Roman" w:cs="Times New Roman" w:eastAsia="Times New Roman" w:hAnsi="Times New Roman"/>
                <w:sz w:val="15"/>
                <w:szCs w:val="15"/>
                <w:color w:val="auto"/>
              </w:rPr>
              <w:t>3,064,564</w:t>
            </w:r>
            <w:r>
              <w:rPr>
                <w:rFonts w:ascii="Times New Roman" w:cs="Times New Roman" w:eastAsia="Times New Roman" w:hAnsi="Times New Roman"/>
                <w:sz w:val="24"/>
                <w:szCs w:val="24"/>
                <w:color w:val="auto"/>
                <w:vertAlign w:val="superscript"/>
              </w:rPr>
              <w:t>(1)</w:t>
            </w:r>
          </w:p>
        </w:tc>
        <w:tc>
          <w:tcPr>
            <w:tcW w:w="220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4.20</w:t>
            </w:r>
          </w:p>
        </w:tc>
        <w:tc>
          <w:tcPr>
            <w:tcW w:w="2220" w:type="dxa"/>
            <w:vAlign w:val="bottom"/>
            <w:gridSpan w:val="2"/>
            <w:shd w:val="clear" w:color="auto" w:fill="CCEEFF"/>
          </w:tcPr>
          <w:p>
            <w:pPr>
              <w:jc w:val="center"/>
              <w:spacing w:after="0" w:line="209" w:lineRule="exact"/>
              <w:rPr>
                <w:sz w:val="20"/>
                <w:szCs w:val="20"/>
                <w:color w:val="auto"/>
              </w:rPr>
            </w:pPr>
            <w:r>
              <w:rPr>
                <w:rFonts w:ascii="Times New Roman" w:cs="Times New Roman" w:eastAsia="Times New Roman" w:hAnsi="Times New Roman"/>
                <w:sz w:val="15"/>
                <w:szCs w:val="15"/>
                <w:color w:val="auto"/>
              </w:rPr>
              <w:t xml:space="preserve">911,000 </w:t>
            </w:r>
            <w:r>
              <w:rPr>
                <w:rFonts w:ascii="Times New Roman" w:cs="Times New Roman" w:eastAsia="Times New Roman" w:hAnsi="Times New Roman"/>
                <w:sz w:val="24"/>
                <w:szCs w:val="24"/>
                <w:color w:val="auto"/>
                <w:vertAlign w:val="superscript"/>
              </w:rPr>
              <w:t>(2)</w:t>
            </w: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None</w:t>
            </w:r>
          </w:p>
        </w:tc>
        <w:tc>
          <w:tcPr>
            <w:tcW w:w="220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N/A</w:t>
            </w:r>
          </w:p>
        </w:tc>
        <w:tc>
          <w:tcPr>
            <w:tcW w:w="2220" w:type="dxa"/>
            <w:vAlign w:val="bottom"/>
            <w:gridSpan w:val="2"/>
          </w:tcPr>
          <w:p>
            <w:pPr>
              <w:jc w:val="center"/>
              <w:ind w:left="1312"/>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178" w:lineRule="exact"/>
        <w:rPr>
          <w:sz w:val="20"/>
          <w:szCs w:val="20"/>
          <w:color w:val="auto"/>
        </w:rPr>
      </w:pPr>
    </w:p>
    <w:p>
      <w:pPr>
        <w:ind w:left="340" w:hanging="332"/>
        <w:spacing w:after="0" w:line="280"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reflected are issuable upon exercise of outstanding stock options and restricted stock units issued under the 2014 Stock Incentive Plan and the Company’s 2023 Stock Incentive Plan, as amended. The Company’s ability to issue new awards under its 2014 Stock Incentive Plan expired in 2023.</w:t>
      </w:r>
    </w:p>
    <w:p>
      <w:pPr>
        <w:spacing w:after="0" w:line="162" w:lineRule="exact"/>
        <w:rPr>
          <w:rFonts w:ascii="Times New Roman" w:cs="Times New Roman" w:eastAsia="Times New Roman" w:hAnsi="Times New Roman"/>
          <w:sz w:val="18"/>
          <w:szCs w:val="18"/>
          <w:color w:val="auto"/>
        </w:rPr>
      </w:pPr>
    </w:p>
    <w:p>
      <w:pPr>
        <w:ind w:left="340" w:hanging="332"/>
        <w:spacing w:after="0" w:line="280"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18, 2024, the Company’s shareholders approved the Company’s 2023 Stock Incentive Plan, which authorizes the issuance of up to 2,500,000 shares.</w:t>
      </w:r>
    </w:p>
    <w:p>
      <w:pPr>
        <w:spacing w:after="0" w:line="161" w:lineRule="exact"/>
        <w:rPr>
          <w:sz w:val="20"/>
          <w:szCs w:val="20"/>
          <w:color w:val="auto"/>
        </w:rPr>
      </w:pPr>
    </w:p>
    <w:p>
      <w:pPr>
        <w:jc w:val="both"/>
        <w:ind w:firstLine="646"/>
        <w:spacing w:after="0" w:line="282" w:lineRule="auto"/>
        <w:rPr>
          <w:sz w:val="20"/>
          <w:szCs w:val="20"/>
          <w:color w:val="auto"/>
        </w:rPr>
      </w:pPr>
      <w:r>
        <w:rPr>
          <w:rFonts w:ascii="Times New Roman" w:cs="Times New Roman" w:eastAsia="Times New Roman" w:hAnsi="Times New Roman"/>
          <w:sz w:val="18"/>
          <w:szCs w:val="18"/>
          <w:color w:val="auto"/>
        </w:rPr>
        <w:t>For information regarding the material features of each of the above plans see Note 15</w:t>
      </w:r>
      <w:r>
        <w:rPr>
          <w:rFonts w:ascii="Times New Roman" w:cs="Times New Roman" w:eastAsia="Times New Roman" w:hAnsi="Times New Roman"/>
          <w:sz w:val="18"/>
          <w:szCs w:val="18"/>
          <w:i w:val="1"/>
          <w:iCs w:val="1"/>
          <w:color w:val="auto"/>
        </w:rPr>
        <w:t>, Stock-based Compensation,</w:t>
      </w:r>
      <w:r>
        <w:rPr>
          <w:rFonts w:ascii="Times New Roman" w:cs="Times New Roman" w:eastAsia="Times New Roman" w:hAnsi="Times New Roman"/>
          <w:sz w:val="18"/>
          <w:szCs w:val="18"/>
          <w:color w:val="auto"/>
        </w:rPr>
        <w:t xml:space="preserve"> in our Consolidated Financial Statements included in this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currency in this Item 13 is in thousands, except share and per share amounts.)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North Run Securities Purchase Agreement</w:t>
      </w:r>
    </w:p>
    <w:p>
      <w:pPr>
        <w:spacing w:after="0" w:line="227"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 xml:space="preserve">On October 15, 2025, we entered into a Securities Purchase Agreement (the “Securities Purchase Agreement”) with North Run Strategic Opportunities Fund I, LP (the “Lead Investor”) and NR-SOF I (Co-Invest I), LP (together with the Lead Investor, the “Buyers”), each an affiliate of North Run Capital, LP (“North Run”), pursuant to which we agreed to sell in a private placement (the “Offering”), for an aggregate gross purchase price of $30,000, an aggregate of 30,000 shares of a newly established series of preferred stock, par value $0.01 per share, to be designated as Series A Convertible Preferred Stock (the “Preferred Shares”). On November 5, 2025, in anticipation of the closing of the Offering, we filed the Certificate of Designations with the Secretary of State of the State of Minnesota, which established the designations, preferences, powers and rights of the Preferred Shares. The closing of the purchase and sale of the Preferred Shares occurred on November 6, 2025. We used net proceeds from the Offering to pay a portion of the purchase price for our acquisition of the business of Cineplex Digital Media Inc. and its affiliates. See Note 9, </w:t>
      </w:r>
      <w:r>
        <w:rPr>
          <w:rFonts w:ascii="Times New Roman" w:cs="Times New Roman" w:eastAsia="Times New Roman" w:hAnsi="Times New Roman"/>
          <w:sz w:val="18"/>
          <w:szCs w:val="18"/>
          <w:i w:val="1"/>
          <w:iCs w:val="1"/>
          <w:color w:val="auto"/>
        </w:rPr>
        <w:t>Series A Redeemable Convertible Preferred Stock</w:t>
      </w:r>
      <w:r>
        <w:rPr>
          <w:rFonts w:ascii="Times New Roman" w:cs="Times New Roman" w:eastAsia="Times New Roman" w:hAnsi="Times New Roman"/>
          <w:sz w:val="18"/>
          <w:szCs w:val="18"/>
          <w:color w:val="auto"/>
        </w:rPr>
        <w:t>, for a description of the terms of the Securities Purchase Agreement. Thomas B. Ellis, a director of the Company, is affiliated with North Run Capital, LP.</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CDM Acquisition</w:t>
      </w:r>
    </w:p>
    <w:p>
      <w:pPr>
        <w:spacing w:after="0" w:line="227"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Daniel McGrath is the Chief Operating Officer of Cineplex Inc., the parent company of and Cineplex Entertainment Limited Partnership, a Manitoba limited partnership (“Cineplex”). Prior to Mr. McGrath’s appointment to the Board of Directors, on October 15, 2025, the Company entered into a Share Purchase Agreement (the “Share Purchase Agreement”) with its wholly owned subsidiary, 1001372953 Ontario Inc., an Ontario corporation and Cineplex to acquire DDC Group International, Inc., an Ontario corporation and wholly owned subsidiary of Cineplex (“DDC”). DDC is the parent company of its wholly owned subsidiary, Cineplex Digital Media Inc., an Ontario corporation (“CDMI”), and CDMI’s wholly owned subsidiary, Cineplex Digital Media US Inc., a Delaware corporation (“CDMUS”). In this Report, DDC, CDMI and CDMUS are collectively referred to as “CDM”, and such acquisition is referred to as the “CDM Acquisition.”</w:t>
      </w:r>
    </w:p>
    <w:p>
      <w:pPr>
        <w:spacing w:after="0" w:line="189"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 xml:space="preserve">On November 7, 2025, the parties consummated the transactions contemplated by the Share Purchase Agreement. Upon the terms and conditions of the Share Purchase Agreement, at the closing of the CDM Acquisition, the Company (indirectly through 1001372953 Ontario Inc.) acquired ownership of all of the issued and outstanding capital shares of DDC for a total purchase price of approximately CAD $70,000, subject to customary purchase price adjustments. The final purchase price after adjustments was approximately CAD $60,263 (or approximately USD $42,761). See Note 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for a description of the terms of the Share Purchase Agreement.</w:t>
      </w:r>
    </w:p>
    <w:p>
      <w:pPr>
        <w:spacing w:after="0" w:line="183"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The foregoing transactions were approved by our Board of Directors after full disclosure of any conflicts of interest. No directors at the time of the approval of the Board of Directors had any conflicting interest in the transactions.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22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Board of Directors has not created a separate committee for nomination or corporate governance. Instead, the entire Board of Directors shares the responsibility of identifying potential director-nominees to serve on the Board of Directors. Nevertheless, nominees to serve as directors on our Board of Directors are selected by those directors on our board who are independent.</w:t>
      </w:r>
    </w:p>
    <w:p>
      <w:pPr>
        <w:spacing w:after="0" w:line="175"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Board of Directors has determined that there are presently three “independent” directors, as such term is defined in Section 5605(a)(2) of the Nasdaq listing rules, each of whom also meets the criteria for independence set forth in Rule 10A-3(b)(1) under the Securities Exchange Act of 1934. The directors whom the board has determined to be independent are Messrs. Bell, Harris, and Nesbit.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7" w:lineRule="exact"/>
        <w:rPr>
          <w:sz w:val="20"/>
          <w:szCs w:val="20"/>
          <w:color w:val="auto"/>
        </w:rPr>
      </w:pPr>
    </w:p>
    <w:p>
      <w:pPr>
        <w:jc w:val="both"/>
        <w:ind w:right="20" w:firstLine="646"/>
        <w:spacing w:after="0" w:line="280" w:lineRule="auto"/>
        <w:rPr>
          <w:sz w:val="20"/>
          <w:szCs w:val="20"/>
          <w:color w:val="auto"/>
        </w:rPr>
      </w:pPr>
      <w:r>
        <w:rPr>
          <w:rFonts w:ascii="Times New Roman" w:cs="Times New Roman" w:eastAsia="Times New Roman" w:hAnsi="Times New Roman"/>
          <w:sz w:val="18"/>
          <w:szCs w:val="18"/>
          <w:color w:val="auto"/>
        </w:rPr>
        <w:t>The following table presents fees (in thousands) for audit and other services provided by our principal accountant for 2024 and 2025, Grant Thornton LLP (“Grant Thornton”):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(a)</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8"/>
                <w:szCs w:val="18"/>
                <w:color w:val="auto"/>
              </w:rPr>
            </w:pPr>
          </w:p>
        </w:tc>
      </w:tr>
      <w:tr>
        <w:trPr>
          <w:trHeight w:val="215"/>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 (b)</w:t>
            </w:r>
          </w:p>
        </w:tc>
        <w:tc>
          <w:tcPr>
            <w:tcW w:w="9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5"/>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29"/>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r>
      <w:tr>
        <w:trPr>
          <w:trHeight w:val="222"/>
        </w:trPr>
        <w:tc>
          <w:tcPr>
            <w:tcW w:w="76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340" w:hanging="332"/>
        <w:spacing w:after="0" w:line="280"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for 2025 and 2024 relate to professional services provided in connection with the audit of our consolidated financial statements, the reviews of our quarterly condensed consolidated financial statements, and audit services provided in connection with other regulatory filings.</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related fees for 2025 related to financial due diligence in connection with CDM Acquisition.</w:t>
      </w:r>
    </w:p>
    <w:p>
      <w:pPr>
        <w:spacing w:after="0" w:line="223" w:lineRule="exact"/>
        <w:rPr>
          <w:sz w:val="20"/>
          <w:szCs w:val="20"/>
          <w:color w:val="auto"/>
        </w:rPr>
      </w:pPr>
    </w:p>
    <w:p>
      <w:pPr>
        <w:jc w:val="both"/>
        <w:ind w:right="20" w:firstLine="646"/>
        <w:spacing w:after="0" w:line="280" w:lineRule="auto"/>
        <w:rPr>
          <w:sz w:val="20"/>
          <w:szCs w:val="20"/>
          <w:color w:val="auto"/>
        </w:rPr>
      </w:pPr>
      <w:r>
        <w:rPr>
          <w:rFonts w:ascii="Times New Roman" w:cs="Times New Roman" w:eastAsia="Times New Roman" w:hAnsi="Times New Roman"/>
          <w:sz w:val="18"/>
          <w:szCs w:val="18"/>
          <w:color w:val="auto"/>
        </w:rPr>
        <w:t>Our Board of Directors pre-approved the audit services rendered by our principal accountant during 2025 and 2024 and concluded that such services were compatible with maintaining the auditor’s independence.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 of Audit Committee</w:t>
      </w:r>
    </w:p>
    <w:p>
      <w:pPr>
        <w:spacing w:after="0" w:line="227"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All services provided by our independent registered public accounting firm, Grant Thornton, are subject to pre-approval by our Audit Committee. The Audit Committee has authorized each of its members to approve services by our independent registered public accounting firm in the event there is a need for such approval prior to the next full Audit Committee meeting. Any interim approval given by an Audit Committee member must be reported to the Audit Committee no later than its next scheduled meeting. Before granting any approval, the Audit Committee (or a committee member if applicable) gives due consideration to whether approval of the proposed service will have a detrimental impact on the independence of our independent registered public accounting firm. The Audit Committee pre-approved all services provided by Grant Thornton during 2025.</w:t>
      </w:r>
    </w:p>
    <w:p>
      <w:pPr>
        <w:spacing w:after="0" w:line="18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7" w:lineRule="exact"/>
        <w:rPr>
          <w:sz w:val="20"/>
          <w:szCs w:val="20"/>
          <w:color w:val="auto"/>
        </w:rPr>
      </w:pPr>
    </w:p>
    <w:p>
      <w:pPr>
        <w:ind w:left="980" w:hanging="327"/>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“Index to Consolidated Financial Statements” on </w:t>
      </w:r>
      <w:r>
        <w:rPr>
          <w:rFonts w:ascii="Times New Roman" w:cs="Times New Roman" w:eastAsia="Times New Roman" w:hAnsi="Times New Roman"/>
          <w:sz w:val="18"/>
          <w:szCs w:val="18"/>
          <w:u w:val="single" w:color="auto"/>
          <w:color w:val="0000EE"/>
        </w:rPr>
        <w:t>page F-1</w:t>
      </w:r>
      <w:r>
        <w:rPr>
          <w:rFonts w:ascii="Times New Roman" w:cs="Times New Roman" w:eastAsia="Times New Roman" w:hAnsi="Times New Roman"/>
          <w:sz w:val="18"/>
          <w:szCs w:val="18"/>
          <w:color w:val="auto"/>
        </w:rPr>
        <w:t>.</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“Exhibit Index” on </w:t>
      </w:r>
      <w:r>
        <w:rPr>
          <w:rFonts w:ascii="Times New Roman" w:cs="Times New Roman" w:eastAsia="Times New Roman" w:hAnsi="Times New Roman"/>
          <w:sz w:val="18"/>
          <w:szCs w:val="18"/>
          <w:u w:val="single" w:color="auto"/>
          <w:color w:val="0000EE"/>
        </w:rPr>
        <w:t>page 45</w:t>
      </w:r>
      <w:r>
        <w:rPr>
          <w:rFonts w:ascii="Times New Roman" w:cs="Times New Roman" w:eastAsia="Times New Roman" w:hAnsi="Times New Roman"/>
          <w:sz w:val="18"/>
          <w:szCs w:val="18"/>
          <w:color w:val="auto"/>
        </w:rPr>
        <w:t>.</w:t>
      </w:r>
    </w:p>
    <w:p>
      <w:pPr>
        <w:spacing w:after="0" w:line="277"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21" w:right="339" w:bottom="367"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367"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0" w:type="dxa"/>
            <w:vAlign w:val="bottom"/>
            <w:gridSpan w:val="18"/>
          </w:tcPr>
          <w:p>
            <w:pPr>
              <w:jc w:val="center"/>
              <w:ind w:right="38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0"/>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gridSpan w:val="17"/>
          </w:tcPr>
          <w:p>
            <w:pPr>
              <w:ind w:left="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4"/>
                <w:szCs w:val="24"/>
                <w:color w:val="auto"/>
              </w:rPr>
            </w:pPr>
          </w:p>
        </w:tc>
        <w:tc>
          <w:tcPr>
            <w:tcW w:w="10140" w:type="dxa"/>
            <w:vAlign w:val="bottom"/>
            <w:gridSpan w:val="25"/>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Agreement and Plan of Merger, dated as of November 12, 2021, by and between the registrant, CRI Acquisition Corporation, Reflect</w:t>
              </w:r>
            </w:hyperlink>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60" w:type="dxa"/>
            <w:vAlign w:val="bottom"/>
            <w:tcBorders>
              <w:bottom w:val="single" w:sz="8" w:color="0000EE"/>
            </w:tcBorders>
            <w:gridSpan w:val="19"/>
          </w:tcPr>
          <w:p>
            <w:pPr>
              <w:spacing w:after="0" w:line="195"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Systems, Inc., and RSI Exit Corporation (incorporated by reference to Exhibit 2.1 to the registrant’s Current Report on Form 8-K filed on</w:t>
              </w:r>
            </w:hyperlink>
          </w:p>
        </w:tc>
        <w:tc>
          <w:tcPr>
            <w:tcW w:w="280" w:type="dxa"/>
            <w:vAlign w:val="bottom"/>
            <w:gridSpan w:val="6"/>
          </w:tcPr>
          <w:p>
            <w:pPr>
              <w:spacing w:after="0"/>
              <w:rPr>
                <w:sz w:val="16"/>
                <w:szCs w:val="16"/>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140" w:type="dxa"/>
            <w:vAlign w:val="bottom"/>
            <w:gridSpan w:val="25"/>
          </w:tcPr>
          <w:p>
            <w:pPr>
              <w:spacing w:after="0" w:line="195"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November 15, 2021)</w:t>
              </w:r>
            </w:hyperlink>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24"/>
                <w:szCs w:val="24"/>
                <w:color w:val="auto"/>
              </w:rPr>
            </w:pPr>
          </w:p>
        </w:tc>
        <w:tc>
          <w:tcPr>
            <w:tcW w:w="98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Amendment to Agreement and Plan of Merger, dated as of February 8, 2022, by and among the registrant, CRI Acquisition Corporation,</w:t>
              </w:r>
            </w:hyperlink>
          </w:p>
        </w:tc>
        <w:tc>
          <w:tcPr>
            <w:tcW w:w="340" w:type="dxa"/>
            <w:vAlign w:val="bottom"/>
            <w:gridSpan w:val="9"/>
          </w:tcPr>
          <w:p>
            <w:pPr>
              <w:spacing w:after="0"/>
              <w:rPr>
                <w:sz w:val="24"/>
                <w:szCs w:val="24"/>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20" w:type="dxa"/>
            <w:vAlign w:val="bottom"/>
            <w:tcBorders>
              <w:bottom w:val="single" w:sz="8" w:color="0000EE"/>
            </w:tcBorders>
            <w:gridSpan w:val="17"/>
          </w:tcPr>
          <w:p>
            <w:pPr>
              <w:spacing w:after="0" w:line="195"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Reflect Systems, Inc., and RSI Exit Corporation (incorporated by reference to Exhibit 2.1 to the registrant’s Current Report on Form 8-K</w:t>
              </w:r>
            </w:hyperlink>
          </w:p>
        </w:tc>
        <w:tc>
          <w:tcPr>
            <w:tcW w:w="320" w:type="dxa"/>
            <w:vAlign w:val="bottom"/>
            <w:gridSpan w:val="8"/>
          </w:tcPr>
          <w:p>
            <w:pPr>
              <w:spacing w:after="0"/>
              <w:rPr>
                <w:sz w:val="16"/>
                <w:szCs w:val="16"/>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140" w:type="dxa"/>
            <w:vAlign w:val="bottom"/>
            <w:gridSpan w:val="25"/>
          </w:tcPr>
          <w:p>
            <w:pPr>
              <w:spacing w:after="0" w:line="195"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filed February 9, 2022)</w:t>
              </w:r>
            </w:hyperlink>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4"/>
                <w:szCs w:val="24"/>
                <w:color w:val="auto"/>
              </w:rPr>
            </w:pPr>
          </w:p>
        </w:tc>
        <w:tc>
          <w:tcPr>
            <w:tcW w:w="100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Second Amendment to Agreement and Plan of Merger dated as of February 11, 2023 by and among the registrant, Reflect Systems, Inc. and</w:t>
              </w:r>
            </w:hyperlink>
          </w:p>
        </w:tc>
        <w:tc>
          <w:tcPr>
            <w:tcW w:w="80" w:type="dxa"/>
            <w:vAlign w:val="bottom"/>
            <w:gridSpan w:val="2"/>
          </w:tcPr>
          <w:p>
            <w:pPr>
              <w:spacing w:after="0"/>
              <w:rPr>
                <w:sz w:val="24"/>
                <w:szCs w:val="24"/>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140" w:type="dxa"/>
            <w:vAlign w:val="bottom"/>
            <w:gridSpan w:val="25"/>
          </w:tcPr>
          <w:p>
            <w:pPr>
              <w:spacing w:after="0" w:line="195"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RSI Exit Corporation (incorporated by reference to Exhibit 10.1 to the registrant’s Current Report on Form 8-K filed February 15, 2023)</w:t>
              </w:r>
            </w:hyperlink>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4"/>
                <w:szCs w:val="24"/>
                <w:color w:val="auto"/>
              </w:rPr>
            </w:pPr>
          </w:p>
        </w:tc>
        <w:tc>
          <w:tcPr>
            <w:tcW w:w="976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Third Amendment to Merger Agreement (incorporated by reference to Exhibit 10.1 to the registrant’s Current Report on Form 8-K filed</w:t>
              </w:r>
            </w:hyperlink>
          </w:p>
        </w:tc>
        <w:tc>
          <w:tcPr>
            <w:tcW w:w="20" w:type="dxa"/>
            <w:vAlign w:val="bottom"/>
            <w:tcBorders>
              <w:top w:val="single" w:sz="8" w:color="0000EE"/>
            </w:tcBorders>
          </w:tcPr>
          <w:p>
            <w:pPr>
              <w:spacing w:after="0"/>
              <w:rPr>
                <w:sz w:val="24"/>
                <w:szCs w:val="24"/>
                <w:color w:val="auto"/>
              </w:rPr>
            </w:pPr>
          </w:p>
        </w:tc>
        <w:tc>
          <w:tcPr>
            <w:tcW w:w="360" w:type="dxa"/>
            <w:vAlign w:val="bottom"/>
            <w:gridSpan w:val="10"/>
          </w:tcPr>
          <w:p>
            <w:pPr>
              <w:spacing w:after="0"/>
              <w:rPr>
                <w:sz w:val="24"/>
                <w:szCs w:val="24"/>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bottom w:val="single" w:sz="8" w:color="0000EE"/>
            </w:tcBorders>
            <w:gridSpan w:val="3"/>
          </w:tcPr>
          <w:p>
            <w:pPr>
              <w:spacing w:after="0" w:line="195" w:lineRule="exact"/>
              <w:rPr>
                <w:rFonts w:ascii="Times New Roman" w:cs="Times New Roman" w:eastAsia="Times New Roman" w:hAnsi="Times New Roman"/>
                <w:sz w:val="18"/>
                <w:szCs w:val="18"/>
                <w:color w:val="0000EE"/>
                <w:w w:val="98"/>
              </w:rPr>
            </w:pPr>
            <w:hyperlink r:id="rId73">
              <w:r>
                <w:rPr>
                  <w:rFonts w:ascii="Times New Roman" w:cs="Times New Roman" w:eastAsia="Times New Roman" w:hAnsi="Times New Roman"/>
                  <w:sz w:val="18"/>
                  <w:szCs w:val="18"/>
                  <w:color w:val="0000EE"/>
                  <w:w w:val="98"/>
                </w:rPr>
                <w:t>February 18, 2025)</w:t>
              </w:r>
            </w:hyperlink>
          </w:p>
        </w:tc>
        <w:tc>
          <w:tcPr>
            <w:tcW w:w="8760" w:type="dxa"/>
            <w:vAlign w:val="bottom"/>
            <w:gridSpan w:val="22"/>
          </w:tcPr>
          <w:p>
            <w:pPr>
              <w:spacing w:after="0"/>
              <w:rPr>
                <w:sz w:val="16"/>
                <w:szCs w:val="16"/>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4"/>
                <w:szCs w:val="24"/>
                <w:color w:val="auto"/>
              </w:rPr>
            </w:pPr>
          </w:p>
        </w:tc>
        <w:tc>
          <w:tcPr>
            <w:tcW w:w="98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Fourth Amendment to Merger Agreement (incorporated by reference to Exhibit 10.1 to the registrant’s Current Report on Form 8-K filed</w:t>
              </w:r>
            </w:hyperlink>
          </w:p>
        </w:tc>
        <w:tc>
          <w:tcPr>
            <w:tcW w:w="300" w:type="dxa"/>
            <w:vAlign w:val="bottom"/>
            <w:gridSpan w:val="7"/>
          </w:tcPr>
          <w:p>
            <w:pPr>
              <w:spacing w:after="0"/>
              <w:rPr>
                <w:sz w:val="24"/>
                <w:szCs w:val="24"/>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140" w:type="dxa"/>
            <w:vAlign w:val="bottom"/>
            <w:gridSpan w:val="25"/>
          </w:tcPr>
          <w:p>
            <w:pPr>
              <w:spacing w:after="0" w:line="195"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February, 24, 2025)</w:t>
              </w:r>
            </w:hyperlink>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4"/>
                <w:szCs w:val="24"/>
                <w:color w:val="auto"/>
              </w:rPr>
            </w:pPr>
          </w:p>
        </w:tc>
        <w:tc>
          <w:tcPr>
            <w:tcW w:w="10140" w:type="dxa"/>
            <w:vAlign w:val="bottom"/>
            <w:gridSpan w:val="25"/>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Settlement Agreement and Fifth Amendment to Merger Agreement dated March 14, 2025 among Creative Realities, Inc., Reflect Systems,</w:t>
              </w:r>
            </w:hyperlink>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960" w:type="dxa"/>
            <w:vAlign w:val="bottom"/>
            <w:tcBorders>
              <w:top w:val="single" w:sz="8" w:color="0000EE"/>
            </w:tcBorders>
            <w:gridSpan w:val="20"/>
          </w:tcPr>
          <w:p>
            <w:pPr>
              <w:spacing w:after="0" w:line="195"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Inc. and RSI Exit Corporation (incorporated by reference to Exhibit 10.1 to the registrant’s Current Report on Form 8-K filed March 17,</w:t>
              </w:r>
            </w:hyperlink>
          </w:p>
        </w:tc>
        <w:tc>
          <w:tcPr>
            <w:tcW w:w="180" w:type="dxa"/>
            <w:vAlign w:val="bottom"/>
            <w:gridSpan w:val="5"/>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900" w:type="dxa"/>
            <w:vAlign w:val="bottom"/>
          </w:tcPr>
          <w:p>
            <w:pPr>
              <w:spacing w:after="0"/>
              <w:rPr>
                <w:sz w:val="16"/>
                <w:szCs w:val="16"/>
                <w:color w:val="auto"/>
              </w:rPr>
            </w:pPr>
          </w:p>
        </w:tc>
        <w:tc>
          <w:tcPr>
            <w:tcW w:w="620" w:type="dxa"/>
            <w:vAlign w:val="bottom"/>
            <w:gridSpan w:val="3"/>
          </w:tcPr>
          <w:p>
            <w:pPr>
              <w:ind w:left="200"/>
              <w:spacing w:after="0" w:line="195" w:lineRule="exact"/>
              <w:rPr>
                <w:rFonts w:ascii="Times New Roman" w:cs="Times New Roman" w:eastAsia="Times New Roman" w:hAnsi="Times New Roman"/>
                <w:sz w:val="18"/>
                <w:szCs w:val="18"/>
                <w:color w:val="0000EE"/>
                <w:w w:val="95"/>
              </w:rPr>
            </w:pPr>
            <w:hyperlink r:id="rId75">
              <w:r>
                <w:rPr>
                  <w:rFonts w:ascii="Times New Roman" w:cs="Times New Roman" w:eastAsia="Times New Roman" w:hAnsi="Times New Roman"/>
                  <w:sz w:val="18"/>
                  <w:szCs w:val="18"/>
                  <w:color w:val="0000EE"/>
                  <w:w w:val="95"/>
                </w:rPr>
                <w:t>2025)</w:t>
              </w:r>
            </w:hyperlink>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10140" w:type="dxa"/>
            <w:vAlign w:val="bottom"/>
            <w:gridSpan w:val="25"/>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Articles of Incorporation, as amended (incorporated by reference to Exhibit 3.1 to the Registrant’s Annual Report on Form 10-K for the</w:t>
              </w:r>
            </w:hyperlink>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760" w:type="dxa"/>
            <w:vAlign w:val="bottom"/>
            <w:tcBorders>
              <w:top w:val="single" w:sz="8" w:color="0000EE"/>
            </w:tcBorders>
            <w:gridSpan w:val="14"/>
          </w:tcPr>
          <w:p>
            <w:pPr>
              <w:spacing w:after="0" w:line="195"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fiscal year ended December 31, 2023 filed with the SEC on March 21, 2024)</w:t>
              </w:r>
            </w:hyperlink>
          </w:p>
        </w:tc>
        <w:tc>
          <w:tcPr>
            <w:tcW w:w="380" w:type="dxa"/>
            <w:vAlign w:val="bottom"/>
            <w:gridSpan w:val="11"/>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40" w:type="dxa"/>
            <w:vAlign w:val="bottom"/>
            <w:gridSpan w:val="7"/>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100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Certificate of Designations, Preferences and Rights of Series A Convertible Preferred Stock (incorporated by reference to Exhibit 3.1 to the</w:t>
              </w:r>
            </w:hyperlink>
          </w:p>
        </w:tc>
        <w:tc>
          <w:tcPr>
            <w:tcW w:w="100" w:type="dxa"/>
            <w:vAlign w:val="bottom"/>
            <w:gridSpan w:val="3"/>
          </w:tcPr>
          <w:p>
            <w:pPr>
              <w:spacing w:after="0"/>
              <w:rPr>
                <w:sz w:val="24"/>
                <w:szCs w:val="24"/>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40" w:type="dxa"/>
            <w:vAlign w:val="bottom"/>
            <w:tcBorders>
              <w:bottom w:val="single" w:sz="8" w:color="0000EE"/>
            </w:tcBorders>
            <w:gridSpan w:val="11"/>
          </w:tcPr>
          <w:p>
            <w:pPr>
              <w:spacing w:after="0" w:line="195"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registrant’s Current Report on Form 8-K filed with the SEC on November 12, 2025)</w:t>
              </w:r>
            </w:hyperlink>
          </w:p>
        </w:tc>
        <w:tc>
          <w:tcPr>
            <w:tcW w:w="4100" w:type="dxa"/>
            <w:vAlign w:val="bottom"/>
            <w:gridSpan w:val="14"/>
          </w:tcPr>
          <w:p>
            <w:pPr>
              <w:spacing w:after="0"/>
              <w:rPr>
                <w:sz w:val="16"/>
                <w:szCs w:val="16"/>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4"/>
                <w:szCs w:val="24"/>
                <w:color w:val="auto"/>
              </w:rPr>
            </w:pPr>
          </w:p>
        </w:tc>
        <w:tc>
          <w:tcPr>
            <w:tcW w:w="96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Amended and Restated Bylaws (incorporated by reference to the registrant’s Current Report on Form 8-K filed on November 2, 2011)</w:t>
              </w:r>
            </w:hyperlink>
          </w:p>
        </w:tc>
        <w:tc>
          <w:tcPr>
            <w:tcW w:w="520" w:type="dxa"/>
            <w:vAlign w:val="bottom"/>
            <w:gridSpan w:val="12"/>
          </w:tcPr>
          <w:p>
            <w:pPr>
              <w:spacing w:after="0"/>
              <w:rPr>
                <w:sz w:val="24"/>
                <w:szCs w:val="24"/>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10140" w:type="dxa"/>
            <w:vAlign w:val="bottom"/>
            <w:gridSpan w:val="25"/>
          </w:tcPr>
          <w:p>
            <w:pPr>
              <w:spacing w:after="0"/>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Specimen certificate evidencing shares of Common Stock (incorporated by reference to Exhibit 4.2 of the registrant’s Registration Statement</w:t>
              </w:r>
            </w:hyperlink>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100" w:type="dxa"/>
            <w:vAlign w:val="bottom"/>
            <w:tcBorders>
              <w:top w:val="single" w:sz="8" w:color="0000EE"/>
            </w:tcBorders>
            <w:gridSpan w:val="24"/>
          </w:tcPr>
          <w:p>
            <w:pPr>
              <w:spacing w:after="0" w:line="195"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on Form SB-2 (File No. 333-136972))</w:t>
              </w:r>
            </w:hyperlink>
          </w:p>
        </w:tc>
        <w:tc>
          <w:tcPr>
            <w:tcW w:w="4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40" w:type="dxa"/>
            <w:vAlign w:val="bottom"/>
            <w:gridSpan w:val="7"/>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34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100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Description of Securities (incorporated by reference to Exhibit 4.2 to the registrant’s Annual Report on Form 10-K for the fiscal year ended</w:t>
              </w:r>
            </w:hyperlink>
          </w:p>
        </w:tc>
        <w:tc>
          <w:tcPr>
            <w:tcW w:w="140" w:type="dxa"/>
            <w:vAlign w:val="bottom"/>
            <w:gridSpan w:val="4"/>
          </w:tcPr>
          <w:p>
            <w:pPr>
              <w:spacing w:after="0"/>
              <w:rPr>
                <w:sz w:val="24"/>
                <w:szCs w:val="24"/>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140" w:type="dxa"/>
            <w:vAlign w:val="bottom"/>
            <w:gridSpan w:val="25"/>
          </w:tcPr>
          <w:p>
            <w:pPr>
              <w:spacing w:after="0" w:line="195"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December 31, 2023 filed with the SEC on March 21, 2024)</w:t>
              </w:r>
            </w:hyperlink>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8"/>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380" w:type="dxa"/>
            <w:vAlign w:val="bottom"/>
            <w:gridSpan w:val="1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4"/>
                <w:szCs w:val="24"/>
                <w:color w:val="auto"/>
              </w:rPr>
            </w:pPr>
          </w:p>
        </w:tc>
        <w:tc>
          <w:tcPr>
            <w:tcW w:w="10140" w:type="dxa"/>
            <w:vAlign w:val="bottom"/>
            <w:gridSpan w:val="25"/>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Investor Warrant dated June 30, 2022 (incorporated by reference to Exhibit 10.2 of the registrant’s Current Report on Form 8-K filed July 7,</w:t>
              </w:r>
            </w:hyperlink>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900" w:type="dxa"/>
            <w:vAlign w:val="bottom"/>
          </w:tcPr>
          <w:p>
            <w:pPr>
              <w:spacing w:after="0"/>
              <w:rPr>
                <w:sz w:val="16"/>
                <w:szCs w:val="16"/>
                <w:color w:val="auto"/>
              </w:rPr>
            </w:pPr>
          </w:p>
        </w:tc>
        <w:tc>
          <w:tcPr>
            <w:tcW w:w="620" w:type="dxa"/>
            <w:vAlign w:val="bottom"/>
            <w:gridSpan w:val="3"/>
          </w:tcPr>
          <w:p>
            <w:pPr>
              <w:ind w:left="200"/>
              <w:spacing w:after="0" w:line="195" w:lineRule="exact"/>
              <w:rPr>
                <w:rFonts w:ascii="Times New Roman" w:cs="Times New Roman" w:eastAsia="Times New Roman" w:hAnsi="Times New Roman"/>
                <w:sz w:val="18"/>
                <w:szCs w:val="18"/>
                <w:color w:val="0000EE"/>
                <w:w w:val="95"/>
              </w:rPr>
            </w:pPr>
            <w:hyperlink r:id="rId81">
              <w:r>
                <w:rPr>
                  <w:rFonts w:ascii="Times New Roman" w:cs="Times New Roman" w:eastAsia="Times New Roman" w:hAnsi="Times New Roman"/>
                  <w:sz w:val="18"/>
                  <w:szCs w:val="18"/>
                  <w:color w:val="0000EE"/>
                  <w:w w:val="95"/>
                </w:rPr>
                <w:t>2022)</w:t>
              </w:r>
            </w:hyperlink>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4380" w:type="dxa"/>
            <w:vAlign w:val="bottom"/>
            <w:gridSpan w:val="1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4"/>
                <w:szCs w:val="24"/>
                <w:color w:val="auto"/>
              </w:rPr>
            </w:pPr>
          </w:p>
        </w:tc>
        <w:tc>
          <w:tcPr>
            <w:tcW w:w="10140" w:type="dxa"/>
            <w:vAlign w:val="bottom"/>
            <w:gridSpan w:val="25"/>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Investor Warrant dated June 30, 2022 (incorporated by reference to Exhibit 10.3 of the registrant’s Current Report on Form 8-K filed July 7,</w:t>
              </w:r>
            </w:hyperlink>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900" w:type="dxa"/>
            <w:vAlign w:val="bottom"/>
          </w:tcPr>
          <w:p>
            <w:pPr>
              <w:spacing w:after="0"/>
              <w:rPr>
                <w:sz w:val="16"/>
                <w:szCs w:val="16"/>
                <w:color w:val="auto"/>
              </w:rPr>
            </w:pPr>
          </w:p>
        </w:tc>
        <w:tc>
          <w:tcPr>
            <w:tcW w:w="620" w:type="dxa"/>
            <w:vAlign w:val="bottom"/>
            <w:gridSpan w:val="3"/>
          </w:tcPr>
          <w:p>
            <w:pPr>
              <w:ind w:left="200"/>
              <w:spacing w:after="0" w:line="195" w:lineRule="exact"/>
              <w:rPr>
                <w:rFonts w:ascii="Times New Roman" w:cs="Times New Roman" w:eastAsia="Times New Roman" w:hAnsi="Times New Roman"/>
                <w:sz w:val="18"/>
                <w:szCs w:val="18"/>
                <w:color w:val="0000EE"/>
                <w:w w:val="95"/>
              </w:rPr>
            </w:pPr>
            <w:hyperlink r:id="rId82">
              <w:r>
                <w:rPr>
                  <w:rFonts w:ascii="Times New Roman" w:cs="Times New Roman" w:eastAsia="Times New Roman" w:hAnsi="Times New Roman"/>
                  <w:sz w:val="18"/>
                  <w:szCs w:val="18"/>
                  <w:color w:val="0000EE"/>
                  <w:w w:val="95"/>
                </w:rPr>
                <w:t>2022)</w:t>
              </w:r>
            </w:hyperlink>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4380" w:type="dxa"/>
            <w:vAlign w:val="bottom"/>
            <w:gridSpan w:val="1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10140" w:type="dxa"/>
            <w:vAlign w:val="bottom"/>
            <w:gridSpan w:val="25"/>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Employment Agreement dated as of November 12, 2021 by and between the registrant and Rick Mills (incorporated by reference to Exhibit</w:t>
              </w:r>
            </w:hyperlink>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40" w:type="dxa"/>
            <w:vAlign w:val="bottom"/>
            <w:tcBorders>
              <w:top w:val="single" w:sz="8" w:color="0000EE"/>
            </w:tcBorders>
            <w:gridSpan w:val="22"/>
          </w:tcPr>
          <w:p>
            <w:pPr>
              <w:spacing w:after="0" w:line="195"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registrant’s Current Report on Form 8-K filed November 15, 2021).</w:t>
              </w:r>
            </w:hyperlink>
          </w:p>
        </w:tc>
        <w:tc>
          <w:tcPr>
            <w:tcW w:w="100" w:type="dxa"/>
            <w:vAlign w:val="bottom"/>
            <w:gridSpan w:val="3"/>
          </w:tcPr>
          <w:p>
            <w:pPr>
              <w:spacing w:after="0"/>
              <w:rPr>
                <w:sz w:val="16"/>
                <w:szCs w:val="16"/>
                <w:color w:val="auto"/>
              </w:rPr>
            </w:pPr>
          </w:p>
        </w:tc>
      </w:tr>
      <w:tr>
        <w:trPr>
          <w:trHeight w:val="451"/>
        </w:trPr>
        <w:tc>
          <w:tcPr>
            <w:tcW w:w="90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5480" w:type="dxa"/>
            <w:vAlign w:val="bottom"/>
            <w:tcBorders>
              <w:top w:val="single" w:sz="8" w:color="0000EE"/>
            </w:tcBorders>
            <w:gridSpan w:val="8"/>
          </w:tcPr>
          <w:p>
            <w:pPr>
              <w:jc w:val="right"/>
              <w:ind w:right="79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4"/>
        </w:trPr>
        <w:tc>
          <w:tcPr>
            <w:tcW w:w="9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840" w:type="dxa"/>
            <w:vAlign w:val="bottom"/>
            <w:tcBorders>
              <w:bottom w:val="single" w:sz="8" w:color="auto"/>
            </w:tcBorders>
            <w:gridSpan w:val="29"/>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98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2014 Stock Incentive Plan, as amended (incorporated by reference to Exhibit A to the registrant’s definitive proxy statement on Schedule</w:t>
              </w:r>
            </w:hyperlink>
          </w:p>
        </w:tc>
        <w:tc>
          <w:tcPr>
            <w:tcW w:w="300" w:type="dxa"/>
            <w:vAlign w:val="bottom"/>
            <w:gridSpan w:val="13"/>
          </w:tcPr>
          <w:p>
            <w:pPr>
              <w:spacing w:after="0"/>
              <w:rPr>
                <w:sz w:val="24"/>
                <w:szCs w:val="24"/>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tcBorders>
              <w:bottom w:val="single" w:sz="8" w:color="0000EE"/>
            </w:tcBorders>
            <w:gridSpan w:val="6"/>
          </w:tcPr>
          <w:p>
            <w:pPr>
              <w:spacing w:after="0" w:line="195"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14A filed with the SEC on June 12, 2020)</w:t>
              </w:r>
            </w:hyperlink>
          </w:p>
        </w:tc>
        <w:tc>
          <w:tcPr>
            <w:tcW w:w="7060" w:type="dxa"/>
            <w:vAlign w:val="bottom"/>
            <w:gridSpan w:val="31"/>
          </w:tcPr>
          <w:p>
            <w:pPr>
              <w:spacing w:after="0"/>
              <w:rPr>
                <w:sz w:val="16"/>
                <w:szCs w:val="16"/>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94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2023 Stock Incentive Plan, as amended (incorporated by reference to Appendix A to the Registrant’s Definitive Proxy Statement on</w:t>
              </w:r>
            </w:hyperlink>
          </w:p>
        </w:tc>
        <w:tc>
          <w:tcPr>
            <w:tcW w:w="680" w:type="dxa"/>
            <w:vAlign w:val="bottom"/>
            <w:gridSpan w:val="19"/>
          </w:tcPr>
          <w:p>
            <w:pPr>
              <w:spacing w:after="0"/>
              <w:rPr>
                <w:sz w:val="24"/>
                <w:szCs w:val="24"/>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140" w:type="dxa"/>
            <w:vAlign w:val="bottom"/>
            <w:gridSpan w:val="37"/>
          </w:tcPr>
          <w:p>
            <w:pPr>
              <w:spacing w:after="0" w:line="195"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Schedule 14A, filed with the SEC on August 27, 2024)</w:t>
              </w:r>
            </w:hyperlink>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98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Amendment to Stock Option Agreement dated June 15, 2022 between the Company and Rick Mills (incorporated by reference to Exhibit</w:t>
              </w:r>
            </w:hyperlink>
          </w:p>
        </w:tc>
        <w:tc>
          <w:tcPr>
            <w:tcW w:w="280" w:type="dxa"/>
            <w:vAlign w:val="bottom"/>
            <w:gridSpan w:val="12"/>
          </w:tcPr>
          <w:p>
            <w:pPr>
              <w:spacing w:after="0"/>
              <w:rPr>
                <w:sz w:val="24"/>
                <w:szCs w:val="24"/>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20" w:type="dxa"/>
            <w:vAlign w:val="bottom"/>
            <w:tcBorders>
              <w:bottom w:val="single" w:sz="8" w:color="0000EE"/>
            </w:tcBorders>
            <w:gridSpan w:val="13"/>
          </w:tcPr>
          <w:p>
            <w:pPr>
              <w:spacing w:after="0" w:line="195"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registrant’s Current Report on Form 8-K filed with the SEC on June 17, 2022)</w:t>
              </w:r>
            </w:hyperlink>
          </w:p>
        </w:tc>
        <w:tc>
          <w:tcPr>
            <w:tcW w:w="3720" w:type="dxa"/>
            <w:vAlign w:val="bottom"/>
            <w:gridSpan w:val="24"/>
          </w:tcPr>
          <w:p>
            <w:pPr>
              <w:spacing w:after="0"/>
              <w:rPr>
                <w:sz w:val="16"/>
                <w:szCs w:val="16"/>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24"/>
                <w:szCs w:val="24"/>
                <w:color w:val="auto"/>
              </w:rPr>
            </w:pPr>
          </w:p>
        </w:tc>
        <w:tc>
          <w:tcPr>
            <w:tcW w:w="95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Stock Option Agreement dated June 15, 2022 between the Company and Rick Mills (incorporated by reference to Exhibit 10.3 to the</w:t>
              </w:r>
            </w:hyperlink>
          </w:p>
        </w:tc>
        <w:tc>
          <w:tcPr>
            <w:tcW w:w="600" w:type="dxa"/>
            <w:vAlign w:val="bottom"/>
            <w:gridSpan w:val="17"/>
          </w:tcPr>
          <w:p>
            <w:pPr>
              <w:spacing w:after="0"/>
              <w:rPr>
                <w:sz w:val="24"/>
                <w:szCs w:val="24"/>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140" w:type="dxa"/>
            <w:vAlign w:val="bottom"/>
            <w:gridSpan w:val="37"/>
          </w:tcPr>
          <w:p>
            <w:pPr>
              <w:spacing w:after="0" w:line="195"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registrant’s Current Report on Form 8-K filed with the SEC on June 17, 2022)</w:t>
              </w:r>
            </w:hyperlink>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4"/>
                <w:szCs w:val="24"/>
                <w:color w:val="auto"/>
              </w:rPr>
            </w:pPr>
          </w:p>
        </w:tc>
        <w:tc>
          <w:tcPr>
            <w:tcW w:w="996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Amendment to Option Agreement dated February 17, 2025 between the Company and Richard Mills (incorporated by reference to Exhibit</w:t>
              </w:r>
            </w:hyperlink>
          </w:p>
        </w:tc>
        <w:tc>
          <w:tcPr>
            <w:tcW w:w="180" w:type="dxa"/>
            <w:vAlign w:val="bottom"/>
            <w:gridSpan w:val="8"/>
          </w:tcPr>
          <w:p>
            <w:pPr>
              <w:spacing w:after="0"/>
              <w:rPr>
                <w:sz w:val="24"/>
                <w:szCs w:val="24"/>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140" w:type="dxa"/>
            <w:vAlign w:val="bottom"/>
            <w:gridSpan w:val="37"/>
          </w:tcPr>
          <w:p>
            <w:pPr>
              <w:spacing w:after="0" w:line="195"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registrant’s Current Report on Form 8-K filed February 21, 2025)</w:t>
              </w:r>
            </w:hyperlink>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4"/>
                <w:szCs w:val="24"/>
                <w:color w:val="auto"/>
              </w:rPr>
            </w:pPr>
          </w:p>
        </w:tc>
        <w:tc>
          <w:tcPr>
            <w:tcW w:w="1000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4,000,000 Promissory Note dated March 14, 2025 payable to the order of RSI Exit Corporation (incorporated by reference to Exhibit 10.2</w:t>
              </w:r>
            </w:hyperlink>
          </w:p>
        </w:tc>
        <w:tc>
          <w:tcPr>
            <w:tcW w:w="140" w:type="dxa"/>
            <w:vAlign w:val="bottom"/>
            <w:gridSpan w:val="6"/>
          </w:tcPr>
          <w:p>
            <w:pPr>
              <w:spacing w:after="0"/>
              <w:rPr>
                <w:sz w:val="24"/>
                <w:szCs w:val="24"/>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140" w:type="dxa"/>
            <w:vAlign w:val="bottom"/>
            <w:gridSpan w:val="37"/>
          </w:tcPr>
          <w:p>
            <w:pPr>
              <w:spacing w:after="0" w:line="195"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to the registrant’s Current Report on Form 8-K filed March 17, 2025)</w:t>
              </w:r>
            </w:hyperlink>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24"/>
                <w:szCs w:val="24"/>
                <w:color w:val="auto"/>
              </w:rPr>
            </w:pPr>
          </w:p>
        </w:tc>
        <w:tc>
          <w:tcPr>
            <w:tcW w:w="10140" w:type="dxa"/>
            <w:vAlign w:val="bottom"/>
            <w:gridSpan w:val="37"/>
          </w:tcPr>
          <w:p>
            <w:pPr>
              <w:spacing w:after="0"/>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Subordination Agreement dated March 14, 2025 by and among Creative Realities, Inc., Reflect Systems, Inc., First Merchants Bank and RSI</w:t>
              </w:r>
            </w:hyperlink>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100" w:type="dxa"/>
            <w:vAlign w:val="bottom"/>
            <w:tcBorders>
              <w:top w:val="single" w:sz="8" w:color="0000EE"/>
            </w:tcBorders>
            <w:gridSpan w:val="35"/>
          </w:tcPr>
          <w:p>
            <w:pPr>
              <w:spacing w:after="0" w:line="195"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Exit Corporation (incorporated by reference to Exhibit 10.3 to the registrant’s Current Report on Form 8-K filed March 17, 2025)</w:t>
              </w:r>
            </w:hyperlink>
          </w:p>
        </w:tc>
        <w:tc>
          <w:tcPr>
            <w:tcW w:w="40" w:type="dxa"/>
            <w:vAlign w:val="bottom"/>
            <w:gridSpan w:val="2"/>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24"/>
                <w:szCs w:val="24"/>
                <w:color w:val="auto"/>
              </w:rPr>
            </w:pPr>
          </w:p>
        </w:tc>
        <w:tc>
          <w:tcPr>
            <w:tcW w:w="10140" w:type="dxa"/>
            <w:vAlign w:val="bottom"/>
            <w:gridSpan w:val="37"/>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Consent Agreement dated March 14, 2025 by and among First Merchants Bank, Allure Global Solutions, Inc., Creative Realities, Inc.</w:t>
              </w:r>
            </w:hyperlink>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140" w:type="dxa"/>
            <w:vAlign w:val="bottom"/>
            <w:gridSpan w:val="37"/>
          </w:tcPr>
          <w:p>
            <w:pPr>
              <w:spacing w:after="0" w:line="195"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and Reflect Systems, Inc. (incorporated by reference to Exhibit 10.4 to the registrant’s Current Report on Form 8-K filed March 17, 2025)</w:t>
              </w:r>
            </w:hyperlink>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200" w:type="dxa"/>
            <w:vAlign w:val="bottom"/>
          </w:tcPr>
          <w:p>
            <w:pPr>
              <w:spacing w:after="0"/>
              <w:rPr>
                <w:sz w:val="24"/>
                <w:szCs w:val="24"/>
                <w:color w:val="auto"/>
              </w:rPr>
            </w:pPr>
          </w:p>
        </w:tc>
        <w:tc>
          <w:tcPr>
            <w:tcW w:w="998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Second Amendment to Stock Option Agreement between the Company and Richard Mills (incorporated by reference to Exhibit 10.1 to the</w:t>
              </w:r>
            </w:hyperlink>
          </w:p>
        </w:tc>
        <w:tc>
          <w:tcPr>
            <w:tcW w:w="160" w:type="dxa"/>
            <w:vAlign w:val="bottom"/>
            <w:gridSpan w:val="7"/>
          </w:tcPr>
          <w:p>
            <w:pPr>
              <w:spacing w:after="0"/>
              <w:rPr>
                <w:sz w:val="24"/>
                <w:szCs w:val="24"/>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00" w:type="dxa"/>
            <w:vAlign w:val="bottom"/>
            <w:tcBorders>
              <w:bottom w:val="single" w:sz="8" w:color="0000EE"/>
            </w:tcBorders>
            <w:gridSpan w:val="8"/>
          </w:tcPr>
          <w:p>
            <w:pPr>
              <w:spacing w:after="0" w:line="195"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registrant’s Current Report on Form 8-K filed June 4, 2025)</w:t>
              </w:r>
            </w:hyperlink>
          </w:p>
        </w:tc>
        <w:tc>
          <w:tcPr>
            <w:tcW w:w="5840" w:type="dxa"/>
            <w:vAlign w:val="bottom"/>
            <w:gridSpan w:val="29"/>
          </w:tcPr>
          <w:p>
            <w:pPr>
              <w:spacing w:after="0"/>
              <w:rPr>
                <w:sz w:val="16"/>
                <w:szCs w:val="16"/>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200" w:type="dxa"/>
            <w:vAlign w:val="bottom"/>
          </w:tcPr>
          <w:p>
            <w:pPr>
              <w:spacing w:after="0"/>
              <w:rPr>
                <w:sz w:val="24"/>
                <w:szCs w:val="24"/>
                <w:color w:val="auto"/>
              </w:rPr>
            </w:pPr>
          </w:p>
        </w:tc>
        <w:tc>
          <w:tcPr>
            <w:tcW w:w="10140" w:type="dxa"/>
            <w:vAlign w:val="bottom"/>
            <w:gridSpan w:val="37"/>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Form of Stock Option Agreement (incorporated by reference to Exhibit 10.2 to the registrant’s Current Report on Form 8-K filed June 4,</w:t>
              </w:r>
            </w:hyperlink>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900" w:type="dxa"/>
            <w:vAlign w:val="bottom"/>
          </w:tcPr>
          <w:p>
            <w:pPr>
              <w:spacing w:after="0"/>
              <w:rPr>
                <w:sz w:val="16"/>
                <w:szCs w:val="16"/>
                <w:color w:val="auto"/>
              </w:rPr>
            </w:pPr>
          </w:p>
        </w:tc>
        <w:tc>
          <w:tcPr>
            <w:tcW w:w="620" w:type="dxa"/>
            <w:vAlign w:val="bottom"/>
            <w:gridSpan w:val="2"/>
          </w:tcPr>
          <w:p>
            <w:pPr>
              <w:ind w:left="200"/>
              <w:spacing w:after="0" w:line="195" w:lineRule="exact"/>
              <w:rPr>
                <w:rFonts w:ascii="Times New Roman" w:cs="Times New Roman" w:eastAsia="Times New Roman" w:hAnsi="Times New Roman"/>
                <w:sz w:val="18"/>
                <w:szCs w:val="18"/>
                <w:color w:val="0000EE"/>
                <w:w w:val="95"/>
              </w:rPr>
            </w:pPr>
            <w:hyperlink r:id="rId93">
              <w:r>
                <w:rPr>
                  <w:rFonts w:ascii="Times New Roman" w:cs="Times New Roman" w:eastAsia="Times New Roman" w:hAnsi="Times New Roman"/>
                  <w:sz w:val="18"/>
                  <w:szCs w:val="18"/>
                  <w:color w:val="0000EE"/>
                  <w:w w:val="95"/>
                </w:rPr>
                <w:t>2025)</w:t>
              </w:r>
            </w:hyperlink>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200" w:type="dxa"/>
            <w:vAlign w:val="bottom"/>
          </w:tcPr>
          <w:p>
            <w:pPr>
              <w:spacing w:after="0"/>
              <w:rPr>
                <w:sz w:val="24"/>
                <w:szCs w:val="24"/>
                <w:color w:val="auto"/>
              </w:rPr>
            </w:pPr>
          </w:p>
        </w:tc>
        <w:tc>
          <w:tcPr>
            <w:tcW w:w="10140" w:type="dxa"/>
            <w:vAlign w:val="bottom"/>
            <w:gridSpan w:val="37"/>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Restricted Stock Unit Agreement dated July 3, 2025 by and between Creative Realities, Inc. and Richard Mills (incorporated by reference to</w:t>
              </w:r>
            </w:hyperlink>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40" w:type="dxa"/>
            <w:vAlign w:val="bottom"/>
            <w:tcBorders>
              <w:top w:val="single" w:sz="8" w:color="0000EE"/>
              <w:bottom w:val="single" w:sz="8" w:color="0000EE"/>
            </w:tcBorders>
            <w:gridSpan w:val="12"/>
          </w:tcPr>
          <w:p>
            <w:pPr>
              <w:spacing w:after="0" w:line="195"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Exhibit 10.1 to the registrant’s Current Report on Form 8-K filed July 3, 2025)</w:t>
              </w:r>
            </w:hyperlink>
          </w:p>
        </w:tc>
        <w:tc>
          <w:tcPr>
            <w:tcW w:w="4420" w:type="dxa"/>
            <w:vAlign w:val="bottom"/>
            <w:tcBorders>
              <w:top w:val="single" w:sz="8" w:color="0000EE"/>
            </w:tcBorders>
            <w:gridSpan w:val="21"/>
          </w:tcPr>
          <w:p>
            <w:pPr>
              <w:spacing w:after="0"/>
              <w:rPr>
                <w:sz w:val="16"/>
                <w:szCs w:val="16"/>
                <w:color w:val="auto"/>
              </w:rPr>
            </w:pPr>
          </w:p>
        </w:tc>
        <w:tc>
          <w:tcPr>
            <w:tcW w:w="80" w:type="dxa"/>
            <w:vAlign w:val="bottom"/>
            <w:gridSpan w:val="4"/>
          </w:tcPr>
          <w:p>
            <w:pPr>
              <w:spacing w:after="0"/>
              <w:rPr>
                <w:sz w:val="16"/>
                <w:szCs w:val="16"/>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200" w:type="dxa"/>
            <w:vAlign w:val="bottom"/>
          </w:tcPr>
          <w:p>
            <w:pPr>
              <w:spacing w:after="0"/>
              <w:rPr>
                <w:sz w:val="24"/>
                <w:szCs w:val="24"/>
                <w:color w:val="auto"/>
              </w:rPr>
            </w:pPr>
          </w:p>
        </w:tc>
        <w:tc>
          <w:tcPr>
            <w:tcW w:w="95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Restricted Stock Unit Agreement dated July 3, 2025 by and between Creative Realities, Inc. and David Ryan Mudd (incorporated by</w:t>
              </w:r>
            </w:hyperlink>
          </w:p>
        </w:tc>
        <w:tc>
          <w:tcPr>
            <w:tcW w:w="620" w:type="dxa"/>
            <w:vAlign w:val="bottom"/>
            <w:gridSpan w:val="18"/>
          </w:tcPr>
          <w:p>
            <w:pPr>
              <w:spacing w:after="0"/>
              <w:rPr>
                <w:sz w:val="24"/>
                <w:szCs w:val="24"/>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540" w:type="dxa"/>
            <w:vAlign w:val="bottom"/>
            <w:tcBorders>
              <w:bottom w:val="single" w:sz="8" w:color="0000EE"/>
            </w:tcBorders>
            <w:gridSpan w:val="14"/>
          </w:tcPr>
          <w:p>
            <w:pPr>
              <w:spacing w:after="0" w:line="195"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reference to Exhibit 10.2 to the registrant’s Current Report on Form 8-K filed July 3, 2025)</w:t>
              </w:r>
            </w:hyperlink>
          </w:p>
        </w:tc>
        <w:tc>
          <w:tcPr>
            <w:tcW w:w="3600" w:type="dxa"/>
            <w:vAlign w:val="bottom"/>
            <w:gridSpan w:val="23"/>
          </w:tcPr>
          <w:p>
            <w:pPr>
              <w:spacing w:after="0"/>
              <w:rPr>
                <w:sz w:val="16"/>
                <w:szCs w:val="16"/>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200" w:type="dxa"/>
            <w:vAlign w:val="bottom"/>
          </w:tcPr>
          <w:p>
            <w:pPr>
              <w:spacing w:after="0"/>
              <w:rPr>
                <w:sz w:val="24"/>
                <w:szCs w:val="24"/>
                <w:color w:val="auto"/>
              </w:rPr>
            </w:pPr>
          </w:p>
        </w:tc>
        <w:tc>
          <w:tcPr>
            <w:tcW w:w="10140" w:type="dxa"/>
            <w:vAlign w:val="bottom"/>
            <w:gridSpan w:val="37"/>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Share Purchase Agreement, by and among the registrant, 1001372953 Ontario Inc., and Cineplex Entertainment Limited Partnership, dated</w:t>
              </w:r>
            </w:hyperlink>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700" w:type="dxa"/>
            <w:vAlign w:val="bottom"/>
            <w:tcBorders>
              <w:top w:val="single" w:sz="8" w:color="0000EE"/>
              <w:bottom w:val="single" w:sz="8" w:color="0000EE"/>
            </w:tcBorders>
            <w:gridSpan w:val="22"/>
          </w:tcPr>
          <w:p>
            <w:pPr>
              <w:spacing w:after="0" w:line="195"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as of October 15, 2025 (incorporated by reference to Exhibit 10.1 to the registrant’s Current Report on Form 8-K filed with the SEC on</w:t>
              </w:r>
            </w:hyperlink>
          </w:p>
        </w:tc>
        <w:tc>
          <w:tcPr>
            <w:tcW w:w="280" w:type="dxa"/>
            <w:vAlign w:val="bottom"/>
            <w:tcBorders>
              <w:top w:val="single" w:sz="8" w:color="0000EE"/>
            </w:tcBorders>
            <w:gridSpan w:val="8"/>
          </w:tcPr>
          <w:p>
            <w:pPr>
              <w:spacing w:after="0"/>
              <w:rPr>
                <w:sz w:val="16"/>
                <w:szCs w:val="16"/>
                <w:color w:val="auto"/>
              </w:rPr>
            </w:pPr>
          </w:p>
        </w:tc>
        <w:tc>
          <w:tcPr>
            <w:tcW w:w="160" w:type="dxa"/>
            <w:vAlign w:val="bottom"/>
            <w:gridSpan w:val="7"/>
          </w:tcPr>
          <w:p>
            <w:pPr>
              <w:spacing w:after="0"/>
              <w:rPr>
                <w:sz w:val="16"/>
                <w:szCs w:val="16"/>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140" w:type="dxa"/>
            <w:vAlign w:val="bottom"/>
            <w:gridSpan w:val="37"/>
          </w:tcPr>
          <w:p>
            <w:pPr>
              <w:spacing w:after="0" w:line="195"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October 16, 2025)</w:t>
              </w:r>
            </w:hyperlink>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200" w:type="dxa"/>
            <w:vAlign w:val="bottom"/>
          </w:tcPr>
          <w:p>
            <w:pPr>
              <w:spacing w:after="0"/>
              <w:rPr>
                <w:sz w:val="24"/>
                <w:szCs w:val="24"/>
                <w:color w:val="auto"/>
              </w:rPr>
            </w:pPr>
          </w:p>
        </w:tc>
        <w:tc>
          <w:tcPr>
            <w:tcW w:w="10140" w:type="dxa"/>
            <w:vAlign w:val="bottom"/>
            <w:gridSpan w:val="37"/>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Securities Purchase Agreement, by and between the registrant and the Buyers listed therein, dated as of October 15, 2025 (incorporated by</w:t>
              </w:r>
            </w:hyperlink>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920" w:type="dxa"/>
            <w:vAlign w:val="bottom"/>
            <w:tcBorders>
              <w:top w:val="single" w:sz="8" w:color="0000EE"/>
            </w:tcBorders>
            <w:gridSpan w:val="27"/>
          </w:tcPr>
          <w:p>
            <w:pPr>
              <w:spacing w:after="0" w:line="195"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reference to Exhibit 10.2 to the registrant’s Current Report on Form 8-K filed with the SEC on October 16, 2025)</w:t>
              </w:r>
            </w:hyperlink>
          </w:p>
        </w:tc>
        <w:tc>
          <w:tcPr>
            <w:tcW w:w="220" w:type="dxa"/>
            <w:vAlign w:val="bottom"/>
            <w:gridSpan w:val="10"/>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340" w:type="dxa"/>
            <w:vAlign w:val="bottom"/>
            <w:gridSpan w:val="9"/>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tcPr>
          <w:p>
            <w:pPr>
              <w:spacing w:after="0"/>
              <w:rPr>
                <w:sz w:val="24"/>
                <w:szCs w:val="24"/>
                <w:color w:val="auto"/>
              </w:rPr>
            </w:pPr>
          </w:p>
        </w:tc>
        <w:tc>
          <w:tcPr>
            <w:tcW w:w="99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Registration Rights Agreement, dated November 6, 2025, by and among the registrant, North Run Strategic Opportunities Fund I, LP and</w:t>
              </w:r>
            </w:hyperlink>
          </w:p>
        </w:tc>
        <w:tc>
          <w:tcPr>
            <w:tcW w:w="240" w:type="dxa"/>
            <w:vAlign w:val="bottom"/>
            <w:gridSpan w:val="11"/>
          </w:tcPr>
          <w:p>
            <w:pPr>
              <w:spacing w:after="0"/>
              <w:rPr>
                <w:sz w:val="24"/>
                <w:szCs w:val="24"/>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80" w:type="dxa"/>
            <w:vAlign w:val="bottom"/>
            <w:tcBorders>
              <w:bottom w:val="single" w:sz="8" w:color="0000EE"/>
            </w:tcBorders>
            <w:gridSpan w:val="34"/>
          </w:tcPr>
          <w:p>
            <w:pPr>
              <w:spacing w:after="0" w:line="195"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NR-SOF I (Co-Invest I), LP (incorporated by reference to Exhibit 10.8 to the registrant’s Current Report on Form 8-K filed with the SEC on</w:t>
              </w:r>
            </w:hyperlink>
          </w:p>
        </w:tc>
        <w:tc>
          <w:tcPr>
            <w:tcW w:w="60" w:type="dxa"/>
            <w:vAlign w:val="bottom"/>
            <w:gridSpan w:val="3"/>
          </w:tcPr>
          <w:p>
            <w:pPr>
              <w:spacing w:after="0"/>
              <w:rPr>
                <w:sz w:val="16"/>
                <w:szCs w:val="16"/>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140" w:type="dxa"/>
            <w:vAlign w:val="bottom"/>
            <w:gridSpan w:val="37"/>
          </w:tcPr>
          <w:p>
            <w:pPr>
              <w:spacing w:after="0" w:line="195"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November 12, 2025)</w:t>
              </w:r>
            </w:hyperlink>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200" w:type="dxa"/>
            <w:vAlign w:val="bottom"/>
          </w:tcPr>
          <w:p>
            <w:pPr>
              <w:spacing w:after="0"/>
              <w:rPr>
                <w:sz w:val="24"/>
                <w:szCs w:val="24"/>
                <w:color w:val="auto"/>
              </w:rPr>
            </w:pPr>
          </w:p>
        </w:tc>
        <w:tc>
          <w:tcPr>
            <w:tcW w:w="10140" w:type="dxa"/>
            <w:vAlign w:val="bottom"/>
            <w:gridSpan w:val="37"/>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Amended and Restated Credit Agreement dated as of November 6, 2025 by and among the registrant, Allure Global Solutions, Inc., Reflect</w:t>
              </w:r>
            </w:hyperlink>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0" w:type="dxa"/>
            <w:vAlign w:val="bottom"/>
            <w:tcBorders>
              <w:top w:val="single" w:sz="8" w:color="0000EE"/>
              <w:bottom w:val="single" w:sz="8" w:color="0000EE"/>
            </w:tcBorders>
            <w:gridSpan w:val="23"/>
          </w:tcPr>
          <w:p>
            <w:pPr>
              <w:spacing w:after="0" w:line="195"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Systems, Inc., Cineplex Digital Media US Inc., 1001372953 Ontario Inc., Cineplex Digital Media, Inc., the other Loan Parties signatory</w:t>
              </w:r>
            </w:hyperlink>
          </w:p>
        </w:tc>
        <w:tc>
          <w:tcPr>
            <w:tcW w:w="220" w:type="dxa"/>
            <w:vAlign w:val="bottom"/>
            <w:tcBorders>
              <w:top w:val="single" w:sz="8" w:color="0000EE"/>
            </w:tcBorders>
            <w:gridSpan w:val="9"/>
          </w:tcPr>
          <w:p>
            <w:pPr>
              <w:spacing w:after="0"/>
              <w:rPr>
                <w:sz w:val="16"/>
                <w:szCs w:val="16"/>
                <w:color w:val="auto"/>
              </w:rPr>
            </w:pPr>
          </w:p>
        </w:tc>
        <w:tc>
          <w:tcPr>
            <w:tcW w:w="120" w:type="dxa"/>
            <w:vAlign w:val="bottom"/>
            <w:gridSpan w:val="5"/>
          </w:tcPr>
          <w:p>
            <w:pPr>
              <w:spacing w:after="0"/>
              <w:rPr>
                <w:sz w:val="16"/>
                <w:szCs w:val="16"/>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0" w:type="dxa"/>
            <w:vAlign w:val="bottom"/>
            <w:tcBorders>
              <w:bottom w:val="single" w:sz="8" w:color="0000EE"/>
            </w:tcBorders>
            <w:gridSpan w:val="23"/>
          </w:tcPr>
          <w:p>
            <w:pPr>
              <w:spacing w:after="0" w:line="195"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thereto, as Loan Parties, the financial institutions or other entities from time to time parties hereto, each as a Lender, and First Merchants</w:t>
              </w:r>
            </w:hyperlink>
          </w:p>
        </w:tc>
        <w:tc>
          <w:tcPr>
            <w:tcW w:w="340" w:type="dxa"/>
            <w:vAlign w:val="bottom"/>
            <w:gridSpan w:val="14"/>
          </w:tcPr>
          <w:p>
            <w:pPr>
              <w:spacing w:after="0"/>
              <w:rPr>
                <w:sz w:val="16"/>
                <w:szCs w:val="16"/>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940" w:type="dxa"/>
            <w:vAlign w:val="bottom"/>
            <w:tcBorders>
              <w:bottom w:val="single" w:sz="8" w:color="0000EE"/>
            </w:tcBorders>
            <w:gridSpan w:val="28"/>
          </w:tcPr>
          <w:p>
            <w:pPr>
              <w:spacing w:after="0" w:line="195"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Bank, an Indiana bank, as Agent for the Lenders (incorporated by reference to Exhibit 10.1 to the registrant’s Current Report on Form 8-K</w:t>
              </w:r>
            </w:hyperlink>
          </w:p>
        </w:tc>
        <w:tc>
          <w:tcPr>
            <w:tcW w:w="200" w:type="dxa"/>
            <w:vAlign w:val="bottom"/>
            <w:gridSpan w:val="9"/>
          </w:tcPr>
          <w:p>
            <w:pPr>
              <w:spacing w:after="0"/>
              <w:rPr>
                <w:sz w:val="16"/>
                <w:szCs w:val="16"/>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140" w:type="dxa"/>
            <w:vAlign w:val="bottom"/>
            <w:gridSpan w:val="37"/>
          </w:tcPr>
          <w:p>
            <w:pPr>
              <w:spacing w:after="0" w:line="195"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filed with the SEC on November 12, 2025)</w:t>
              </w:r>
            </w:hyperlink>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200" w:type="dxa"/>
            <w:vAlign w:val="bottom"/>
          </w:tcPr>
          <w:p>
            <w:pPr>
              <w:spacing w:after="0"/>
              <w:rPr>
                <w:sz w:val="24"/>
                <w:szCs w:val="24"/>
                <w:color w:val="auto"/>
              </w:rPr>
            </w:pPr>
          </w:p>
        </w:tc>
        <w:tc>
          <w:tcPr>
            <w:tcW w:w="10140" w:type="dxa"/>
            <w:vAlign w:val="bottom"/>
            <w:gridSpan w:val="37"/>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Form of Term Loan Promissory Note (incorporated by reference to Exhibit 10.2 to the registrant’s Current Report on Form 8-K filed with the</w:t>
              </w:r>
            </w:hyperlink>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120" w:type="dxa"/>
            <w:vAlign w:val="bottom"/>
            <w:tcBorders>
              <w:top w:val="single" w:sz="8" w:color="0000EE"/>
            </w:tcBorders>
            <w:gridSpan w:val="36"/>
          </w:tcPr>
          <w:p>
            <w:pPr>
              <w:spacing w:after="0" w:line="195"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SEC on November 12, 2025)</w:t>
              </w:r>
            </w:hyperlink>
          </w:p>
        </w:tc>
        <w:tc>
          <w:tcPr>
            <w:tcW w:w="2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700" w:type="dxa"/>
            <w:vAlign w:val="bottom"/>
            <w:gridSpan w:val="10"/>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tcPr>
          <w:p>
            <w:pPr>
              <w:spacing w:after="0"/>
              <w:rPr>
                <w:sz w:val="24"/>
                <w:szCs w:val="24"/>
                <w:color w:val="auto"/>
              </w:rPr>
            </w:pPr>
          </w:p>
        </w:tc>
        <w:tc>
          <w:tcPr>
            <w:tcW w:w="996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Form of Revolving Credit Promissory Note (incorporated by reference to Exhibit 10.3 to the registrant’s Current Report on Form 8-K filed</w:t>
              </w:r>
            </w:hyperlink>
          </w:p>
        </w:tc>
        <w:tc>
          <w:tcPr>
            <w:tcW w:w="180" w:type="dxa"/>
            <w:vAlign w:val="bottom"/>
            <w:gridSpan w:val="8"/>
          </w:tcPr>
          <w:p>
            <w:pPr>
              <w:spacing w:after="0"/>
              <w:rPr>
                <w:sz w:val="24"/>
                <w:szCs w:val="24"/>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tcBorders>
              <w:bottom w:val="single" w:sz="8" w:color="0000EE"/>
            </w:tcBorders>
            <w:gridSpan w:val="5"/>
          </w:tcPr>
          <w:p>
            <w:pPr>
              <w:spacing w:after="0" w:line="195"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with the SEC on November 12, 2025)</w:t>
              </w:r>
            </w:hyperlink>
          </w:p>
        </w:tc>
        <w:tc>
          <w:tcPr>
            <w:tcW w:w="7420" w:type="dxa"/>
            <w:vAlign w:val="bottom"/>
            <w:gridSpan w:val="32"/>
          </w:tcPr>
          <w:p>
            <w:pPr>
              <w:spacing w:after="0"/>
              <w:rPr>
                <w:sz w:val="16"/>
                <w:szCs w:val="16"/>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200" w:type="dxa"/>
            <w:vAlign w:val="bottom"/>
          </w:tcPr>
          <w:p>
            <w:pPr>
              <w:spacing w:after="0"/>
              <w:rPr>
                <w:sz w:val="24"/>
                <w:szCs w:val="24"/>
                <w:color w:val="auto"/>
              </w:rPr>
            </w:pPr>
          </w:p>
        </w:tc>
        <w:tc>
          <w:tcPr>
            <w:tcW w:w="10140" w:type="dxa"/>
            <w:vAlign w:val="bottom"/>
            <w:gridSpan w:val="37"/>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Amended and Restated Security Agreement dated as of November 6, 2025 by and among the registrant, Allure Global Solutions, Reflect</w:t>
              </w:r>
            </w:hyperlink>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20" w:type="dxa"/>
            <w:vAlign w:val="bottom"/>
            <w:gridSpan w:val="15"/>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80" w:type="dxa"/>
            <w:vAlign w:val="bottom"/>
            <w:tcBorders>
              <w:bottom w:val="single" w:sz="8" w:color="0000EE"/>
            </w:tcBorders>
            <w:gridSpan w:val="34"/>
          </w:tcPr>
          <w:p>
            <w:pPr>
              <w:spacing w:after="0" w:line="195"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Systems, Cineplex Digital Media US Inc., and First Merchants Bank, as agent for and on behalf of the Lenders (incorporated by reference to</w:t>
              </w:r>
            </w:hyperlink>
          </w:p>
        </w:tc>
        <w:tc>
          <w:tcPr>
            <w:tcW w:w="60" w:type="dxa"/>
            <w:vAlign w:val="bottom"/>
            <w:gridSpan w:val="3"/>
          </w:tcPr>
          <w:p>
            <w:pPr>
              <w:spacing w:after="0"/>
              <w:rPr>
                <w:sz w:val="16"/>
                <w:szCs w:val="16"/>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2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Exhibit 10.4 to the registrant’s Current Report on Form 8-K filed with the SEC on November 12, 2025)</w:t>
              </w:r>
            </w:hyperlink>
          </w:p>
        </w:tc>
        <w:tc>
          <w:tcPr>
            <w:tcW w:w="2720" w:type="dxa"/>
            <w:vAlign w:val="bottom"/>
            <w:gridSpan w:val="22"/>
          </w:tcPr>
          <w:p>
            <w:pPr>
              <w:spacing w:after="0"/>
              <w:rPr>
                <w:sz w:val="16"/>
                <w:szCs w:val="16"/>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200" w:type="dxa"/>
            <w:vAlign w:val="bottom"/>
          </w:tcPr>
          <w:p>
            <w:pPr>
              <w:spacing w:after="0"/>
              <w:rPr>
                <w:sz w:val="24"/>
                <w:szCs w:val="24"/>
                <w:color w:val="auto"/>
              </w:rPr>
            </w:pPr>
          </w:p>
        </w:tc>
        <w:tc>
          <w:tcPr>
            <w:tcW w:w="10140" w:type="dxa"/>
            <w:vAlign w:val="bottom"/>
            <w:gridSpan w:val="37"/>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Amended and Restated Security Agreement dated as of November 6, 2025 by and among Creative Realities Canada, Inc., 1001372953</w:t>
              </w:r>
            </w:hyperlink>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700" w:type="dxa"/>
            <w:vAlign w:val="bottom"/>
            <w:tcBorders>
              <w:top w:val="single" w:sz="8" w:color="0000EE"/>
            </w:tcBorders>
            <w:gridSpan w:val="22"/>
          </w:tcPr>
          <w:p>
            <w:pPr>
              <w:spacing w:after="0" w:line="195"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Ontario Inc., DDC Group International Inc., Cineplex Digital Media Inc. and First Merchants Bank, as agent for and on behalf of the</w:t>
              </w:r>
            </w:hyperlink>
          </w:p>
        </w:tc>
        <w:tc>
          <w:tcPr>
            <w:tcW w:w="440" w:type="dxa"/>
            <w:vAlign w:val="bottom"/>
            <w:gridSpan w:val="15"/>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520" w:type="dxa"/>
            <w:vAlign w:val="bottom"/>
            <w:gridSpan w:val="19"/>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140" w:type="dxa"/>
            <w:vAlign w:val="bottom"/>
            <w:gridSpan w:val="37"/>
          </w:tcPr>
          <w:p>
            <w:pPr>
              <w:spacing w:after="0" w:line="195"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Lenders (incorporated by reference to Exhibit 10.5 to the registrant’s Current Report on Form 8-K filed with the SEC on November 12,</w:t>
              </w:r>
            </w:hyperlink>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900" w:type="dxa"/>
            <w:vAlign w:val="bottom"/>
          </w:tcPr>
          <w:p>
            <w:pPr>
              <w:spacing w:after="0"/>
              <w:rPr>
                <w:sz w:val="16"/>
                <w:szCs w:val="16"/>
                <w:color w:val="auto"/>
              </w:rPr>
            </w:pPr>
          </w:p>
        </w:tc>
        <w:tc>
          <w:tcPr>
            <w:tcW w:w="620" w:type="dxa"/>
            <w:vAlign w:val="bottom"/>
            <w:gridSpan w:val="2"/>
          </w:tcPr>
          <w:p>
            <w:pPr>
              <w:ind w:left="200"/>
              <w:spacing w:after="0" w:line="195" w:lineRule="exact"/>
              <w:rPr>
                <w:rFonts w:ascii="Times New Roman" w:cs="Times New Roman" w:eastAsia="Times New Roman" w:hAnsi="Times New Roman"/>
                <w:sz w:val="18"/>
                <w:szCs w:val="18"/>
                <w:color w:val="0000EE"/>
                <w:w w:val="95"/>
              </w:rPr>
            </w:pPr>
            <w:hyperlink r:id="rId103">
              <w:r>
                <w:rPr>
                  <w:rFonts w:ascii="Times New Roman" w:cs="Times New Roman" w:eastAsia="Times New Roman" w:hAnsi="Times New Roman"/>
                  <w:sz w:val="18"/>
                  <w:szCs w:val="18"/>
                  <w:color w:val="0000EE"/>
                  <w:w w:val="95"/>
                </w:rPr>
                <w:t>2025)</w:t>
              </w:r>
            </w:hyperlink>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20" w:type="dxa"/>
            <w:vAlign w:val="bottom"/>
            <w:gridSpan w:val="2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200" w:type="dxa"/>
            <w:vAlign w:val="bottom"/>
          </w:tcPr>
          <w:p>
            <w:pPr>
              <w:spacing w:after="0"/>
              <w:rPr>
                <w:sz w:val="24"/>
                <w:szCs w:val="24"/>
                <w:color w:val="auto"/>
              </w:rPr>
            </w:pPr>
          </w:p>
        </w:tc>
        <w:tc>
          <w:tcPr>
            <w:tcW w:w="10140" w:type="dxa"/>
            <w:vAlign w:val="bottom"/>
            <w:gridSpan w:val="37"/>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Amended and Restated Canadian Guarantee dated as of November 6, 2025 by Creative Realities Canada, Inc. in favor of First Merchants</w:t>
              </w:r>
            </w:hyperlink>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40" w:type="dxa"/>
            <w:vAlign w:val="bottom"/>
            <w:gridSpan w:val="2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140" w:type="dxa"/>
            <w:vAlign w:val="bottom"/>
            <w:gridSpan w:val="37"/>
          </w:tcPr>
          <w:p>
            <w:pPr>
              <w:spacing w:after="0" w:line="195"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Bank, as agent for and on behalf of the Lenders (incorporated by reference to Exhibit 10.6 to the registrant’s Current Report on Form 8-K</w:t>
              </w:r>
            </w:hyperlink>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60" w:type="dxa"/>
            <w:vAlign w:val="bottom"/>
            <w:tcBorders>
              <w:top w:val="single" w:sz="8" w:color="0000EE"/>
            </w:tcBorders>
            <w:gridSpan w:val="25"/>
          </w:tcPr>
          <w:p>
            <w:pPr>
              <w:spacing w:after="0" w:line="195"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filed with the SEC on November 12, 2025)</w:t>
              </w:r>
            </w:hyperlink>
          </w:p>
        </w:tc>
        <w:tc>
          <w:tcPr>
            <w:tcW w:w="280" w:type="dxa"/>
            <w:vAlign w:val="bottom"/>
            <w:gridSpan w:val="12"/>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240"/>
          </w:cols>
          <w:pgMar w:left="320" w:top="121" w:right="339" w:bottom="4"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85090</wp:posOffset>
            </wp:positionV>
            <wp:extent cx="71329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0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5900" w:type="dxa"/>
            <w:vAlign w:val="bottom"/>
            <w:tcBorders>
              <w:bottom w:val="single" w:sz="8" w:color="auto"/>
            </w:tcBorders>
            <w:gridSpan w:val="11"/>
          </w:tcPr>
          <w:p>
            <w:pPr>
              <w:ind w:left="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200" w:type="dxa"/>
            <w:vAlign w:val="bottom"/>
          </w:tcPr>
          <w:p>
            <w:pPr>
              <w:spacing w:after="0"/>
              <w:rPr>
                <w:sz w:val="24"/>
                <w:szCs w:val="24"/>
                <w:color w:val="auto"/>
              </w:rPr>
            </w:pPr>
          </w:p>
        </w:tc>
        <w:tc>
          <w:tcPr>
            <w:tcW w:w="10140" w:type="dxa"/>
            <w:vAlign w:val="bottom"/>
            <w:gridSpan w:val="15"/>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of Voting Agreement by and between the registrant and each of the executive officers and directors of the registrant (incorporated by</w:t>
              </w:r>
            </w:hyperlink>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940" w:type="dxa"/>
            <w:vAlign w:val="bottom"/>
            <w:tcBorders>
              <w:top w:val="single" w:sz="8" w:color="0000EE"/>
            </w:tcBorders>
            <w:gridSpan w:val="13"/>
          </w:tcPr>
          <w:p>
            <w:pPr>
              <w:spacing w:after="0" w:line="195"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reference to Exhibit 10.7 to the registrant’s Current Report on Form 8-K filed with the SEC on November 12, 2025)</w:t>
              </w:r>
            </w:hyperlink>
          </w:p>
        </w:tc>
        <w:tc>
          <w:tcPr>
            <w:tcW w:w="200" w:type="dxa"/>
            <w:vAlign w:val="bottom"/>
            <w:gridSpan w:val="2"/>
          </w:tcPr>
          <w:p>
            <w:pPr>
              <w:spacing w:after="0"/>
              <w:rPr>
                <w:sz w:val="16"/>
                <w:szCs w:val="16"/>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200" w:type="dxa"/>
            <w:vAlign w:val="bottom"/>
          </w:tcPr>
          <w:p>
            <w:pPr>
              <w:spacing w:after="0"/>
              <w:rPr>
                <w:sz w:val="24"/>
                <w:szCs w:val="24"/>
                <w:color w:val="auto"/>
              </w:rPr>
            </w:pPr>
          </w:p>
        </w:tc>
        <w:tc>
          <w:tcPr>
            <w:tcW w:w="772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Employment Agreement, dated as of December 1, 2025, by and between the registrant and Tamra Koshewa</w:t>
            </w:r>
          </w:p>
        </w:tc>
        <w:tc>
          <w:tcPr>
            <w:tcW w:w="580" w:type="dxa"/>
            <w:vAlign w:val="bottom"/>
            <w:tcBorders>
              <w:top w:val="single" w:sz="8" w:color="0000EE"/>
            </w:tcBorders>
          </w:tcPr>
          <w:p>
            <w:pPr>
              <w:spacing w:after="0"/>
              <w:rPr>
                <w:sz w:val="24"/>
                <w:szCs w:val="24"/>
                <w:color w:val="auto"/>
              </w:rPr>
            </w:pPr>
          </w:p>
        </w:tc>
        <w:tc>
          <w:tcPr>
            <w:tcW w:w="1840" w:type="dxa"/>
            <w:vAlign w:val="bottom"/>
            <w:gridSpan w:val="5"/>
          </w:tcPr>
          <w:p>
            <w:pPr>
              <w:spacing w:after="0"/>
              <w:rPr>
                <w:sz w:val="24"/>
                <w:szCs w:val="24"/>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24"/>
                <w:szCs w:val="24"/>
                <w:color w:val="auto"/>
              </w:rPr>
            </w:pPr>
          </w:p>
        </w:tc>
        <w:tc>
          <w:tcPr>
            <w:tcW w:w="9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Code of Business Conduct and Ethics (incorporated by reference to Exhibit 14.1 of the Registrant’s Annual Report on Form 10-K for the</w:t>
              </w:r>
            </w:hyperlink>
          </w:p>
        </w:tc>
        <w:tc>
          <w:tcPr>
            <w:tcW w:w="320" w:type="dxa"/>
            <w:vAlign w:val="bottom"/>
            <w:gridSpan w:val="3"/>
          </w:tcPr>
          <w:p>
            <w:pPr>
              <w:spacing w:after="0"/>
              <w:rPr>
                <w:sz w:val="24"/>
                <w:szCs w:val="24"/>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140" w:type="dxa"/>
            <w:vAlign w:val="bottom"/>
            <w:gridSpan w:val="15"/>
          </w:tcPr>
          <w:p>
            <w:pPr>
              <w:spacing w:after="0" w:line="195"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fiscal year ended December 31, 2018)</w:t>
              </w:r>
            </w:hyperlink>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24"/>
                <w:szCs w:val="24"/>
                <w:color w:val="auto"/>
              </w:rPr>
            </w:pPr>
          </w:p>
        </w:tc>
        <w:tc>
          <w:tcPr>
            <w:tcW w:w="10140" w:type="dxa"/>
            <w:vAlign w:val="bottom"/>
            <w:gridSpan w:val="15"/>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Insider Trading Policy (incorporated by reference to Exhibit 19.1 to the Registrant’s Annual Report on Form 10-K for the fiscal year ended</w:t>
              </w:r>
            </w:hyperlink>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960" w:type="dxa"/>
            <w:vAlign w:val="bottom"/>
            <w:tcBorders>
              <w:top w:val="single" w:sz="8" w:color="0000EE"/>
            </w:tcBorders>
            <w:gridSpan w:val="14"/>
          </w:tcPr>
          <w:p>
            <w:pPr>
              <w:spacing w:after="0" w:line="195"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December 31, 2023 filed with the SEC on March 21, 2024)</w:t>
              </w:r>
            </w:hyperlink>
          </w:p>
        </w:tc>
        <w:tc>
          <w:tcPr>
            <w:tcW w:w="180" w:type="dxa"/>
            <w:vAlign w:val="bottom"/>
          </w:tcPr>
          <w:p>
            <w:pPr>
              <w:spacing w:after="0"/>
              <w:rPr>
                <w:sz w:val="16"/>
                <w:szCs w:val="16"/>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24"/>
                <w:szCs w:val="24"/>
                <w:color w:val="auto"/>
              </w:rPr>
            </w:pPr>
          </w:p>
        </w:tc>
        <w:tc>
          <w:tcPr>
            <w:tcW w:w="14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List of Subsidiaries</w:t>
            </w:r>
          </w:p>
        </w:tc>
        <w:tc>
          <w:tcPr>
            <w:tcW w:w="2840" w:type="dxa"/>
            <w:vAlign w:val="bottom"/>
            <w:tcBorders>
              <w:top w:val="single" w:sz="8" w:color="0000EE"/>
            </w:tcBorders>
            <w:gridSpan w:val="3"/>
          </w:tcPr>
          <w:p>
            <w:pPr>
              <w:spacing w:after="0"/>
              <w:rPr>
                <w:sz w:val="24"/>
                <w:szCs w:val="24"/>
                <w:color w:val="auto"/>
              </w:rPr>
            </w:pPr>
          </w:p>
        </w:tc>
        <w:tc>
          <w:tcPr>
            <w:tcW w:w="5900" w:type="dxa"/>
            <w:vAlign w:val="bottom"/>
            <w:gridSpan w:val="11"/>
          </w:tcPr>
          <w:p>
            <w:pPr>
              <w:spacing w:after="0"/>
              <w:rPr>
                <w:sz w:val="24"/>
                <w:szCs w:val="24"/>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24"/>
                <w:szCs w:val="24"/>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Consent of Grant Thornton LLP</w:t>
            </w: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57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Chief Executive Officer Certification pursuant to Exchange Act Rule 13a-14(a)</w:t>
            </w:r>
          </w:p>
        </w:tc>
        <w:tc>
          <w:tcPr>
            <w:tcW w:w="4440" w:type="dxa"/>
            <w:vAlign w:val="bottom"/>
            <w:gridSpan w:val="7"/>
          </w:tcPr>
          <w:p>
            <w:pPr>
              <w:spacing w:after="0"/>
              <w:rPr>
                <w:sz w:val="24"/>
                <w:szCs w:val="24"/>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Chief Financial Officer Certification pursuant to Exchange Act Rule 13a-14(a)</w:t>
            </w: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52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Chief Executive Officer Certification pursuant to 18 U.S.C. Section 1350</w:t>
            </w:r>
          </w:p>
        </w:tc>
        <w:tc>
          <w:tcPr>
            <w:tcW w:w="380" w:type="dxa"/>
            <w:vAlign w:val="bottom"/>
            <w:tcBorders>
              <w:top w:val="single" w:sz="8" w:color="0000EE"/>
            </w:tcBorders>
          </w:tcPr>
          <w:p>
            <w:pPr>
              <w:spacing w:after="0"/>
              <w:rPr>
                <w:sz w:val="24"/>
                <w:szCs w:val="24"/>
                <w:color w:val="auto"/>
              </w:rPr>
            </w:pPr>
          </w:p>
        </w:tc>
        <w:tc>
          <w:tcPr>
            <w:tcW w:w="4500" w:type="dxa"/>
            <w:vAlign w:val="bottom"/>
            <w:gridSpan w:val="8"/>
          </w:tcPr>
          <w:p>
            <w:pPr>
              <w:spacing w:after="0"/>
              <w:rPr>
                <w:sz w:val="24"/>
                <w:szCs w:val="24"/>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4"/>
                <w:szCs w:val="24"/>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Chief Financial Officer Certification pursuant to 18 U.S.C. Section 1350</w:t>
            </w:r>
          </w:p>
        </w:tc>
      </w:tr>
      <w:tr>
        <w:trPr>
          <w:trHeight w:val="20"/>
        </w:trPr>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0" w:type="dxa"/>
            <w:vAlign w:val="bottom"/>
            <w:gridSpan w:val="5"/>
            <w:shd w:val="clear" w:color="auto" w:fill="0000EE"/>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200" w:type="dxa"/>
            <w:vAlign w:val="bottom"/>
          </w:tcPr>
          <w:p>
            <w:pPr>
              <w:spacing w:after="0"/>
              <w:rPr>
                <w:sz w:val="24"/>
                <w:szCs w:val="24"/>
                <w:color w:val="auto"/>
              </w:rPr>
            </w:pPr>
          </w:p>
        </w:tc>
        <w:tc>
          <w:tcPr>
            <w:tcW w:w="95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Clawback Policy (incorporated by reference to Exhibit 97.1 of the Registrant's Annual Report on Form 10-K for the fiscal year ended</w:t>
              </w:r>
            </w:hyperlink>
          </w:p>
        </w:tc>
        <w:tc>
          <w:tcPr>
            <w:tcW w:w="560" w:type="dxa"/>
            <w:vAlign w:val="bottom"/>
            <w:gridSpan w:val="4"/>
          </w:tcPr>
          <w:p>
            <w:pPr>
              <w:spacing w:after="0"/>
              <w:rPr>
                <w:sz w:val="24"/>
                <w:szCs w:val="24"/>
                <w:color w:val="auto"/>
              </w:rPr>
            </w:pPr>
          </w:p>
        </w:tc>
      </w:tr>
      <w:tr>
        <w:trPr>
          <w:trHeight w:val="195"/>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140" w:type="dxa"/>
            <w:vAlign w:val="bottom"/>
            <w:gridSpan w:val="15"/>
          </w:tcPr>
          <w:p>
            <w:pPr>
              <w:spacing w:after="0" w:line="195"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December 31, 2024 filed with the SEC on March 14, 2025)</w:t>
              </w:r>
            </w:hyperlink>
          </w:p>
        </w:tc>
      </w:tr>
      <w:tr>
        <w:trPr>
          <w:trHeight w:val="45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24"/>
                <w:szCs w:val="24"/>
                <w:color w:val="auto"/>
              </w:rPr>
            </w:pPr>
          </w:p>
        </w:tc>
        <w:tc>
          <w:tcPr>
            <w:tcW w:w="42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900" w:type="dxa"/>
            <w:vAlign w:val="bottom"/>
            <w:gridSpan w:val="11"/>
          </w:tcPr>
          <w:p>
            <w:pPr>
              <w:spacing w:after="0"/>
              <w:rPr>
                <w:sz w:val="24"/>
                <w:szCs w:val="24"/>
                <w:color w:val="auto"/>
              </w:rPr>
            </w:pPr>
          </w:p>
        </w:tc>
      </w:tr>
      <w:tr>
        <w:trPr>
          <w:trHeight w:val="43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24"/>
                <w:szCs w:val="24"/>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24"/>
                <w:szCs w:val="24"/>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24"/>
                <w:szCs w:val="24"/>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24"/>
                <w:szCs w:val="24"/>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24"/>
                <w:szCs w:val="24"/>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7" w:lineRule="exact"/>
        <w:rPr>
          <w:sz w:val="20"/>
          <w:szCs w:val="20"/>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3" w:lineRule="exact"/>
        <w:rPr>
          <w:sz w:val="20"/>
          <w:szCs w:val="20"/>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Compensatory Plan or arrangement required to be filed pursuant to Item 15(b) of Form 10-K.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40" w:firstLine="646"/>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April 15, 2026.</w:t>
      </w:r>
    </w:p>
    <w:p>
      <w:pPr>
        <w:spacing w:after="0" w:line="22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Creative Realities, Inc.</w:t>
      </w:r>
    </w:p>
    <w:p>
      <w:pPr>
        <w:spacing w:after="0" w:line="223" w:lineRule="exact"/>
        <w:rPr>
          <w:sz w:val="20"/>
          <w:szCs w:val="20"/>
          <w:color w:val="auto"/>
        </w:rPr>
      </w:pPr>
    </w:p>
    <w:tbl>
      <w:tblPr>
        <w:tblLayout w:type="fixed"/>
        <w:tblInd w:w="6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r>
      <w:tr>
        <w:trPr>
          <w:trHeight w:val="190"/>
        </w:trPr>
        <w:tc>
          <w:tcPr>
            <w:tcW w:w="580" w:type="dxa"/>
            <w:vAlign w:val="bottom"/>
          </w:tcPr>
          <w:p>
            <w:pPr>
              <w:spacing w:after="0"/>
              <w:rPr>
                <w:sz w:val="16"/>
                <w:szCs w:val="16"/>
                <w:color w:val="auto"/>
              </w:rPr>
            </w:pPr>
          </w:p>
        </w:tc>
        <w:tc>
          <w:tcPr>
            <w:tcW w:w="40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Richard Mills</w:t>
            </w:r>
          </w:p>
        </w:tc>
      </w:tr>
      <w:tr>
        <w:trPr>
          <w:trHeight w:val="234"/>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Tamra Koshewa</w:t>
            </w:r>
          </w:p>
        </w:tc>
      </w:tr>
      <w:tr>
        <w:trPr>
          <w:trHeight w:val="190"/>
        </w:trPr>
        <w:tc>
          <w:tcPr>
            <w:tcW w:w="580" w:type="dxa"/>
            <w:vAlign w:val="bottom"/>
          </w:tcPr>
          <w:p>
            <w:pPr>
              <w:spacing w:after="0"/>
              <w:rPr>
                <w:sz w:val="16"/>
                <w:szCs w:val="16"/>
                <w:color w:val="auto"/>
              </w:rPr>
            </w:pPr>
          </w:p>
        </w:tc>
        <w:tc>
          <w:tcPr>
            <w:tcW w:w="40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Tamra Koshewa</w:t>
            </w:r>
          </w:p>
        </w:tc>
      </w:tr>
      <w:tr>
        <w:trPr>
          <w:trHeight w:val="234"/>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7" w:lineRule="exact"/>
        <w:rPr>
          <w:sz w:val="20"/>
          <w:szCs w:val="20"/>
          <w:color w:val="auto"/>
        </w:rPr>
      </w:pPr>
    </w:p>
    <w:p>
      <w:pPr>
        <w:ind w:right="40" w:firstLine="646"/>
        <w:spacing w:after="0" w:line="280" w:lineRule="auto"/>
        <w:rPr>
          <w:sz w:val="20"/>
          <w:szCs w:val="20"/>
          <w:color w:val="auto"/>
        </w:rPr>
      </w:pPr>
      <w:r>
        <w:rPr>
          <w:rFonts w:ascii="Times New Roman" w:cs="Times New Roman" w:eastAsia="Times New Roman" w:hAnsi="Times New Roman"/>
          <w:sz w:val="18"/>
          <w:szCs w:val="18"/>
          <w:color w:val="auto"/>
        </w:rPr>
        <w:t>In accordance with the Securities Exchange Act of 1934, this report has been signed below by the following persons on behalf of the registrant and in the capacities and on the date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486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80" w:type="dxa"/>
            <w:vAlign w:val="bottom"/>
          </w:tcPr>
          <w:p>
            <w:pPr>
              <w:spacing w:after="0"/>
              <w:rPr>
                <w:sz w:val="20"/>
                <w:szCs w:val="20"/>
                <w:color w:val="auto"/>
              </w:rPr>
            </w:pPr>
          </w:p>
        </w:tc>
        <w:tc>
          <w:tcPr>
            <w:tcW w:w="22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4"/>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c>
          <w:tcPr>
            <w:tcW w:w="80" w:type="dxa"/>
            <w:vAlign w:val="bottom"/>
          </w:tcPr>
          <w:p>
            <w:pPr>
              <w:spacing w:after="0"/>
              <w:rPr>
                <w:sz w:val="24"/>
                <w:szCs w:val="24"/>
                <w:color w:val="auto"/>
              </w:rPr>
            </w:pPr>
          </w:p>
        </w:tc>
        <w:tc>
          <w:tcPr>
            <w:tcW w:w="2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April 15, 2026</w:t>
            </w:r>
          </w:p>
        </w:tc>
      </w:tr>
      <w:tr>
        <w:trPr>
          <w:trHeight w:val="22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Richard Mills</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Chairman of the Board of Directors</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2"/>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Tamra Koshewa</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80" w:type="dxa"/>
            <w:vAlign w:val="bottom"/>
          </w:tcPr>
          <w:p>
            <w:pPr>
              <w:spacing w:after="0"/>
              <w:rPr>
                <w:sz w:val="24"/>
                <w:szCs w:val="24"/>
                <w:color w:val="auto"/>
              </w:rPr>
            </w:pPr>
          </w:p>
        </w:tc>
        <w:tc>
          <w:tcPr>
            <w:tcW w:w="2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April 15, 2026</w:t>
            </w:r>
          </w:p>
        </w:tc>
      </w:tr>
      <w:tr>
        <w:trPr>
          <w:trHeight w:val="22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Tamra Koshewa</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2"/>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Bell</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80" w:type="dxa"/>
            <w:vAlign w:val="bottom"/>
          </w:tcPr>
          <w:p>
            <w:pPr>
              <w:spacing w:after="0"/>
              <w:rPr>
                <w:sz w:val="24"/>
                <w:szCs w:val="24"/>
                <w:color w:val="auto"/>
              </w:rPr>
            </w:pPr>
          </w:p>
        </w:tc>
        <w:tc>
          <w:tcPr>
            <w:tcW w:w="2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April 15, 2026</w:t>
            </w:r>
          </w:p>
        </w:tc>
      </w:tr>
      <w:tr>
        <w:trPr>
          <w:trHeight w:val="22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David Bell</w:t>
            </w:r>
          </w:p>
        </w:tc>
        <w:tc>
          <w:tcPr>
            <w:tcW w:w="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2"/>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Bosco</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80" w:type="dxa"/>
            <w:vAlign w:val="bottom"/>
          </w:tcPr>
          <w:p>
            <w:pPr>
              <w:spacing w:after="0"/>
              <w:rPr>
                <w:sz w:val="24"/>
                <w:szCs w:val="24"/>
                <w:color w:val="auto"/>
              </w:rPr>
            </w:pPr>
          </w:p>
        </w:tc>
        <w:tc>
          <w:tcPr>
            <w:tcW w:w="2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April 15, 2026</w:t>
            </w:r>
          </w:p>
        </w:tc>
      </w:tr>
      <w:tr>
        <w:trPr>
          <w:trHeight w:val="22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Michael Bosco</w:t>
            </w:r>
          </w:p>
        </w:tc>
        <w:tc>
          <w:tcPr>
            <w:tcW w:w="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2"/>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B. Ellis</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80" w:type="dxa"/>
            <w:vAlign w:val="bottom"/>
          </w:tcPr>
          <w:p>
            <w:pPr>
              <w:spacing w:after="0"/>
              <w:rPr>
                <w:sz w:val="24"/>
                <w:szCs w:val="24"/>
                <w:color w:val="auto"/>
              </w:rPr>
            </w:pPr>
          </w:p>
        </w:tc>
        <w:tc>
          <w:tcPr>
            <w:tcW w:w="2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April 15, 2026</w:t>
            </w:r>
          </w:p>
        </w:tc>
      </w:tr>
      <w:tr>
        <w:trPr>
          <w:trHeight w:val="22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Thomas B. Ellis</w:t>
            </w:r>
          </w:p>
        </w:tc>
        <w:tc>
          <w:tcPr>
            <w:tcW w:w="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2"/>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Donald A. Harris</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80" w:type="dxa"/>
            <w:vAlign w:val="bottom"/>
          </w:tcPr>
          <w:p>
            <w:pPr>
              <w:spacing w:after="0"/>
              <w:rPr>
                <w:sz w:val="24"/>
                <w:szCs w:val="24"/>
                <w:color w:val="auto"/>
              </w:rPr>
            </w:pPr>
          </w:p>
        </w:tc>
        <w:tc>
          <w:tcPr>
            <w:tcW w:w="2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April 15, 2026</w:t>
            </w:r>
          </w:p>
        </w:tc>
      </w:tr>
      <w:tr>
        <w:trPr>
          <w:trHeight w:val="22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Donald A. Harris</w:t>
            </w:r>
          </w:p>
        </w:tc>
        <w:tc>
          <w:tcPr>
            <w:tcW w:w="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2"/>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McGrath</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80" w:type="dxa"/>
            <w:vAlign w:val="bottom"/>
          </w:tcPr>
          <w:p>
            <w:pPr>
              <w:spacing w:after="0"/>
              <w:rPr>
                <w:sz w:val="24"/>
                <w:szCs w:val="24"/>
                <w:color w:val="auto"/>
              </w:rPr>
            </w:pPr>
          </w:p>
        </w:tc>
        <w:tc>
          <w:tcPr>
            <w:tcW w:w="2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April 15, 2026</w:t>
            </w:r>
          </w:p>
        </w:tc>
      </w:tr>
      <w:tr>
        <w:trPr>
          <w:trHeight w:val="22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Daniel McGrath</w:t>
            </w:r>
          </w:p>
        </w:tc>
        <w:tc>
          <w:tcPr>
            <w:tcW w:w="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2"/>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Nesbit</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80" w:type="dxa"/>
            <w:vAlign w:val="bottom"/>
          </w:tcPr>
          <w:p>
            <w:pPr>
              <w:spacing w:after="0"/>
              <w:rPr>
                <w:sz w:val="24"/>
                <w:szCs w:val="24"/>
                <w:color w:val="auto"/>
              </w:rPr>
            </w:pPr>
          </w:p>
        </w:tc>
        <w:tc>
          <w:tcPr>
            <w:tcW w:w="2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April 15, 2026</w:t>
            </w:r>
          </w:p>
        </w:tc>
      </w:tr>
      <w:tr>
        <w:trPr>
          <w:trHeight w:val="22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Stephen Nesbit</w:t>
            </w:r>
          </w:p>
        </w:tc>
        <w:tc>
          <w:tcPr>
            <w:tcW w:w="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2"/>
        </w:trPr>
        <w:tc>
          <w:tcPr>
            <w:tcW w:w="3920" w:type="dxa"/>
            <w:vAlign w:val="bottom"/>
          </w:tcPr>
          <w:p>
            <w:pPr>
              <w:spacing w:after="0"/>
              <w:rPr>
                <w:sz w:val="24"/>
                <w:szCs w:val="24"/>
                <w:color w:val="auto"/>
              </w:rPr>
            </w:pPr>
          </w:p>
        </w:tc>
        <w:tc>
          <w:tcPr>
            <w:tcW w:w="49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4"/>
        </w:trPr>
        <w:tc>
          <w:tcPr>
            <w:tcW w:w="3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720"/>
        </w:trPr>
        <w:tc>
          <w:tcPr>
            <w:tcW w:w="128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00" w:type="dxa"/>
            <w:vAlign w:val="bottom"/>
            <w:gridSpan w:val="3"/>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05"/>
        </w:trPr>
        <w:tc>
          <w:tcPr>
            <w:tcW w:w="108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 (PCAOB ID No. 248)</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F-2</w:t>
            </w:r>
          </w:p>
        </w:tc>
      </w:tr>
      <w:tr>
        <w:trPr>
          <w:trHeight w:val="217"/>
        </w:trPr>
        <w:tc>
          <w:tcPr>
            <w:tcW w:w="58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5020" w:type="dxa"/>
            <w:vAlign w:val="bottom"/>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r>
      <w:tr>
        <w:trPr>
          <w:trHeight w:val="193"/>
        </w:trPr>
        <w:tc>
          <w:tcPr>
            <w:tcW w:w="1084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4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F-4</w:t>
            </w:r>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5"/>
        </w:trPr>
        <w:tc>
          <w:tcPr>
            <w:tcW w:w="282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0000EE"/>
                <w:w w:val="99"/>
              </w:rPr>
              <w:t>Consolidated Statements of Operations</w:t>
            </w:r>
          </w:p>
        </w:tc>
        <w:tc>
          <w:tcPr>
            <w:tcW w:w="8020" w:type="dxa"/>
            <w:vAlign w:val="bottom"/>
            <w:gridSpan w:val="5"/>
          </w:tcPr>
          <w:p>
            <w:pPr>
              <w:spacing w:after="0"/>
              <w:rPr>
                <w:sz w:val="16"/>
                <w:szCs w:val="16"/>
                <w:color w:val="auto"/>
              </w:rPr>
            </w:pPr>
          </w:p>
        </w:tc>
        <w:tc>
          <w:tcPr>
            <w:tcW w:w="4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0000EE"/>
              </w:rPr>
              <w:t>F-5</w:t>
            </w:r>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5"/>
        </w:trPr>
        <w:tc>
          <w:tcPr>
            <w:tcW w:w="352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EE"/>
                <w:w w:val="98"/>
              </w:rPr>
              <w:t>Consolidated Statements of Comprehensive Loss</w:t>
            </w:r>
          </w:p>
        </w:tc>
        <w:tc>
          <w:tcPr>
            <w:tcW w:w="7320" w:type="dxa"/>
            <w:vAlign w:val="bottom"/>
            <w:gridSpan w:val="2"/>
          </w:tcPr>
          <w:p>
            <w:pPr>
              <w:spacing w:after="0"/>
              <w:rPr>
                <w:sz w:val="16"/>
                <w:szCs w:val="16"/>
                <w:color w:val="auto"/>
              </w:rPr>
            </w:pPr>
          </w:p>
        </w:tc>
        <w:tc>
          <w:tcPr>
            <w:tcW w:w="4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0000EE"/>
              </w:rPr>
              <w:t>F-6</w:t>
            </w:r>
          </w:p>
        </w:tc>
      </w:tr>
      <w:tr>
        <w:trPr>
          <w:trHeight w:val="20"/>
        </w:trPr>
        <w:tc>
          <w:tcPr>
            <w:tcW w:w="28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320" w:type="dxa"/>
            <w:vAlign w:val="bottom"/>
            <w:tcBorders>
              <w:left w:val="single" w:sz="8" w:color="0000EE"/>
            </w:tcBorders>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5"/>
        </w:trPr>
        <w:tc>
          <w:tcPr>
            <w:tcW w:w="352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EE"/>
                <w:w w:val="98"/>
              </w:rPr>
              <w:t>Consolidated Statements of Shareholders’ Equity</w:t>
            </w:r>
          </w:p>
        </w:tc>
        <w:tc>
          <w:tcPr>
            <w:tcW w:w="7320" w:type="dxa"/>
            <w:vAlign w:val="bottom"/>
            <w:gridSpan w:val="2"/>
          </w:tcPr>
          <w:p>
            <w:pPr>
              <w:spacing w:after="0"/>
              <w:rPr>
                <w:sz w:val="16"/>
                <w:szCs w:val="16"/>
                <w:color w:val="auto"/>
              </w:rPr>
            </w:pPr>
          </w:p>
        </w:tc>
        <w:tc>
          <w:tcPr>
            <w:tcW w:w="4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0000EE"/>
              </w:rPr>
              <w:t>F-7</w:t>
            </w:r>
          </w:p>
        </w:tc>
      </w:tr>
      <w:tr>
        <w:trPr>
          <w:trHeight w:val="20"/>
        </w:trPr>
        <w:tc>
          <w:tcPr>
            <w:tcW w:w="28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5"/>
        </w:trPr>
        <w:tc>
          <w:tcPr>
            <w:tcW w:w="352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7320" w:type="dxa"/>
            <w:vAlign w:val="bottom"/>
            <w:gridSpan w:val="2"/>
          </w:tcPr>
          <w:p>
            <w:pPr>
              <w:spacing w:after="0"/>
              <w:rPr>
                <w:sz w:val="16"/>
                <w:szCs w:val="16"/>
                <w:color w:val="auto"/>
              </w:rPr>
            </w:pPr>
          </w:p>
        </w:tc>
        <w:tc>
          <w:tcPr>
            <w:tcW w:w="4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0000EE"/>
              </w:rPr>
              <w:t>F-8</w:t>
            </w:r>
          </w:p>
        </w:tc>
      </w:tr>
      <w:tr>
        <w:trPr>
          <w:trHeight w:val="20"/>
        </w:trPr>
        <w:tc>
          <w:tcPr>
            <w:tcW w:w="2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70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5"/>
        </w:trPr>
        <w:tc>
          <w:tcPr>
            <w:tcW w:w="1084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0000EE"/>
              </w:rPr>
              <w:t>F-9</w:t>
            </w:r>
          </w:p>
        </w:tc>
      </w:tr>
      <w:tr>
        <w:trPr>
          <w:trHeight w:val="693"/>
        </w:trPr>
        <w:tc>
          <w:tcPr>
            <w:tcW w:w="12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7320" w:type="dxa"/>
            <w:vAlign w:val="bottom"/>
            <w:gridSpan w:val="2"/>
          </w:tcPr>
          <w:p>
            <w:pPr>
              <w:jc w:val="center"/>
              <w:ind w:right="3120"/>
              <w:spacing w:after="0"/>
              <w:rPr>
                <w:sz w:val="20"/>
                <w:szCs w:val="20"/>
                <w:color w:val="auto"/>
              </w:rPr>
            </w:pPr>
            <w:r>
              <w:rPr>
                <w:rFonts w:ascii="Times New Roman" w:cs="Times New Roman" w:eastAsia="Times New Roman" w:hAnsi="Times New Roman"/>
                <w:sz w:val="18"/>
                <w:szCs w:val="18"/>
                <w:color w:val="auto"/>
                <w:w w:val="95"/>
              </w:rPr>
              <w:t>F-1</w:t>
            </w:r>
          </w:p>
        </w:tc>
        <w:tc>
          <w:tcPr>
            <w:tcW w:w="2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114"/>
        </w:trPr>
        <w:tc>
          <w:tcPr>
            <w:tcW w:w="1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50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0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Creative Realities, Inc.</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Creative Realities, Inc. (a Minnesota corporation) and subsidiaries (the “Company”) as of December 31, 2025 and 2024, the related consolidated statements of operations, comprehensive loss, changes in shareholders’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is experiencing difficulty due to the accumulated deficit, negative working capital, recurring losses and use of cash in operations, which raises substantial doubt about its ability to continue as a going concern. These conditions, along with other matters as set forth in Note 1,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Acquisition - CDM - valuation of developed technology and customer relationships intangible assets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described further in Note 5 to the consolidated financial statements, the Company acquired CDM on November 7th, 2025 for a total purchase price of approximately $42.8 million. The acquisition was accounted for as a business combination and the assets acquired and liabilities assumed were valued at fair value on the date of acquisition. Specifically, the Company identified developed technology and customer relationships of approximately $6.7 million and $14.3 million, respectively. We identified the valuation of developed technology and customer relationships intangible assets acquired in the CDM acquisition as a critical audit matter.</w:t>
      </w:r>
    </w:p>
    <w:p>
      <w:pPr>
        <w:spacing w:after="0" w:line="1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valuation of developed technology and customer relationships intangible assets acquired in the CDM acquisition is a critical audit matter are the high degree of auditor judgment and subjectivity in performing procedures and evaluating management’s significant assumptions relating to the projected forecasted information including the revenue growth rate and discount rate.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Our audit procedures related to the valuation of developed technology and customer relationships intangible assets acquired in the CDM acquisition included the following, among others:</w:t>
      </w:r>
    </w:p>
    <w:p>
      <w:pPr>
        <w:spacing w:after="0" w:line="163" w:lineRule="exact"/>
        <w:rPr>
          <w:sz w:val="20"/>
          <w:szCs w:val="20"/>
          <w:color w:val="auto"/>
        </w:rPr>
      </w:pPr>
    </w:p>
    <w:p>
      <w:pPr>
        <w:ind w:left="660" w:hanging="330"/>
        <w:spacing w:after="0" w:line="280"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implementation of relevant controls over the development and review of significant assumptions used in the determination of the fair value of the developed technology and customer relationships intangible assets.</w:t>
      </w:r>
    </w:p>
    <w:p>
      <w:pPr>
        <w:spacing w:after="0" w:line="162"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projected financial information including the revenue growth rate by assessing the reasonableness of management's forecasts compared to historical results and forecasted industry trends.</w:t>
      </w:r>
    </w:p>
    <w:p>
      <w:pPr>
        <w:spacing w:after="0" w:line="162" w:lineRule="exact"/>
        <w:rPr>
          <w:rFonts w:ascii="Times New Roman" w:cs="Times New Roman" w:eastAsia="Times New Roman" w:hAnsi="Times New Roman"/>
          <w:sz w:val="18"/>
          <w:szCs w:val="18"/>
          <w:color w:val="auto"/>
        </w:rPr>
      </w:pPr>
    </w:p>
    <w:p>
      <w:pPr>
        <w:jc w:val="both"/>
        <w:ind w:left="660" w:hanging="330"/>
        <w:spacing w:after="0" w:line="265"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valuation specialists, we evaluated the appropriateness of the valuation methodology used to determine the fair value of the developed technology and customer relationships intangible assets and the reasonableness of the discount rate used by management. We developed an independent estimate of the discount rate using comparable companies and compared that rate to the rate selected by management.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2026</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1"/>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CREATIVE REALITIES, INC.</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1,559</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19,219</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7,420</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5,347</w:t>
            </w: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33,545</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2,937</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53,266</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35,906</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22,658</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2,117</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w:t>
            </w: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TEMPORARY EQUITY,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16,673</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3,837</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8,115</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Customer deposits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1,823</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maturities of finance leases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3,799</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debt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4,430</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Short-term contingent consideration, at fair value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39,273</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4,940</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Term debt, net of deferred financing costs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34,583</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1,673</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17,844</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3,541</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101,854</w:t>
            </w:r>
          </w:p>
        </w:tc>
        <w:tc>
          <w:tcPr>
            <w:tcW w:w="2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gridSpan w:val="2"/>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Series A Redeemable Convertible Preferred stock, $1,000 stated value, 50,000 shares authorized; 30 and 0</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shares issued and outstanding as of December 31, 2025 and 2024, respectively</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Liquidation preference of $30,232 and $0 as of December 31, 2025 and 2024, respectively</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27,688</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gridSpan w:val="2"/>
          </w:tcPr>
          <w:p>
            <w:pPr>
              <w:ind w:left="140"/>
              <w:spacing w:after="0" w:line="197" w:lineRule="exact"/>
              <w:rPr>
                <w:sz w:val="20"/>
                <w:szCs w:val="20"/>
                <w:color w:val="auto"/>
              </w:rPr>
            </w:pPr>
            <w:r>
              <w:rPr>
                <w:rFonts w:ascii="Times New Roman" w:cs="Times New Roman" w:eastAsia="Times New Roman" w:hAnsi="Times New Roman"/>
                <w:sz w:val="18"/>
                <w:szCs w:val="18"/>
                <w:color w:val="auto"/>
              </w:rPr>
              <w:t>Common stock, $0.01 par value, 66,666 shares authorized; 10,519 and 10,447 shares issued and</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outstanding as of December 31, 2025 and 2024, respectively</w:t>
            </w:r>
          </w:p>
        </w:tc>
        <w:tc>
          <w:tcPr>
            <w:tcW w:w="3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85,300</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82,210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(65,130)</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(56,854)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1,223</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21,498</w:t>
            </w:r>
          </w:p>
        </w:tc>
        <w:tc>
          <w:tcPr>
            <w:tcW w:w="2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Temporary Equity, and Shareholders' Equity</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151,040</w:t>
            </w: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1"/>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CREATIVE REALITIES, INC.</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20" w:type="dxa"/>
            <w:vAlign w:val="bottom"/>
            <w:gridSpan w:val="4"/>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Hardware</w:t>
            </w:r>
          </w:p>
        </w:tc>
        <w:tc>
          <w:tcPr>
            <w:tcW w:w="94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21,232</w:t>
            </w:r>
          </w:p>
        </w:tc>
        <w:tc>
          <w:tcPr>
            <w:tcW w:w="94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18,259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36,000</w:t>
            </w: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32,595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57,232</w:t>
            </w: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Hardware</w:t>
            </w:r>
          </w:p>
        </w:tc>
        <w:tc>
          <w:tcPr>
            <w:tcW w:w="940" w:type="dxa"/>
            <w:vAlign w:val="bottom"/>
          </w:tcPr>
          <w:p>
            <w:pPr>
              <w:spacing w:after="0"/>
              <w:rPr>
                <w:sz w:val="18"/>
                <w:szCs w:val="18"/>
                <w:color w:val="auto"/>
              </w:rPr>
            </w:pPr>
          </w:p>
        </w:tc>
        <w:tc>
          <w:tcPr>
            <w:tcW w:w="7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15,292</w:t>
            </w:r>
          </w:p>
        </w:tc>
        <w:tc>
          <w:tcPr>
            <w:tcW w:w="940" w:type="dxa"/>
            <w:vAlign w:val="bottom"/>
          </w:tcPr>
          <w:p>
            <w:pPr>
              <w:spacing w:after="0"/>
              <w:rPr>
                <w:sz w:val="18"/>
                <w:szCs w:val="18"/>
                <w:color w:val="auto"/>
              </w:rPr>
            </w:pPr>
          </w:p>
        </w:tc>
        <w:tc>
          <w:tcPr>
            <w:tcW w:w="6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13,521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16,226</w:t>
            </w: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13,322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31,518</w:t>
            </w:r>
          </w:p>
        </w:tc>
        <w:tc>
          <w:tcPr>
            <w:tcW w:w="2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40" w:type="dxa"/>
            <w:vAlign w:val="bottom"/>
          </w:tcPr>
          <w:p>
            <w:pPr>
              <w:spacing w:after="0"/>
              <w:rPr>
                <w:sz w:val="18"/>
                <w:szCs w:val="18"/>
                <w:color w:val="auto"/>
              </w:rPr>
            </w:pPr>
          </w:p>
        </w:tc>
        <w:tc>
          <w:tcPr>
            <w:tcW w:w="7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5,803</w:t>
            </w:r>
          </w:p>
        </w:tc>
        <w:tc>
          <w:tcPr>
            <w:tcW w:w="940" w:type="dxa"/>
            <w:vAlign w:val="bottom"/>
          </w:tcPr>
          <w:p>
            <w:pPr>
              <w:spacing w:after="0"/>
              <w:rPr>
                <w:sz w:val="18"/>
                <w:szCs w:val="18"/>
                <w:color w:val="auto"/>
              </w:rPr>
            </w:pPr>
          </w:p>
        </w:tc>
        <w:tc>
          <w:tcPr>
            <w:tcW w:w="6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6,015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23,065</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17,058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on impairment of software asset</w:t>
            </w:r>
          </w:p>
        </w:tc>
        <w:tc>
          <w:tcPr>
            <w:tcW w:w="940" w:type="dxa"/>
            <w:vAlign w:val="bottom"/>
          </w:tcPr>
          <w:p>
            <w:pPr>
              <w:spacing w:after="0"/>
              <w:rPr>
                <w:sz w:val="19"/>
                <w:szCs w:val="19"/>
                <w:color w:val="auto"/>
              </w:rPr>
            </w:pPr>
          </w:p>
        </w:tc>
        <w:tc>
          <w:tcPr>
            <w:tcW w:w="7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5,712</w:t>
            </w:r>
          </w:p>
        </w:tc>
        <w:tc>
          <w:tcPr>
            <w:tcW w:w="940" w:type="dxa"/>
            <w:vAlign w:val="bottom"/>
          </w:tcPr>
          <w:p>
            <w:pPr>
              <w:spacing w:after="0"/>
              <w:rPr>
                <w:sz w:val="19"/>
                <w:szCs w:val="19"/>
                <w:color w:val="auto"/>
              </w:rPr>
            </w:pPr>
          </w:p>
        </w:tc>
        <w:tc>
          <w:tcPr>
            <w:tcW w:w="6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34,580</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(8,866)</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2,479</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on change in fair value of contingent consideration</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(4,775)</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modification</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40" w:type="dxa"/>
            <w:vAlign w:val="bottom"/>
          </w:tcPr>
          <w:p>
            <w:pPr>
              <w:spacing w:after="0"/>
              <w:rPr>
                <w:sz w:val="19"/>
                <w:szCs w:val="19"/>
                <w:color w:val="auto"/>
              </w:rPr>
            </w:pPr>
          </w:p>
        </w:tc>
        <w:tc>
          <w:tcPr>
            <w:tcW w:w="7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516</w:t>
            </w:r>
          </w:p>
        </w:tc>
        <w:tc>
          <w:tcPr>
            <w:tcW w:w="9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other (income) expenses, net</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220" w:type="dxa"/>
            <w:vAlign w:val="bottom"/>
            <w:tcBorders>
              <w:top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(7,110)</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tcPr>
          <w:p>
            <w:pPr>
              <w:spacing w:after="0"/>
              <w:rPr>
                <w:sz w:val="19"/>
                <w:szCs w:val="19"/>
                <w:color w:val="auto"/>
              </w:rPr>
            </w:pPr>
          </w:p>
        </w:tc>
        <w:tc>
          <w:tcPr>
            <w:tcW w:w="7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(1,166)</w:t>
            </w:r>
          </w:p>
        </w:tc>
        <w:tc>
          <w:tcPr>
            <w:tcW w:w="9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(8,276)</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Series A Redeemable Convertible Preferred Stock dividends</w:t>
            </w:r>
          </w:p>
        </w:tc>
        <w:tc>
          <w:tcPr>
            <w:tcW w:w="940" w:type="dxa"/>
            <w:vAlign w:val="bottom"/>
          </w:tcPr>
          <w:p>
            <w:pPr>
              <w:spacing w:after="0"/>
              <w:rPr>
                <w:sz w:val="19"/>
                <w:szCs w:val="19"/>
                <w:color w:val="auto"/>
              </w:rPr>
            </w:pPr>
          </w:p>
        </w:tc>
        <w:tc>
          <w:tcPr>
            <w:tcW w:w="7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(232)</w:t>
            </w:r>
          </w:p>
        </w:tc>
        <w:tc>
          <w:tcPr>
            <w:tcW w:w="940" w:type="dxa"/>
            <w:vAlign w:val="bottom"/>
          </w:tcPr>
          <w:p>
            <w:pPr>
              <w:spacing w:after="0"/>
              <w:rPr>
                <w:sz w:val="19"/>
                <w:szCs w:val="19"/>
                <w:color w:val="auto"/>
              </w:rPr>
            </w:pPr>
          </w:p>
        </w:tc>
        <w:tc>
          <w:tcPr>
            <w:tcW w:w="6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 applicable to common stockholders</w:t>
            </w:r>
          </w:p>
        </w:tc>
        <w:tc>
          <w:tcPr>
            <w:tcW w:w="94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common share</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(0.81)</w:t>
            </w:r>
          </w:p>
        </w:tc>
        <w:tc>
          <w:tcPr>
            <w:tcW w:w="94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9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10,495</w:t>
            </w:r>
          </w:p>
        </w:tc>
        <w:tc>
          <w:tcPr>
            <w:tcW w:w="9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10,440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bottom w:val="single" w:sz="8" w:color="CCEEFF"/>
            </w:tcBorders>
            <w:vMerge w:val="restart"/>
          </w:tcPr>
          <w:p>
            <w:pPr>
              <w:jc w:val="center"/>
              <w:ind w:left="1890"/>
              <w:spacing w:after="0"/>
              <w:rPr>
                <w:sz w:val="20"/>
                <w:szCs w:val="20"/>
                <w:color w:val="auto"/>
              </w:rPr>
            </w:pPr>
            <w:r>
              <w:rPr>
                <w:rFonts w:ascii="Times New Roman" w:cs="Times New Roman" w:eastAsia="Times New Roman" w:hAnsi="Times New Roman"/>
                <w:sz w:val="18"/>
                <w:szCs w:val="18"/>
                <w:i w:val="1"/>
                <w:iCs w:val="1"/>
                <w:color w:val="auto"/>
                <w:w w:val="99"/>
              </w:rPr>
              <w:t>See accompanying Notes to Consolidated Financial Statements.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w w:val="95"/>
              </w:rPr>
              <w:t>F-5</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7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1"/>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340" w:type="dxa"/>
            <w:vAlign w:val="bottom"/>
          </w:tcPr>
          <w:p>
            <w:pPr>
              <w:spacing w:after="0"/>
              <w:rPr>
                <w:sz w:val="24"/>
                <w:szCs w:val="24"/>
                <w:color w:val="auto"/>
              </w:rPr>
            </w:pPr>
          </w:p>
        </w:tc>
        <w:tc>
          <w:tcPr>
            <w:tcW w:w="6340" w:type="dxa"/>
            <w:vAlign w:val="bottom"/>
            <w:gridSpan w:val="2"/>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9"/>
              </w:rPr>
              <w:t>CREATIVE REALITIES, INC.</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40" w:type="dxa"/>
            <w:vAlign w:val="bottom"/>
            <w:gridSpan w:val="2"/>
          </w:tcPr>
          <w:p>
            <w:pPr>
              <w:jc w:val="center"/>
              <w:ind w:right="252"/>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COMPREHENSIVE LOSS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340" w:type="dxa"/>
            <w:vAlign w:val="bottom"/>
            <w:gridSpan w:val="2"/>
          </w:tcPr>
          <w:p>
            <w:pPr>
              <w:jc w:val="center"/>
              <w:ind w:right="252"/>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620" w:type="dxa"/>
            <w:vAlign w:val="bottom"/>
            <w:gridSpan w:val="4"/>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54"/>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340" w:type="dxa"/>
            <w:vAlign w:val="bottom"/>
            <w:gridSpan w:val="2"/>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(8,276)</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40" w:type="dxa"/>
            <w:vAlign w:val="bottom"/>
            <w:gridSpan w:val="4"/>
            <w:shd w:val="clear" w:color="auto" w:fill="CCEEFF"/>
          </w:tcPr>
          <w:p>
            <w:pPr>
              <w:jc w:val="right"/>
              <w:ind w:right="5612"/>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1,223</w:t>
            </w:r>
          </w:p>
        </w:tc>
        <w:tc>
          <w:tcPr>
            <w:tcW w:w="9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5380" w:type="dxa"/>
            <w:vAlign w:val="bottom"/>
          </w:tcPr>
          <w:p>
            <w:pPr>
              <w:spacing w:after="0"/>
              <w:rPr>
                <w:sz w:val="19"/>
                <w:szCs w:val="19"/>
                <w:color w:val="auto"/>
              </w:rPr>
            </w:pPr>
          </w:p>
        </w:tc>
        <w:tc>
          <w:tcPr>
            <w:tcW w:w="960" w:type="dxa"/>
            <w:vAlign w:val="bottom"/>
            <w:tcBorders>
              <w:top w:val="single" w:sz="8" w:color="auto"/>
            </w:tcBorders>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1"/>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gridSpan w:val="7"/>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CREATIVE REALITIES, INC.</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00" w:type="dxa"/>
            <w:vAlign w:val="bottom"/>
            <w:gridSpan w:val="13"/>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SHAREHOLDERS</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b w:val="1"/>
                <w:bCs w:val="1"/>
                <w:color w:val="auto"/>
                <w:w w:val="98"/>
              </w:rPr>
              <w:t xml:space="preserve"> EQUITY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60" w:type="dxa"/>
            <w:vAlign w:val="bottom"/>
            <w:gridSpan w:val="10"/>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 2025 and 2024</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000" w:type="dxa"/>
            <w:vAlign w:val="bottom"/>
            <w:gridSpan w:val="9"/>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amounts)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8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20"/>
                <w:szCs w:val="20"/>
                <w:color w:val="auto"/>
              </w:rPr>
            </w:pPr>
          </w:p>
        </w:tc>
        <w:tc>
          <w:tcPr>
            <w:tcW w:w="1340" w:type="dxa"/>
            <w:vAlign w:val="bottom"/>
            <w:gridSpan w:val="3"/>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60" w:type="dxa"/>
            <w:vAlign w:val="bottom"/>
          </w:tcPr>
          <w:p>
            <w:pPr>
              <w:spacing w:after="0"/>
              <w:rPr>
                <w:sz w:val="19"/>
                <w:szCs w:val="19"/>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62"/>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10,409,027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82,073</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8"/>
                <w:szCs w:val="18"/>
                <w:color w:val="auto"/>
              </w:rPr>
            </w:pPr>
          </w:p>
        </w:tc>
        <w:tc>
          <w:tcPr>
            <w:tcW w:w="10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Shares issued to employees pursuant to the</w:t>
            </w: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Retention Bonus Plan</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37,632</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(3,508)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10,446,659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72,273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6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Series A Redeemable Convertible Preferred</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tcPr>
          <w:p>
            <w:pPr>
              <w:spacing w:after="0"/>
              <w:rPr>
                <w:sz w:val="20"/>
                <w:szCs w:val="20"/>
                <w:color w:val="auto"/>
              </w:rPr>
            </w:pPr>
          </w:p>
        </w:tc>
        <w:tc>
          <w:tcPr>
            <w:tcW w:w="10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Issuance of warrants in connection with</w:t>
            </w: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contingent consideration</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1,040</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(8,276)</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(8,276)</w:t>
            </w:r>
          </w:p>
        </w:tc>
        <w:tc>
          <w:tcPr>
            <w:tcW w:w="0" w:type="dxa"/>
            <w:vAlign w:val="bottom"/>
          </w:tcPr>
          <w:p>
            <w:pPr>
              <w:spacing w:after="0"/>
              <w:rPr>
                <w:sz w:val="1"/>
                <w:szCs w:val="1"/>
                <w:color w:val="auto"/>
              </w:rPr>
            </w:pPr>
          </w:p>
        </w:tc>
      </w:tr>
      <w:tr>
        <w:trPr>
          <w:trHeight w:val="222"/>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10,518,932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85,300</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3"/>
              </w:rPr>
              <w:t>1,223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(65,130</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1"/>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CREATIVE REALITIES, INC.</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CASH FLOWS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6"/>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(8,276)</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7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6,491</w:t>
            </w:r>
          </w:p>
        </w:tc>
        <w:tc>
          <w:tcPr>
            <w:tcW w:w="320" w:type="dxa"/>
            <w:vAlign w:val="bottom"/>
          </w:tcPr>
          <w:p>
            <w:pPr>
              <w:spacing w:after="0"/>
              <w:rPr>
                <w:sz w:val="18"/>
                <w:szCs w:val="18"/>
                <w:color w:val="auto"/>
              </w:rPr>
            </w:pPr>
          </w:p>
        </w:tc>
        <w:tc>
          <w:tcPr>
            <w:tcW w:w="12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4,078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621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2,283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20" w:type="dxa"/>
            <w:vAlign w:val="bottom"/>
          </w:tcPr>
          <w:p>
            <w:pPr>
              <w:spacing w:after="0"/>
              <w:rPr>
                <w:sz w:val="18"/>
                <w:szCs w:val="18"/>
                <w:color w:val="auto"/>
              </w:rPr>
            </w:pPr>
          </w:p>
        </w:tc>
        <w:tc>
          <w:tcPr>
            <w:tcW w:w="7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tcPr>
          <w:p>
            <w:pPr>
              <w:spacing w:after="0"/>
              <w:rPr>
                <w:sz w:val="18"/>
                <w:szCs w:val="18"/>
                <w:color w:val="auto"/>
              </w:rPr>
            </w:pPr>
          </w:p>
        </w:tc>
        <w:tc>
          <w:tcPr>
            <w:tcW w:w="12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on modification of revolver</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of software asset</w:t>
            </w:r>
          </w:p>
        </w:tc>
        <w:tc>
          <w:tcPr>
            <w:tcW w:w="920" w:type="dxa"/>
            <w:vAlign w:val="bottom"/>
          </w:tcPr>
          <w:p>
            <w:pPr>
              <w:spacing w:after="0"/>
              <w:rPr>
                <w:sz w:val="18"/>
                <w:szCs w:val="18"/>
                <w:color w:val="auto"/>
              </w:rPr>
            </w:pPr>
          </w:p>
        </w:tc>
        <w:tc>
          <w:tcPr>
            <w:tcW w:w="7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5,712</w:t>
            </w:r>
          </w:p>
        </w:tc>
        <w:tc>
          <w:tcPr>
            <w:tcW w:w="320" w:type="dxa"/>
            <w:vAlign w:val="bottom"/>
          </w:tcPr>
          <w:p>
            <w:pPr>
              <w:spacing w:after="0"/>
              <w:rPr>
                <w:sz w:val="18"/>
                <w:szCs w:val="18"/>
                <w:color w:val="auto"/>
              </w:rPr>
            </w:pPr>
          </w:p>
        </w:tc>
        <w:tc>
          <w:tcPr>
            <w:tcW w:w="12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160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on change in fair value of contingent consideration</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(4,775)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Pr>
          <w:p>
            <w:pPr>
              <w:spacing w:after="0"/>
              <w:rPr>
                <w:sz w:val="18"/>
                <w:szCs w:val="18"/>
                <w:color w:val="auto"/>
              </w:rPr>
            </w:pPr>
          </w:p>
        </w:tc>
        <w:tc>
          <w:tcPr>
            <w:tcW w:w="7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1,139</w:t>
            </w:r>
          </w:p>
        </w:tc>
        <w:tc>
          <w:tcPr>
            <w:tcW w:w="320" w:type="dxa"/>
            <w:vAlign w:val="bottom"/>
          </w:tcPr>
          <w:p>
            <w:pPr>
              <w:spacing w:after="0"/>
              <w:rPr>
                <w:sz w:val="18"/>
                <w:szCs w:val="18"/>
                <w:color w:val="auto"/>
              </w:rPr>
            </w:pPr>
          </w:p>
        </w:tc>
        <w:tc>
          <w:tcPr>
            <w:tcW w:w="12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to operating assets and liabilities, net of acquisitions: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8"/>
                <w:szCs w:val="18"/>
                <w:color w:val="auto"/>
              </w:rPr>
            </w:pPr>
          </w:p>
        </w:tc>
        <w:tc>
          <w:tcPr>
            <w:tcW w:w="7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(6,056)</w:t>
            </w:r>
          </w:p>
        </w:tc>
        <w:tc>
          <w:tcPr>
            <w:tcW w:w="320" w:type="dxa"/>
            <w:vAlign w:val="bottom"/>
          </w:tcPr>
          <w:p>
            <w:pPr>
              <w:spacing w:after="0"/>
              <w:rPr>
                <w:sz w:val="18"/>
                <w:szCs w:val="18"/>
                <w:color w:val="auto"/>
              </w:rPr>
            </w:pPr>
          </w:p>
        </w:tc>
        <w:tc>
          <w:tcPr>
            <w:tcW w:w="12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(3,846)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8"/>
                <w:szCs w:val="18"/>
                <w:color w:val="auto"/>
              </w:rPr>
            </w:pPr>
          </w:p>
        </w:tc>
        <w:tc>
          <w:tcPr>
            <w:tcW w:w="7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1,699</w:t>
            </w: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4,357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20" w:type="dxa"/>
            <w:vAlign w:val="bottom"/>
          </w:tcPr>
          <w:p>
            <w:pPr>
              <w:spacing w:after="0"/>
              <w:rPr>
                <w:sz w:val="18"/>
                <w:szCs w:val="18"/>
                <w:color w:val="auto"/>
              </w:rPr>
            </w:pPr>
          </w:p>
        </w:tc>
        <w:tc>
          <w:tcPr>
            <w:tcW w:w="7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(6,003)</w:t>
            </w: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(549)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Customer deposits</w:t>
            </w:r>
          </w:p>
        </w:tc>
        <w:tc>
          <w:tcPr>
            <w:tcW w:w="920" w:type="dxa"/>
            <w:vAlign w:val="bottom"/>
          </w:tcPr>
          <w:p>
            <w:pPr>
              <w:spacing w:after="0"/>
              <w:rPr>
                <w:sz w:val="18"/>
                <w:szCs w:val="18"/>
                <w:color w:val="auto"/>
              </w:rPr>
            </w:pPr>
          </w:p>
        </w:tc>
        <w:tc>
          <w:tcPr>
            <w:tcW w:w="7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(358)</w:t>
            </w: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920" w:type="dxa"/>
            <w:vAlign w:val="bottom"/>
          </w:tcPr>
          <w:p>
            <w:pPr>
              <w:spacing w:after="0"/>
              <w:rPr>
                <w:sz w:val="18"/>
                <w:szCs w:val="18"/>
                <w:color w:val="auto"/>
              </w:rPr>
            </w:pPr>
          </w:p>
        </w:tc>
        <w:tc>
          <w:tcPr>
            <w:tcW w:w="7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(633)</w:t>
            </w: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9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220" w:type="dxa"/>
            <w:vAlign w:val="bottom"/>
            <w:tcBorders>
              <w:bottom w:val="single" w:sz="8" w:color="CCEEFF"/>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acquisition of Cineplex Digital Media (net of cash acquired)</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w w:val="94"/>
              </w:rPr>
              <w:t>(37,983)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tcPr>
          <w:p>
            <w:pPr>
              <w:spacing w:after="0"/>
              <w:rPr>
                <w:sz w:val="18"/>
                <w:szCs w:val="18"/>
                <w:color w:val="auto"/>
              </w:rPr>
            </w:pPr>
          </w:p>
        </w:tc>
        <w:tc>
          <w:tcPr>
            <w:tcW w:w="7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(306)</w:t>
            </w: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 of costs for software development</w:t>
            </w:r>
          </w:p>
        </w:tc>
        <w:tc>
          <w:tcPr>
            <w:tcW w:w="9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(2,188)</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(40,477</w:t>
            </w:r>
          </w:p>
        </w:tc>
        <w:tc>
          <w:tcPr>
            <w:tcW w:w="220" w:type="dxa"/>
            <w:vAlign w:val="bottom"/>
            <w:tcBorders>
              <w:bottom w:val="single" w:sz="8" w:color="CCEEFF"/>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Series A Redeemable Convertible Preferred Stock</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30,000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issuance costs related to Series A Redeemable Convertible Preferred Stock</w:t>
            </w:r>
          </w:p>
        </w:tc>
        <w:tc>
          <w:tcPr>
            <w:tcW w:w="920" w:type="dxa"/>
            <w:vAlign w:val="bottom"/>
          </w:tcPr>
          <w:p>
            <w:pPr>
              <w:spacing w:after="0"/>
              <w:rPr>
                <w:sz w:val="18"/>
                <w:szCs w:val="18"/>
                <w:color w:val="auto"/>
              </w:rPr>
            </w:pPr>
          </w:p>
        </w:tc>
        <w:tc>
          <w:tcPr>
            <w:tcW w:w="7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(2,544)</w:t>
            </w:r>
          </w:p>
        </w:tc>
        <w:tc>
          <w:tcPr>
            <w:tcW w:w="320" w:type="dxa"/>
            <w:vAlign w:val="bottom"/>
          </w:tcPr>
          <w:p>
            <w:pPr>
              <w:spacing w:after="0"/>
              <w:rPr>
                <w:sz w:val="18"/>
                <w:szCs w:val="18"/>
                <w:color w:val="auto"/>
              </w:rPr>
            </w:pPr>
          </w:p>
        </w:tc>
        <w:tc>
          <w:tcPr>
            <w:tcW w:w="12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term debt</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36,000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term debts</w:t>
            </w:r>
          </w:p>
        </w:tc>
        <w:tc>
          <w:tcPr>
            <w:tcW w:w="920" w:type="dxa"/>
            <w:vAlign w:val="bottom"/>
          </w:tcPr>
          <w:p>
            <w:pPr>
              <w:spacing w:after="0"/>
              <w:rPr>
                <w:sz w:val="18"/>
                <w:szCs w:val="18"/>
                <w:color w:val="auto"/>
              </w:rPr>
            </w:pPr>
          </w:p>
        </w:tc>
        <w:tc>
          <w:tcPr>
            <w:tcW w:w="7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(490)</w:t>
            </w: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borrowings under revolving credit facility</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41,712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31,459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borrowings under revolving credit facility</w:t>
            </w:r>
          </w:p>
        </w:tc>
        <w:tc>
          <w:tcPr>
            <w:tcW w:w="920" w:type="dxa"/>
            <w:vAlign w:val="bottom"/>
          </w:tcPr>
          <w:p>
            <w:pPr>
              <w:spacing w:after="0"/>
              <w:rPr>
                <w:sz w:val="18"/>
                <w:szCs w:val="18"/>
                <w:color w:val="auto"/>
              </w:rPr>
            </w:pPr>
          </w:p>
        </w:tc>
        <w:tc>
          <w:tcPr>
            <w:tcW w:w="7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w w:val="94"/>
              </w:rPr>
              <w:t>(49,817)</w:t>
            </w: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(3,000)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920" w:type="dxa"/>
            <w:vAlign w:val="bottom"/>
          </w:tcPr>
          <w:p>
            <w:pPr>
              <w:spacing w:after="0"/>
              <w:rPr>
                <w:sz w:val="18"/>
                <w:szCs w:val="18"/>
                <w:color w:val="auto"/>
              </w:rPr>
            </w:pPr>
          </w:p>
        </w:tc>
        <w:tc>
          <w:tcPr>
            <w:tcW w:w="7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(850)</w:t>
            </w: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finance lease obligations</w:t>
            </w:r>
          </w:p>
        </w:tc>
        <w:tc>
          <w:tcPr>
            <w:tcW w:w="9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(2,272)</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9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48,739</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on cash and cash equivalents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522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year</w:t>
            </w:r>
          </w:p>
        </w:tc>
        <w:tc>
          <w:tcPr>
            <w:tcW w:w="920" w:type="dxa"/>
            <w:vAlign w:val="bottom"/>
          </w:tcPr>
          <w:p>
            <w:pPr>
              <w:spacing w:after="0"/>
              <w:rPr>
                <w:sz w:val="19"/>
                <w:szCs w:val="19"/>
                <w:color w:val="auto"/>
              </w:rPr>
            </w:pPr>
          </w:p>
        </w:tc>
        <w:tc>
          <w:tcPr>
            <w:tcW w:w="7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1,037</w:t>
            </w:r>
          </w:p>
        </w:tc>
        <w:tc>
          <w:tcPr>
            <w:tcW w:w="320" w:type="dxa"/>
            <w:vAlign w:val="bottom"/>
          </w:tcPr>
          <w:p>
            <w:pPr>
              <w:spacing w:after="0"/>
              <w:rPr>
                <w:sz w:val="19"/>
                <w:szCs w:val="19"/>
                <w:color w:val="auto"/>
              </w:rPr>
            </w:pPr>
          </w:p>
        </w:tc>
        <w:tc>
          <w:tcPr>
            <w:tcW w:w="12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2,910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92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NATURE OF ORGANIZATION AND OPERATIONS</w:t>
      </w:r>
    </w:p>
    <w:p>
      <w:pPr>
        <w:spacing w:after="0" w:line="225" w:lineRule="exact"/>
        <w:rPr>
          <w:sz w:val="20"/>
          <w:szCs w:val="20"/>
          <w:color w:val="auto"/>
        </w:rPr>
      </w:pPr>
    </w:p>
    <w:p>
      <w:pPr>
        <w:jc w:val="both"/>
        <w:ind w:firstLine="646"/>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Unless the context otherwise indicates, references in these Notes to the accompanying consolidated financial statements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 to Creative Realities, Inc. and its subsidiaries.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Nature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Business</w:t>
      </w:r>
    </w:p>
    <w:p>
      <w:pPr>
        <w:spacing w:after="0" w:line="225"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Creative Realities, Inc. is a Minnesota corporation that provides innovative digital marketing technology and solutions to retail companies, individual retail brands, enterprises and organizations throughout the United States and in certain international markets. The Company has expertise in a broad range of existing and emerging digital marketing technologies, as well as the related media management and distribution software platforms and networks, device management, product management, customized software service layers, systems, experiences, workflows, and integrated solutions. Our technology and solutions include digital merchandising systems and omni-channel customer engagement systems, interactive digital shopping assistants, advisors and kiosks, and other interactive marketing technologies such as mobile, social media, point-of-sale transactions, beaconing and web-based media that enable our customers to transform how they engage with consumers. We have expertise in a broad range of existing and emerging digital marketing technologies, as well as the following related aspects of our business: content, network management, and connected device software and firmware platforms; customized software service layers; hardware platforms; digital media workflows; and proprietary processes and automation tools.</w:t>
      </w:r>
    </w:p>
    <w:p>
      <w:pPr>
        <w:spacing w:after="0" w:line="189"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Our main operations are conducted directly through Creative Realities, Inc., and under our wholly owned subsidiaries, Cineplex Digital Media Inc., a Canadian corporation (“CDMI”) and Cineplex Digital Media U.S. Inc., a Delaware corporation (“CDMUS”).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Liquidity and Financial Condition; Going Concern</w:t>
      </w:r>
    </w:p>
    <w:p>
      <w:pPr>
        <w:spacing w:after="0" w:line="225"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In accordance with Accounting Standards Update (“ASU”) No. 2014-15, Disclosure of Uncertainties about an Entity’s Ability to Continue as a Going Concern (Subtopic 205-40) (“ASU 205-40”), the Company has evaluated whether there are certain conditions and events, considered in the aggregate, that raise substantial doubt about the Company’s ability to continue as a going concern within one year after the date that the Consolidated Financial Statements are issued.</w:t>
      </w:r>
    </w:p>
    <w:p>
      <w:pPr>
        <w:spacing w:after="0" w:line="183"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 xml:space="preserve">On November 6, 2025, the Company completed a refinancing of its senior debt facilities, and on November 7, 2025, the Company completed the acquisition of DDC Group International, Inc. (see Note 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and related financing arrangements. Management believes these actions are likely to significantly improve the Company’s liquidity, scale, and overall financial condition. Its ability to generate positive net income and cash flows from operations is reliant on the successful integration and operation of this newly acquired business and therefore the financial impacts of this acquisition were not fully known at the time of the Company's going concern assessment. Management believes the completion of these transactions and the planned integration and operating plan for the newly acquired business with expected realization of synergies present the opportunity to prospectively eliminate the conditions giving rise to substantial doubt regarding the Company’s ability to continue as a going concern in future periods. However, there can be no assurance that these efforts will be successful.</w:t>
      </w:r>
    </w:p>
    <w:p>
      <w:pPr>
        <w:spacing w:after="0" w:line="185"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As of December 31, 2025, the Company has an accumulated deficit of $65,130 and negative working capital of $5,728. For the year ended December 31, 2025, the Company generated a net loss of $8,276 and used net cash in operations of $7,750.</w:t>
      </w:r>
    </w:p>
    <w:p>
      <w:pPr>
        <w:spacing w:after="0" w:line="163"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for at least twelve months after the issuance date of these consolidated financial statements.</w:t>
      </w:r>
    </w:p>
    <w:p>
      <w:pPr>
        <w:spacing w:after="0" w:line="163"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 which contemplate continuation of the Company as a going concern and the realization of assets and satisfaction of liabilities in the normal course of business. The carrying amounts of assets and liabilities presented in the consolidated financial statements do not necessarily purport to represent realizable or settlement values. The accompanying consolidated financial statements do not include any adjustments that might be necessary should the Company be unable to continue as a going concern.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significant accounting policies consistently applied in the preparation of the accompanying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Basis of Presentation</w:t>
      </w:r>
    </w:p>
    <w:p>
      <w:pPr>
        <w:spacing w:after="0" w:line="225" w:lineRule="exact"/>
        <w:rPr>
          <w:sz w:val="20"/>
          <w:szCs w:val="20"/>
          <w:color w:val="auto"/>
        </w:rPr>
      </w:pPr>
    </w:p>
    <w:p>
      <w:pPr>
        <w:jc w:val="both"/>
        <w:ind w:right="20" w:firstLine="646"/>
        <w:spacing w:after="0" w:line="280"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the instructions to Form 10-K and Article 8 of Regulation S-X and include all of the information and disclosures required by GAAP for annual financial reporting.</w:t>
      </w:r>
    </w:p>
    <w:p>
      <w:pPr>
        <w:spacing w:after="0" w:line="163"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Creative Realities, Inc. and our wholly owned subsidiaries CDMI and CDMUS. The CDM entities (CDMI and CDMUS), acquired through the Company's acquisition of DDC Group International, Inc. on November 7, 2025, have been consolidated from the acquisition date forward. All intercompany balances and transactions have been eliminated in consolidation.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Recently Issued and Adopted Accounting Pronouncements</w:t>
      </w:r>
    </w:p>
    <w:p>
      <w:pPr>
        <w:spacing w:after="0" w:line="223"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adopted ASU 2023-09 effective January 1, 2025 on a retrospective basis. The adoption of ASU 2023-09 did not have a material impact on the Company’s consolidated financial condition, results of operations or cash flows since the guidance pertains to disclosure only.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further information.</w:t>
      </w:r>
    </w:p>
    <w:p>
      <w:pPr>
        <w:spacing w:after="0" w:line="183"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 xml:space="preserve">In March 2024, the FASB issued ASU 2024-01,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Compensation (Topic 718): Scope Application of Profits Interest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Similar Awards</w:t>
      </w:r>
      <w:r>
        <w:rPr>
          <w:rFonts w:ascii="Times New Roman" w:cs="Times New Roman" w:eastAsia="Times New Roman" w:hAnsi="Times New Roman"/>
          <w:sz w:val="18"/>
          <w:szCs w:val="18"/>
          <w:color w:val="auto"/>
        </w:rPr>
        <w:t>. ASU 2024-01 clarifies how an entity should evaluate whether a profits interest or similar award issued as compensation is within the scope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ASC 718 by adding four illustrative examples to ASC 718-10-55. The ASU is effective for public business entities for fiscal years beginning after December 15, 2024, and interim periods within those fiscal years, with early adoption permitted. The Company adopted ASU 2024-01 effective January 1, 2025. The adoption of ASU 2024-01 did not have a material impact on the Company's consolidated financial condition, results of operations or cash flows.</w:t>
      </w:r>
    </w:p>
    <w:p>
      <w:pPr>
        <w:spacing w:after="0" w:line="183"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 xml:space="preserve">In March 2024, the FASB issued ASU 2024-02,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Amendments to Remove References to the Concepts Statements</w:t>
      </w:r>
      <w:r>
        <w:rPr>
          <w:rFonts w:ascii="Times New Roman" w:cs="Times New Roman" w:eastAsia="Times New Roman" w:hAnsi="Times New Roman"/>
          <w:sz w:val="18"/>
          <w:szCs w:val="18"/>
          <w:color w:val="auto"/>
        </w:rPr>
        <w:t>. ASU 2024-02 removes various references to the FASB's Concepts Statements from the FASB Accounting Standards Codification, as those references are non-authoritative and their inclusion could imply otherwise. The amendments are effective for public business entities for fiscal years beginning after December 15, 2024, with early adoption permitted. The Company adopted ASU 2024-02 effective January 1, 2025. The adoption of ASU 2024-02 did not have a material impact on the Company's consolidated financial condition, results of operations or cash flows.</w:t>
      </w:r>
    </w:p>
    <w:p>
      <w:pPr>
        <w:spacing w:after="0" w:line="183"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 xml:space="preserve">In October 2024, the FASB issued ASU 2024-04,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Debt Instruments</w:t>
      </w:r>
      <w:r>
        <w:rPr>
          <w:rFonts w:ascii="Times New Roman" w:cs="Times New Roman" w:eastAsia="Times New Roman" w:hAnsi="Times New Roman"/>
          <w:sz w:val="18"/>
          <w:szCs w:val="18"/>
          <w:color w:val="auto"/>
        </w:rPr>
        <w:t>. ASU 2024-04 clarifies the requirements for determining whether a settlement of a convertible debt instrument (or convertible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classified as a liability) should be accounted for as an induced conversion under ASC 470-20. Specifically, the ASU clarifies that an issuer must assess whether a settlement offer provides the holder with consideration in excess of the original conversion terms — and if so, the transaction must be accounted for as an induced conversion, with any excess consideration recognized as an expense. The amendments in this ASU are effective for all entities for annual reporting periods beginning after December 15, 2025, and interim reporting periods within those annual reporting periods, with early adoption permitted for any date on or after the issuance of the ASU. The Company is currently evaluating the impact of this guidance on its consolidated financial statements.</w:t>
      </w:r>
    </w:p>
    <w:p>
      <w:pPr>
        <w:spacing w:after="0" w:line="185"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ASU 2024-03 is intended to improve disclosures about a public business entity’s expenses and provide more detailed information to investors about the types of expenses in commonly presented expense captions. This ASU will be applied retrospectively and is effective for fiscal years beginning after December 15, 2026, and interim periods within fiscal years beginning after December 15, 2027, with early adoption permitted.</w:t>
      </w:r>
    </w:p>
    <w:p>
      <w:pPr>
        <w:spacing w:after="0" w:line="179"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In January 2025, the FASB issued ASU 2025-01</w:t>
      </w:r>
      <w:r>
        <w:rPr>
          <w:rFonts w:ascii="Times New Roman" w:cs="Times New Roman" w:eastAsia="Times New Roman" w:hAnsi="Times New Roman"/>
          <w:sz w:val="18"/>
          <w:szCs w:val="18"/>
          <w:i w:val="1"/>
          <w:iCs w:val="1"/>
          <w:color w:val="auto"/>
        </w:rPr>
        <w:t>, 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Clarifying the Effective Date, </w:t>
      </w:r>
      <w:r>
        <w:rPr>
          <w:rFonts w:ascii="Times New Roman" w:cs="Times New Roman" w:eastAsia="Times New Roman" w:hAnsi="Times New Roman"/>
          <w:sz w:val="18"/>
          <w:szCs w:val="18"/>
          <w:color w:val="auto"/>
        </w:rPr>
        <w:t>which clarified that public business entities should initially adopt the disclosure requirements of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2024-03 in an annual reporting period, not an interim period. As clarified by ASU 2025-01, ASU 2024-03 is effective for annual reporting periods beginning after December 15, 2026, and interim periods within annual reporting periods beginning after December 15, 2027. The Company is currently evaluating the impact of implementing this guidance.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The amendments introduce a practical expedient that permits entities to assume current conditions as of the balance sheet date do not change for the remaining life of current accounts receivable and current contract assets within the scope of ASC 606 when developing reasonable and supportable forecasts of expected credit losses, thereby removing the requirement to incorporate macroeconomic forecasts for those assets. The ASU also provides an accounting policy election to consider post-balance-sheet collection activity in estimating expected credit losses; this election is available only to entities other than public business entities and is therefore not available to the Company. The amendments are effective for annual reporting periods beginning after December 15, 2025, and interim periods within those annual periods, with early adoption permitted. The Company is currently evaluating whether to elect the practical expedient and the impact, if any, on its consolidated financial statements.</w:t>
      </w:r>
    </w:p>
    <w:p>
      <w:pPr>
        <w:spacing w:after="0" w:line="185"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The amendments clarify the scope of ASC 270, specifying its applicability to all entities that provide interim financial statements and notes in accordance with U.S. GAAP, consolidate required interim disclosures into a centralized list within Topic 270, and introduce a disclosure principle requiring disclosure of events and changes occurring after the last annual reporting period that have a material effect on the entity. The amendments are effective for public business entities for interim periods within annual periods beginning after December 15, 2027, with early adoption permitted. The Company does not expect the adoption to have a material impact on its consolidated financial statements, as the amendments primarily clarify existing interim reporting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Cash Concentrations</w:t>
      </w:r>
    </w:p>
    <w:p>
      <w:pPr>
        <w:spacing w:after="0" w:line="225"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Cash consists of cash on deposit in financial institutions in both the United States and Canada. The Company does not hold any investments that qualify as cash equivalents as of December 31, 2025 and 2024. Balances may exceed the Federal Deposit Insurance Corporation (“FDIC”) limit of $250 USD in the United States and may exceed the Canada Deposit Insurance Corporation (“CDIC”) limit of $100 CAD in Canada. As of December 31, 2025 and 2024, the Company did not have USD cash in excess of FDIC insurance limits. As of December 31, 2025 and 2024, the Company had CAD cash in excess of CDIC insurance limits of $1,037 and $912, respectively. The Company does not believe the balances present a material credit risk, as the cash is held with reputable financial institutions and the Company has never experienced any losses related to these balances although no assurance can be provided that it will not experience any losses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 Revenue Recognition</w:t>
      </w:r>
    </w:p>
    <w:p>
      <w:pPr>
        <w:spacing w:after="0" w:line="223"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 xml:space="preserve">We recognize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applying the five-step model. The Company evaluates each customer contract to identify the distinct performance obligations promised therein. A performance obligation is considered distinct if the customer can benefit from the good or service on its own or together with other resources that are readily available, and if the Company's promise to transfer the good or service is separately identifiable from other promises in the contract. If an individual promised good or service is not distinct from another promised good or service, the Company combines those promised goods or services into a single combined performance obligation. The total contract transaction price is allocated to the identified distinct performance obligations based upon the relative standalone selling prices of the performance obligations. The standalone selling price is based on an observable price for services sold to other comparable customers, when available, or an estimated selling price using a cost plus margin approach. For contracts when one or more performance obligations have observable standalone selling prices, the residual approach is applied to determine the allocation for highly variable components, including SaaS and support pricing, which both vary based on engagement size.</w:t>
      </w:r>
    </w:p>
    <w:p>
      <w:pPr>
        <w:spacing w:after="0" w:line="188"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The Company estimates the amount of total contract consideration it expects to receive for variable arrangements by determining the most likely amount it expects to earn from the arrangement based on the expected quantities of services it expects to provide and the contractual pricing based on those quantities. The Company only includes some or a portion of variable consideration in the transaction price when it is probable that a significant reversal in the amount of cumulative revenue recognized will not occur when the uncertainty associated with the variable consideration is subsequently resolved. The Company considers the sensitivity of the estimate, its relationship and experience with the customer and variable services being performed, the range of possible revenue amounts and the magnitude of the variable consideration to the overall arrangement. The Company receives variable consideration in very few instances. The Company generally does not accept returns or provide refunds related to its customer contracts.</w:t>
      </w:r>
    </w:p>
    <w:p>
      <w:pPr>
        <w:spacing w:after="0" w:line="189"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Revenue is recognized when a customer obtains control of promised goods or services under the terms of a contract and is measured as the amount of consideration the Company expects to receive in exchange for transferring goods or providing services. The Company has very few contracts with material extended payment terms as payment is typically due at or shortly after the time of the sale, typically ranging between thirty and ninety days. In those instances where the Company offers material extended payment terms (most commonly in multi-year arrangements), the Company determines whether a significant financing component exists. Where the Company acts as an agent to a transaction on behalf of its customers (primarily for the sale of extended warranties that are performed by the equipment manufacturer), the Company recognizes revenue on a net basis. Observable prices are used to determine the standalone selling price of separate performance obligations or a cost plus margin approach when one is not available. Sales, value-added and other taxes collected concurrently with revenue producing activities are excluded from revenue.</w:t>
      </w:r>
    </w:p>
    <w:p>
      <w:pPr>
        <w:spacing w:after="0" w:line="185"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A contract liability is recognized as deferred revenue when the Company invoices customers in advance of performing the related services under the terms of a contract. Deferred revenue is recognized as revenue when or as the Company satisfies the related performance obligation.</w:t>
      </w:r>
    </w:p>
    <w:p>
      <w:pPr>
        <w:spacing w:after="0" w:line="163"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The Company uses the practical expedient for recording an immediate expense for incremental costs of obtaining contracts, including certain design/engineering services, commissions, incentives and payroll taxes, as these incremental and recoverable costs have terms that do not exceed one year.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Allowance for Credit Losses</w:t>
      </w:r>
    </w:p>
    <w:p>
      <w:pPr>
        <w:spacing w:after="0" w:line="225"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The allowance for credit losses is the Company's best estimate of the amount of expected lifetime credit losses in the Company's accounts receivable. The Company regularly reviews the adequacy of its allowance for credit losses. The Company estimates losses over the contractual life using assumptions to capture the risk of loss, even if remote, based principally on how long a receivable has been outstanding. Account balances are charged off against the allowance for credit losses after all reasonable means of collection have been exhausted and the potential for recovery is considered remote. Other factors considered include historical write-off experience, current economic conditions, customer credit, and past transaction history with the customer. The allowance for credit losses is included in accounts receivable, net in the accompanying consolidated balance sheets. The opening accounts receivable balance as of January 1, 2024 was $12,468, net of the allowance for credit losses.</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had the following activity for its allowance for credit losses from January 1, 2024 to December 31, 2025:</w:t>
            </w: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3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3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shd w:val="clear" w:color="auto" w:fill="CCEEFF"/>
          </w:tcPr>
          <w:p>
            <w:pPr>
              <w:spacing w:after="0"/>
              <w:rPr>
                <w:sz w:val="18"/>
                <w:szCs w:val="18"/>
                <w:color w:val="auto"/>
              </w:rPr>
            </w:pPr>
          </w:p>
        </w:tc>
      </w:tr>
      <w:tr>
        <w:trPr>
          <w:trHeight w:val="215"/>
        </w:trPr>
        <w:tc>
          <w:tcPr>
            <w:tcW w:w="3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r>
      <w:tr>
        <w:trPr>
          <w:trHeight w:val="215"/>
        </w:trPr>
        <w:tc>
          <w:tcPr>
            <w:tcW w:w="3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Recoveries</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r>
      <w:tr>
        <w:trPr>
          <w:trHeight w:val="229"/>
        </w:trPr>
        <w:tc>
          <w:tcPr>
            <w:tcW w:w="320" w:type="dxa"/>
            <w:vAlign w:val="bottom"/>
          </w:tcPr>
          <w:p>
            <w:pPr>
              <w:spacing w:after="0"/>
              <w:rPr>
                <w:sz w:val="19"/>
                <w:szCs w:val="19"/>
                <w:color w:val="auto"/>
              </w:rPr>
            </w:pPr>
          </w:p>
        </w:tc>
        <w:tc>
          <w:tcPr>
            <w:tcW w:w="8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64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r>
        <w:trPr>
          <w:trHeight w:val="209"/>
        </w:trPr>
        <w:tc>
          <w:tcPr>
            <w:tcW w:w="320" w:type="dxa"/>
            <w:vAlign w:val="bottom"/>
          </w:tcPr>
          <w:p>
            <w:pPr>
              <w:spacing w:after="0"/>
              <w:rPr>
                <w:sz w:val="18"/>
                <w:szCs w:val="18"/>
                <w:color w:val="auto"/>
              </w:rPr>
            </w:pPr>
          </w:p>
        </w:tc>
        <w:tc>
          <w:tcPr>
            <w:tcW w:w="8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640" w:type="dxa"/>
            <w:vAlign w:val="bottom"/>
            <w:tcBorders>
              <w:top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3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8"/>
                <w:szCs w:val="18"/>
                <w:color w:val="auto"/>
              </w:rPr>
            </w:pPr>
          </w:p>
        </w:tc>
      </w:tr>
      <w:tr>
        <w:trPr>
          <w:trHeight w:val="229"/>
        </w:trPr>
        <w:tc>
          <w:tcPr>
            <w:tcW w:w="320" w:type="dxa"/>
            <w:vAlign w:val="bottom"/>
          </w:tcPr>
          <w:p>
            <w:pPr>
              <w:spacing w:after="0"/>
              <w:rPr>
                <w:sz w:val="19"/>
                <w:szCs w:val="19"/>
                <w:color w:val="auto"/>
              </w:rPr>
            </w:pPr>
          </w:p>
        </w:tc>
        <w:tc>
          <w:tcPr>
            <w:tcW w:w="8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6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(685)</w:t>
            </w:r>
          </w:p>
        </w:tc>
      </w:tr>
      <w:tr>
        <w:trPr>
          <w:trHeight w:val="222"/>
        </w:trPr>
        <w:tc>
          <w:tcPr>
            <w:tcW w:w="3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6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 Inventories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determined by the first-in, first-out (FIFO) method, and consist of the following:</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67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3"/>
              </w:rPr>
              <w:t>4,822</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shd w:val="clear" w:color="auto" w:fill="CCEEFF"/>
          </w:tcPr>
          <w:p>
            <w:pPr>
              <w:spacing w:after="0"/>
              <w:rPr>
                <w:sz w:val="18"/>
                <w:szCs w:val="18"/>
                <w:color w:val="auto"/>
              </w:rPr>
            </w:pPr>
          </w:p>
        </w:tc>
      </w:tr>
      <w:tr>
        <w:trPr>
          <w:trHeight w:val="22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020" w:type="dxa"/>
            <w:vAlign w:val="bottom"/>
          </w:tcPr>
          <w:p>
            <w:pPr>
              <w:spacing w:after="0"/>
              <w:rPr>
                <w:sz w:val="19"/>
                <w:szCs w:val="19"/>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2,598</w:t>
            </w:r>
          </w:p>
        </w:tc>
        <w:tc>
          <w:tcPr>
            <w:tcW w:w="4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r>
      <w:tr>
        <w:trPr>
          <w:trHeight w:val="222"/>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3"/>
              </w:rPr>
              <w:t>7,420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 Impairment of Long-Lived Assets</w:t>
      </w:r>
    </w:p>
    <w:p>
      <w:pPr>
        <w:spacing w:after="0" w:line="223"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18"/>
          <w:szCs w:val="18"/>
          <w:color w:val="auto"/>
        </w:rPr>
        <w:t xml:space="preserve">We review the carrying value of all long-lived assets, including property and equipment, for impairment in accordance with ASC 360,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Impairment or Disposal of Long-Lived Assets</w:t>
      </w:r>
      <w:r>
        <w:rPr>
          <w:rFonts w:ascii="Times New Roman" w:cs="Times New Roman" w:eastAsia="Times New Roman" w:hAnsi="Times New Roman"/>
          <w:sz w:val="18"/>
          <w:szCs w:val="18"/>
          <w:color w:val="auto"/>
        </w:rPr>
        <w:t>. Under ASC 360, impairment tests are performed for property and equipment whenever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circumstances indicate the carrying value of an asset or asset group may not be recoverable. Impairment testing on other long-lived assets, including intangible assets, is described in Note 2, item (11) below. Impairment testing on goodwill is described in Note 2, item (10) below.</w:t>
      </w:r>
    </w:p>
    <w:p>
      <w:pPr>
        <w:spacing w:after="0" w:line="181"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If the impairment tests indicate that the carrying value of the asset or asset group is greater than the expected undiscounted cash flows to be generated by such asset, an impairment loss would be recognized in the amount by which the carrying value of such asset or asset group exceeds its fair value. We generally measure fair value by considering sale prices for similar assets or by discounting estimated future cash flows from such assets using an appropriate discount rate. Assets to be disposed of are carried at the lower of their carrying value or fair value less costs to sell. Considerable management judgment is necessary to estimate the fair value of assets, and accordingly, actual results could vary significantly from such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 Basic and Diluted Loss per Common Share</w:t>
      </w:r>
    </w:p>
    <w:p>
      <w:pPr>
        <w:spacing w:after="0" w:line="225"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Basic loss per common share is computed by dividing net loss applicable to common shareholders by the weighted average number of common shares outstanding during the period. Net loss applicable to common shareholders is calculated as net loss less preferred stock dividends, whether declared or accruing. The Company's Series A Redeemable Convertible Preferred Stock accrues dividends at 5.25% annually on the stated value of $1,000 per share; such accruing dividends reduce the numerator in the basic net loss per share calculation regardless of whether they have been declared by the Board of Directors. Diluted loss per share reflects the potential dilution that could occur if securities or other instruments to issue common stock were exercised or converted into common stock. When the Company is in a net loss position, all potentially dilutive securities, including stock options, warrants, and shares issuable upon conversion of the Series A Preferred Stock, are excluded from diluted loss per share as their inclusion would be anti-dilutive.</w:t>
      </w:r>
    </w:p>
    <w:p>
      <w:pPr>
        <w:spacing w:after="0" w:line="189"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Shares reserved for outstanding stock options totaling 2,539,564, warrants totaling 5,364,802, and 30,000 shares of the Series A Preferred Stock, convertible into 10,000,000 shares of common stock as of December 31, 2025 were excluded from the computation of loss per share for the year ended December 31, 2025, as the Company was in a net loss position and their inclusion would have been anti-dilutive.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Shares reserved for outstanding stock options totaling 1,565,231 and warrants totaling 4,587,002 as of December 31, 2024, were excluded from the computation of loss per share for the year ended December 31, 2024, as the Company was in a net loss position and their inclusion would have been anti-dilutive.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 Income Taxes</w:t>
      </w:r>
    </w:p>
    <w:p>
      <w:pPr>
        <w:spacing w:after="0" w:line="225"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Deferred income taxes are recognized in the consolidated financial statements for the tax consequences in future years of differences between the tax basis of assets and liabilities and their financial reporting amounts based on enacted tax laws and statutory tax rates. Temporary differences arise from a number of matters including, but not limited to, net operating losses, differences in basis of intangibles, stock-based compensation, allowance for credit losses, write-downs of inventory for book purposes, differences in depreciation methods, and accrued expenses. Valuation allowances are established when necessary to reduce deferred tax assets to the amount expected to be realized. The Company accounts for uncertain tax positions utilizing an established recognition threshold and measurement attributes for the financial statement recognition and measurement of a tax position taken or expected to be taken in a tax return. We had no uncertain tax positions as of December 31, 2025 and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 Goodwill</w:t>
      </w:r>
    </w:p>
    <w:p>
      <w:pPr>
        <w:spacing w:after="0" w:line="225"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Goodwill is the excess of consideration paid for an acquired entity over the fair value of the amounts assigned to assets acquired, including other identifiable intangible assets, and liabilities assumed in a business combination. To determine the amount of goodwill resulting from a business combination, the Company performs an assessment to determine the acquisition date fair value of the acquired company’s tangible and identifiable intangible assets and liabilities.</w:t>
      </w:r>
    </w:p>
    <w:p>
      <w:pPr>
        <w:spacing w:after="0" w:line="183"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Goodwill is required to be evaluated for impairment on an annual basis and whenever events or changes in circumstances indicate the asset may be impaired. An entity has the option to first assess qualitative factors to determine whether the existence of events or circumstances leads to a determination that it is more likely than not that the fair value of a reporting unit is less than its carrying amount. These qualitative factors include macroeconomic and industry conditions, cost factors, overall financial performance, and other relevant entity-specific events. If the entity determines that this threshold is met, then the Company may apply a one-step quantitative test and record the amount of goodwill impairment as the excess of a reporting unit’s carrying amount over its fair value, not to exceed the total amount of goodwill allocated to the reporting unit. The Company determines fair value through multiple valuation techniques and weighs the results accordingly. The Company is required to make certain subjective and complex judgments in assessing whether an event of impairment of goodwill has occurred, including assumptions and estimates used to determine the fair value of its reporting units. The Company has elected to perform its annual goodwill impairment test on September 30 of each year utilizing a qualitative assessment to determine if it was more likely than not that the fair value of each of its reporting units was less than their respective carrying values.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11. Intangible Assets</w:t>
      </w:r>
    </w:p>
    <w:p>
      <w:pPr>
        <w:spacing w:after="0" w:line="225"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Identifiable intangible assets primarily include developed technology, trade names, customer relationships and non-compete agreements. Amortizable intangible assets are amortized on a straight-line basis over their estimated useful lives and reviewed for impairment whenever events or changes in circumstances indicate that the assets may be impaired. If an indicator of impairment exists, the Company will compare the estimated future cash flows of the asset, on an undiscounted basis, to the carrying value of the asset. If the undiscounted cash flows exceed the carrying value, no impairment is indicated. If the undiscounted cash flows do not exceed the carrying value, then impairment, if any, is measured as the difference between fair value and carrying value, with fair value typically based on a discounted cash flow model.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 Use of Estimates</w:t>
      </w:r>
    </w:p>
    <w:p>
      <w:pPr>
        <w:spacing w:after="0" w:line="225"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Our significant estimates include: the fair value of assets acquired and liabilities assumed in business combinations, including identifiable intangible assets; allowance for credit losses; valuation allowances related to deferred tax assets, including the realizability of acquired Canadian deferred tax assets; assumptions and estimates used to evaluate the recoverability of goodwill and other intangible assets and the related amortization methods and periods; the incremental borrowing rate used to measure right-of-use assets and lease liabilities; the fair value of stock-based compensation awards; and the assessment of the Company's ability to continue as a going concern, including projected cash flows and available liquidity. Actual results could differ from those estimates.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 Property and Equipment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and amortization. Depreciation is recorded using a straight-line method.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 are amortized over the shorter of the life of the improvement or the lease term, using the straight-line method.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5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The estimated useful lives used to compute depreciation and amortization are as follows:</w:t>
            </w: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5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7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252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 assigned (in years)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2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520" w:type="dxa"/>
            <w:vAlign w:val="bottom"/>
            <w:gridSpan w:val="7"/>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Shorter of 5 years or term of lease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$346 and $201 for the years ended December 31, 2025 and 2024,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14. Reclassifications</w:t>
      </w:r>
    </w:p>
    <w:p>
      <w:pPr>
        <w:spacing w:after="0" w:line="225"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Certain prior year amounts in the consolidated financial statements and accompanying notes have been reclassified to conform to the current year presentation. These reclassifications had no effect on previously reported net loss, total assets, total liabilities, shareholders’ equity, or cash flows from operations. Management has evaluated these reclassifications and determined that they are not material, individually or in the aggregate, to the consolidated financial statements taken as a whole.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15. Contingent Consideration</w:t>
      </w:r>
    </w:p>
    <w:p>
      <w:pPr>
        <w:spacing w:after="0" w:line="225"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 xml:space="preserve">The Company had contingent consideration arrangements related to certain acquisitions to potentially pay additional cash amounts in future periods based on the lack of achievement of certain share price performance goals of our common stock. Such contingent consideration arrangements are recorded at fair value and are classified as liabilities on the acquisition date and are remeasured at each reporting period in accordance with ASC </w:t>
      </w:r>
      <w:r>
        <w:rPr>
          <w:rFonts w:ascii="Times New Roman" w:cs="Times New Roman" w:eastAsia="Times New Roman" w:hAnsi="Times New Roman"/>
          <w:sz w:val="18"/>
          <w:szCs w:val="18"/>
          <w:i w:val="1"/>
          <w:iCs w:val="1"/>
          <w:color w:val="auto"/>
        </w:rPr>
        <w:t>805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30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35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1 </w:t>
      </w:r>
      <w:r>
        <w:rPr>
          <w:rFonts w:ascii="Times New Roman" w:cs="Times New Roman" w:eastAsia="Times New Roman" w:hAnsi="Times New Roman"/>
          <w:sz w:val="18"/>
          <w:szCs w:val="18"/>
          <w:color w:val="auto"/>
        </w:rPr>
        <w:t>using a Monte Carlo simulation model.</w:t>
      </w:r>
    </w:p>
    <w:p>
      <w:pPr>
        <w:spacing w:after="0" w:line="183" w:lineRule="exact"/>
        <w:rPr>
          <w:sz w:val="20"/>
          <w:szCs w:val="20"/>
          <w:color w:val="auto"/>
        </w:rPr>
      </w:pPr>
    </w:p>
    <w:p>
      <w:pPr>
        <w:jc w:val="both"/>
        <w:ind w:right="20" w:firstLine="646"/>
        <w:spacing w:after="0" w:line="280" w:lineRule="auto"/>
        <w:rPr>
          <w:sz w:val="20"/>
          <w:szCs w:val="20"/>
          <w:color w:val="auto"/>
        </w:rPr>
      </w:pPr>
      <w:r>
        <w:rPr>
          <w:rFonts w:ascii="Times New Roman" w:cs="Times New Roman" w:eastAsia="Times New Roman" w:hAnsi="Times New Roman"/>
          <w:sz w:val="18"/>
          <w:szCs w:val="18"/>
          <w:color w:val="auto"/>
        </w:rPr>
        <w:t xml:space="preserve">On March 14, 2025, the Company entered into a settlement agreement which resolved all amounts due related to the contingent consideration arrangements (see Note 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for additional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16. Foreign Currency Translation</w:t>
      </w:r>
    </w:p>
    <w:p>
      <w:pPr>
        <w:spacing w:after="0" w:line="225"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 xml:space="preserve">The functional currency of the Company's Canadian subsidiaries is the Canadian dollar. The financial statements of these subsidiaries are translated into U.S. dollars in accordance with ASC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Assets and liabilities denominated in foreign currencies are translated into U.S. dollars at the exchange rates in effect at the balance sheet date. Revenue and expense accounts are translated at the average exchange rates during the period. The resulting translation adjustments are recorded as a component of accumulated other comprehensive income (loss) within shareholders' equity. Gains and losses arising from foreign currency transactions are included in other expense (income), net in the consolidated statements of operations.</w:t>
      </w:r>
    </w:p>
    <w:p>
      <w:pPr>
        <w:spacing w:after="0" w:line="183"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Company's reporting currency is the U.S. dollar. Because the Company acquired its Canadian subsidiaries on November 7, 2025, the consolidated financial statements for the year ended December 31, 2025 include the results of the Canadian subsidiaries from the acquisition date through December 31, 2025 only. There were no foreign currency translation adjustments for the year ended December 31,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17. Business Combinations</w:t>
      </w:r>
    </w:p>
    <w:p>
      <w:pPr>
        <w:spacing w:after="0" w:line="225"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under which the purchase price of an acquisition is allocated to the assets acquired and liabilities assumed based on their fair values, as determined by management at the acquisition date. Examples of significant estimates in valuing certain of the intangible assets acquired include, but are not limited to, future expected cash inflows and outflows, expected useful life, discount rates and income tax rates. Acquisition-related costs incurred in connection with a business combination are expensed as incurred and are included in general and administrative expenses in the consolidated statements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18. Leases</w:t>
      </w:r>
    </w:p>
    <w:p>
      <w:pPr>
        <w:spacing w:after="0" w:line="223" w:lineRule="exact"/>
        <w:rPr>
          <w:sz w:val="20"/>
          <w:szCs w:val="20"/>
          <w:color w:val="auto"/>
        </w:rPr>
      </w:pPr>
    </w:p>
    <w:p>
      <w:pPr>
        <w:jc w:val="both"/>
        <w:ind w:firstLine="646"/>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At the inception of a contract, the Company determines whether the arrangement is or contains a lease based on whether the contract conveys the right to control the use of identified property or equipment for a period of time in exchange for consideration. Leases are classified as either operating or finance leases at the commencement date. Right-of-use ("ROU") assets and lease liabilities are recognized at the commencement date based on the present value of lease payments over the lease term, discounted using the rate implicit in the lease or, if not readily determinable, the Company's incremental borrowing rate. The Company does not include renewal options in the lease term unless reasonably certain to be exercised.</w:t>
      </w:r>
    </w:p>
    <w:p>
      <w:pPr>
        <w:spacing w:after="0" w:line="184"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For operating leases, lease expense is recognized on a straight-line basis over the lease term. For finance leases, amortization of the ROU asset is recognized on a straight-line basis over the lease term and interest expense on the lease liability is recognized using the effective interest method. The Company has elected not to combine lease and non-lease components for any asset class. Variable lease payments that do not depend on an index or rate, including certain payments under the Company's digital media advertising display arrangements that are based on the greater of a percentage of advertising sales or a minimum annual guarantee, are excluded from the measurement of the lease liability and recognized as expense in the period incurred. The minimum annual guarantees are not excluded from the measurement of the lease liability, rather only variable amounts above the minimum annual guarantees are excluded from the measurement of the lease liability and expensed when incurred.</w:t>
      </w:r>
    </w:p>
    <w:p>
      <w:pPr>
        <w:spacing w:after="0" w:line="189"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 xml:space="preserve">In connection with the acquisition of CDM on November 7, 2025, the Company reassessed certain contracts acquired from CDM under ASC 842's dual-model framework, treating the acquisition date as the lease commencement date in accordance with ASC 805. The resulting ROU assets and lease liabilities were measured using an incremental borrowing rate of 8.0%. See Note 17,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additional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19. Stock Based Compensation</w:t>
      </w:r>
    </w:p>
    <w:p>
      <w:pPr>
        <w:spacing w:after="0" w:line="225"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 xml:space="preserve">The Company measures the cost of services received in exchange for an award of equity instruments based on the fair value of the award. The fair value of the award is measured on the grant date and is recognized over the period during which services are required to be provided in exchange for the award, usually the vesting period. The Company computes the fair value of equity-classified stock options and warrants using the Black-Scholes option pricing model and the fair value of awards with market-based vesting conditions using a Monte Carlo simulation model. The fair value of restricted stock units is based on the closing price of the Company's common stock on the date of grant. Forfeitures are recognized as they occur. Stock-based compensation expense is included in general and administrative expenses in the consolidated statements of operations. See Note 15,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for additional information.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 Internally Developed Software</w:t>
      </w:r>
    </w:p>
    <w:p>
      <w:pPr>
        <w:spacing w:after="0" w:line="223"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 xml:space="preserve">The Company capitalizes costs associated with internally developed software in accordance with ASC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xml:space="preserve">. Costs incurred during the preliminary project stage and post-implementation stage are expensed as incurred. Costs incurred during the application development stage, including internal labor and direct third-party costs, are capitalized and amortized on a straight-line basis over the software's estimated useful life, generally three to seven years. The Company evaluates capitalized software for impairment whenever events or changes in circumstances indicate the carrying amount may not be recoverable. When indicators of impairment exist, the Company compares the estimated undiscounted future cash flows associated with the asset to its carrying value. If the carrying value exceeds the undiscounted cash flows, impairment is measured as the excess of the carrying amount over the asset's estimated fair value. See Note 8, </w:t>
      </w:r>
      <w:r>
        <w:rPr>
          <w:rFonts w:ascii="Times New Roman" w:cs="Times New Roman" w:eastAsia="Times New Roman" w:hAnsi="Times New Roman"/>
          <w:sz w:val="18"/>
          <w:szCs w:val="18"/>
          <w:i w:val="1"/>
          <w:iCs w:val="1"/>
          <w:color w:val="auto"/>
        </w:rPr>
        <w:t>Intangible Assets and Goodwill</w:t>
      </w:r>
      <w:r>
        <w:rPr>
          <w:rFonts w:ascii="Times New Roman" w:cs="Times New Roman" w:eastAsia="Times New Roman" w:hAnsi="Times New Roman"/>
          <w:sz w:val="18"/>
          <w:szCs w:val="18"/>
          <w:color w:val="auto"/>
        </w:rPr>
        <w:t>, for additional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FAIR VALUE MEASUREMENT</w:t>
      </w:r>
    </w:p>
    <w:p>
      <w:pPr>
        <w:spacing w:after="0" w:line="227"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We measure certain financial assets, including cash equivalents, at fair value on a recurring basis. In accordance with ASC 820-10-30, fair value is a market-based measurement that should be determined based on the assumptions that market participants would use in pricing an asset or liability. As a basis for considering such assumptions, ASC 820-10-35 establishes a three-level hierarchy that prioritizes the inputs used in measuring fair value. The three hierarchy levels are defined as follows: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unadjusted quoted prices in active markets for identical assets.</w:t>
      </w:r>
    </w:p>
    <w:p>
      <w:pPr>
        <w:spacing w:after="0" w:line="223"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Level 2 — Valuations based on observable inputs (other than Level 1 prices), such as quoted prices for similar assets at the measurement date; quoted prices in markets that are not active; or other inputs that are observable, either directly or indirectly.</w:t>
      </w:r>
    </w:p>
    <w:p>
      <w:pPr>
        <w:spacing w:after="0" w:line="163"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Level 3 — Valuations based on inputs that are unobservable and involve management judgment and the reporting entity’s own assumptions about market participants and pricing.</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previously recorded warrant liabilities that were measured at fair value on a recurring basis using a binomial option pricing model.</w:t>
      </w:r>
    </w:p>
    <w:p>
      <w:pPr>
        <w:spacing w:after="0" w:line="223"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The calculation of the fair value of the contingent consideration contained inputs which were unobservable and involved management judgment and were considered Level 3 estimates. Additionally, the separately identifiable intangible assets and goodwill rely on a discounted cash flow model which utilizes inputs including the calculation of the weighted average cost of capital and management’s forecast of future financial performance which are unobservable and involve management judgment and are considered Level 3 estimates.</w:t>
      </w:r>
    </w:p>
    <w:p>
      <w:pPr>
        <w:spacing w:after="0" w:line="183"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calculation of the weighted average cost of capital and management’s forecast of future financial performance utilized within our discounted cash flow model for the impairment of goodwill contains inputs which are unobservable and involve management judgment and are considered Level 3 estimates.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REVENUE RECOGNITION</w:t>
      </w:r>
    </w:p>
    <w:p>
      <w:pPr>
        <w:spacing w:after="0" w:line="225" w:lineRule="exact"/>
        <w:rPr>
          <w:sz w:val="20"/>
          <w:szCs w:val="20"/>
          <w:color w:val="auto"/>
        </w:rPr>
      </w:pPr>
    </w:p>
    <w:p>
      <w:pPr>
        <w:jc w:val="both"/>
        <w:ind w:firstLine="646"/>
        <w:spacing w:after="0" w:line="282" w:lineRule="auto"/>
        <w:rPr>
          <w:sz w:val="20"/>
          <w:szCs w:val="20"/>
          <w:color w:val="auto"/>
        </w:rPr>
      </w:pPr>
      <w:r>
        <w:rPr>
          <w:rFonts w:ascii="Times New Roman" w:cs="Times New Roman" w:eastAsia="Times New Roman" w:hAnsi="Times New Roman"/>
          <w:sz w:val="18"/>
          <w:szCs w:val="18"/>
          <w:color w:val="auto"/>
        </w:rPr>
        <w:t xml:space="preserve">The Company applies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for revenue recognition. The table below disaggregates the Company’s revenue by major source as follows: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Recognition Policy: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21,232</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18,259</w:t>
            </w:r>
          </w:p>
        </w:tc>
        <w:tc>
          <w:tcPr>
            <w:tcW w:w="80" w:type="dxa"/>
            <w:vAlign w:val="bottom"/>
            <w:shd w:val="clear" w:color="auto" w:fill="CCEEFF"/>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Point in time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Managed Services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80" w:type="dxa"/>
            <w:vAlign w:val="bottom"/>
            <w:shd w:val="clear" w:color="auto" w:fill="CCEEFF"/>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Over time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 Media Advertising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Over time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Installation Services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w:t>
            </w:r>
          </w:p>
        </w:tc>
        <w:tc>
          <w:tcPr>
            <w:tcW w:w="80" w:type="dxa"/>
            <w:vAlign w:val="bottom"/>
            <w:shd w:val="clear" w:color="auto" w:fill="CCEEFF"/>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Point in time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8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Point in time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Services</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32,595</w:t>
            </w:r>
          </w:p>
        </w:tc>
        <w:tc>
          <w:tcPr>
            <w:tcW w:w="8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Hardware and Services</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57,232</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50,854</w:t>
            </w:r>
          </w:p>
        </w:tc>
        <w:tc>
          <w:tcPr>
            <w:tcW w:w="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Hardware</w:t>
      </w:r>
    </w:p>
    <w:p>
      <w:pPr>
        <w:spacing w:after="0" w:line="227"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System hardware revenue is recognized at a point in time generally upon shipment of the product or customer acceptance depending upon contractual arrangements with the customer in instances in which the sale of hardware is the sole performance obligation. Shipping charges billed to customers are included in hardware sales and the related shipping costs are included in hardware cost of sales. The cost of freight and shipping to the customer is recognized in cost of sales at the time of transfer of control to the customer. The Company sells extended warranties to its customers in connection with its hardware sales. The equipment manufacturer performs the warranty services, and therefore manufacturer is considered the principal and the Company is an agent for extended warranty sales. Accordingly, extended warranty sales are presented on a net basis (gross revenue less cost) within hardware revenue and are recognized at the time of the hardware sale.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Managed Services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Software as a service</w:t>
      </w:r>
    </w:p>
    <w:p>
      <w:pPr>
        <w:spacing w:after="0" w:line="225"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Software as a service (“SaaS”) includes revenue from software licensing and delivery in which software is licensed on a subscription basis and is centrally hosted by the Company. These services often include software updates which provide customers with rights to unspecified software product upgrades and maintenance releases and patches released during the term of the support period. Contracts for these services are generally 12-36 months in length and typically have perpetual autorenewal terms. We recognize SaaS revenue ratably over the performance period.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Maintenance and support services</w:t>
      </w:r>
    </w:p>
    <w:p>
      <w:pPr>
        <w:spacing w:after="0" w:line="225"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The Company sells support services that include access to technical support personnel for software and hardware troubleshooting. The Company offers a hosting service through our network operations center, or NOC, allowing the ability to monitor and support our customers’ networks 7 days a week, 24 hours a day. These contracts are generally 12-36 months in length and typically have autorenewal terms. Revenue is recognized over the term of the agreement in proportion to the costs incurred in fulfilling performance obligations under the contract.</w:t>
      </w:r>
    </w:p>
    <w:p>
      <w:pPr>
        <w:spacing w:after="0" w:line="183"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Maintenance services are based on the level of service provided to end customers, which can range from monitoring the health of a customer’s network, supporting a sophisticated web-portal, or managing the end-to-end hardware and software of a digital marketing system. These agreements are renewable by the customer. Rates for maintenance, including subsequent renewal rates, are typically established based upon a fee per location, per device, or a specified percentage of net SaaS fees as set forth in the arrangement. These contracts are generally 12-36 months in length. Revenue is recognized ratably and evenly over the service period. In arrangements where the SaaS and maintenance are highly interrelated, they are combined as one performance obligation.</w:t>
      </w:r>
    </w:p>
    <w:p>
      <w:pPr>
        <w:spacing w:after="0" w:line="187"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The Company also performs time and materials-based maintenance and repair work for customers. Revenue is recognized at a point in time when the performance obligation has been fully satisfied.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Media Advertising</w:t>
      </w:r>
    </w:p>
    <w:p>
      <w:pPr>
        <w:spacing w:after="0" w:line="227"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Digital media advertising revenues are derived from selling digital out-of-home, or DOOH, advertising on infrastructure assets owned or operated by the Company and located at retail malls, shopping centers, office buildings, and other commercial properties. The Company sells advertising placement opportunities to brands and advertising agencies through an exclusive sales agent, which solicits and engages in media sales agreements with end-customer advertisers on the Company's behalf. The Company has concluded that it acts as the principal in these arrangements under ASC 606, as it controls the specified advertising service before transfer to the customer. Accordingly, the Company reports digital media advertising revenues on a gross basis, with the full amount charged to advertisers recorded as revenue and the agent's commission, which ranges from ten percent (10%) to fourteen percent (14%) of annual gross revenue, presented as a component of cost of sales in the consolidated statements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Digital media advertising revenue is recognized over time in accordance with ASC 606-10-25-27(a), as the advertiser simultaneously receives and consumes the benefit of the advertising display service throughout each campaign period. The Company's performance obligation to each advertiser constitutes a single combined performance obligation encompassing the operation of advertising infrastructure and the presentation of advertising content over the contracted campaign period. Revenue is recognized ratably over each campaign period as content is displayed and commissions paid to the agent computed on a stated percentage of gross advertising revenue included in the consolidated statements of operations within cost of sales.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Installation Services</w:t>
      </w:r>
    </w:p>
    <w:p>
      <w:pPr>
        <w:spacing w:after="0" w:line="22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Company performs installation services associated with system hardware sales to customers and recognizes revenue upon completion of the installations. Installation services also include engineering and configuration services required to be performed to design and deploy a digital signage system that subsequently becomes an installation project.</w:t>
      </w:r>
    </w:p>
    <w:p>
      <w:pPr>
        <w:spacing w:after="0" w:line="175"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When system hardware sales include installation services to be performed by the Company, the goods and services in the contract are, in certain instances, not distinct as the customer contract contemplates an installed solution, inclusive of system hardware, and the two activities are highly interrelated. In those instances, the arrangement is accounted for as a single combined performance obligation. Our customers may control the work-in-process and can make changes to the design specifications over the contract term. In these circumstances, revenues are recognized over time as the installation services are completed based on the relative portion of labor hours completed as a percentage of the budgeted hours for the installation. Alternatively, in certain large scale deployments that include installation services, the contract terms segregate performance obligations related to hardware sales and installation services by providing for different legal transfer of title and risk of loss and the two activities are not highly interrelated. In those circumstances, installation services are deemed to be a separate performance obligation. In each instance, installation services are recognized at the time of completion.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Services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Software design and development services</w:t>
      </w:r>
    </w:p>
    <w:p>
      <w:pPr>
        <w:spacing w:after="0" w:line="225"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Software design and custom development sales represent fixed fee orders for work on a time and materials basis and are recognized as revenue when the application, feature, or custom software code has been received and delivery has occurred to the customer. Revenue is recognized generally upon customer acceptance (point-in-time) of the software product and verification that it meets the required specifications. Software is delivered to customers electronically.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Media sales</w:t>
      </w:r>
    </w:p>
    <w:p>
      <w:pPr>
        <w:spacing w:after="0" w:line="225"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Media revenues are derived from selling (i) promotion and sponsorship packages to monetize customer infrastructure assets, including mobile takeover or physical presence, or (ii) digital advertising inventory to advertisers on digital displays or other outdoor structures, owned or controlled by our customers, each within physical venues. We sell advertising or sponsorship opportunities on behalf of our media network owner customers to brands and advertisers. This revenue stream is separate from the digital media advertising revenue stream described above. For digital media advertising, we own or control the digital displays and accordingly, we are the principal. For media sales described here, we do not own the devices that display the sold digital advertising. The Company has concluded that it acts as an agent for these arrangements and reports media revenues on a net basis, with the Company recording its commission, which typically is between thirty percent (30%) and forty percent (40%) of the total media sales contract, as revenue in the consolidated financial statements.</w:t>
      </w:r>
    </w:p>
    <w:p>
      <w:pPr>
        <w:spacing w:after="0" w:line="185"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The media sales contracts we facilitate on behalf of our customers range from a single day to eight years. The Company invoices advertisers on behalf of our customers and remits the net cash to our customer after the advertiser has paid the Company the fees owed for such advertising. Media revenue services are recognized when the Company has completed its performance obligations under the contract with our customers, which typically has concluded upon facilitating execution of contracts between our customer and a brand/advertiser. The Company applies time-based constraints in accordance with ASC 606 to evaluate the earned portion of the contract to record at execution.</w:t>
      </w:r>
    </w:p>
    <w:p>
      <w:pPr>
        <w:spacing w:after="0" w:line="183"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For revenues generated through the use of a subcontracted advertising agency, commissions are calculated based on a stated percentage of gross advertising revenue and reported in the consolidated statements of operations within cost of sales.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activities in deferred revenue for the year ended December 31, 2025:</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73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r>
      <w:tr>
        <w:trPr>
          <w:trHeight w:val="20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shd w:val="clear" w:color="auto" w:fill="CCEEFF"/>
          </w:tcPr>
          <w:p>
            <w:pPr>
              <w:spacing w:after="0"/>
              <w:rPr>
                <w:sz w:val="18"/>
                <w:szCs w:val="18"/>
                <w:color w:val="auto"/>
              </w:rPr>
            </w:pPr>
          </w:p>
        </w:tc>
      </w:tr>
      <w:tr>
        <w:trPr>
          <w:trHeight w:val="215"/>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Amounts assumed in CDM business combination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80" w:type="dxa"/>
            <w:vAlign w:val="bottom"/>
          </w:tcPr>
          <w:p>
            <w:pPr>
              <w:spacing w:after="0"/>
              <w:rPr>
                <w:sz w:val="18"/>
                <w:szCs w:val="18"/>
                <w:color w:val="auto"/>
              </w:rPr>
            </w:pPr>
          </w:p>
        </w:tc>
      </w:tr>
      <w:tr>
        <w:trPr>
          <w:trHeight w:val="215"/>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billed and deferred during the year</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10,066</w:t>
            </w:r>
          </w:p>
        </w:tc>
      </w:tr>
      <w:tr>
        <w:trPr>
          <w:trHeight w:val="215"/>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that was included in the beginning balance</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(1,137)</w:t>
            </w:r>
          </w:p>
        </w:tc>
      </w:tr>
      <w:tr>
        <w:trPr>
          <w:trHeight w:val="215"/>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from amounts deferred during the year</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(9,345)</w:t>
            </w:r>
          </w:p>
        </w:tc>
      </w:tr>
      <w:tr>
        <w:trPr>
          <w:trHeight w:val="229"/>
        </w:trPr>
        <w:tc>
          <w:tcPr>
            <w:tcW w:w="7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translation adjustment on Canadian deferred revenue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tcPr>
          <w:p>
            <w:pPr>
              <w:spacing w:after="0"/>
              <w:rPr>
                <w:sz w:val="19"/>
                <w:szCs w:val="19"/>
                <w:color w:val="auto"/>
              </w:rPr>
            </w:pPr>
          </w:p>
        </w:tc>
      </w:tr>
      <w:tr>
        <w:trPr>
          <w:trHeight w:val="222"/>
        </w:trPr>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646"/>
        <w:spacing w:after="0" w:line="280" w:lineRule="auto"/>
        <w:rPr>
          <w:sz w:val="20"/>
          <w:szCs w:val="20"/>
          <w:color w:val="auto"/>
        </w:rPr>
      </w:pPr>
      <w:r>
        <w:rPr>
          <w:rFonts w:ascii="Times New Roman" w:cs="Times New Roman" w:eastAsia="Times New Roman" w:hAnsi="Times New Roman"/>
          <w:sz w:val="18"/>
          <w:szCs w:val="18"/>
          <w:color w:val="auto"/>
        </w:rPr>
        <w:t>There were no significant revenues recognized in 2025 or 2024 from performance obligations that were satisfied (or partially satisfied) in prior periods as a result of contract price changes, changes in estimates or variable consideration true-ups.</w:t>
      </w:r>
    </w:p>
    <w:p>
      <w:pPr>
        <w:spacing w:after="0" w:line="163" w:lineRule="exact"/>
        <w:rPr>
          <w:sz w:val="20"/>
          <w:szCs w:val="20"/>
          <w:color w:val="auto"/>
        </w:rPr>
      </w:pPr>
    </w:p>
    <w:p>
      <w:pPr>
        <w:ind w:right="20" w:firstLine="646"/>
        <w:spacing w:after="0" w:line="280" w:lineRule="auto"/>
        <w:rPr>
          <w:sz w:val="20"/>
          <w:szCs w:val="20"/>
          <w:color w:val="auto"/>
        </w:rPr>
      </w:pPr>
      <w:r>
        <w:rPr>
          <w:rFonts w:ascii="Times New Roman" w:cs="Times New Roman" w:eastAsia="Times New Roman" w:hAnsi="Times New Roman"/>
          <w:sz w:val="18"/>
          <w:szCs w:val="18"/>
          <w:color w:val="auto"/>
        </w:rPr>
        <w:t>As of December 31, 2025, the aggregate amount of the transaction price allocated to remaining performance obligations (i.e., unsatisfied or partially unsatisfied performance obligations) was $10,564. The following table presents the expected timing of recognition of that amount:</w:t>
      </w:r>
    </w:p>
    <w:p>
      <w:pPr>
        <w:sectPr>
          <w:pgSz w:w="11900" w:h="16838" w:orient="portrait"/>
          <w:cols w:equalWidth="0" w:num="1">
            <w:col w:w="11240"/>
          </w:cols>
          <w:pgMar w:left="320" w:top="121" w:right="339" w:bottom="1440" w:gutter="0" w:footer="0" w:header="0"/>
        </w:sectPr>
      </w:pP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Recognition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19685</wp:posOffset>
            </wp:positionV>
            <wp:extent cx="46297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7">
                      <a:extLst>
                        <a:ext uri="{28A0092B-C50C-407E-A947-70E740481C1C}"/>
                      </a:extLst>
                    </a:blip>
                    <a:srcRect/>
                    <a:stretch>
                      <a:fillRect/>
                    </a:stretch>
                  </pic:blipFill>
                  <pic:spPr bwMode="auto">
                    <a:xfrm>
                      <a:off x="0" y="0"/>
                      <a:ext cx="4629785" cy="8255"/>
                    </a:xfrm>
                    <a:prstGeom prst="rect">
                      <a:avLst/>
                    </a:prstGeom>
                    <a:noFill/>
                  </pic:spPr>
                </pic:pic>
              </a:graphicData>
            </a:graphic>
          </wp:anchor>
        </w:drawing>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Within 1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-122555</wp:posOffset>
            </wp:positionV>
            <wp:extent cx="5706110" cy="136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8">
                      <a:extLst>
                        <a:ext uri="{28A0092B-C50C-407E-A947-70E740481C1C}"/>
                      </a:extLst>
                    </a:blip>
                    <a:srcRect/>
                    <a:stretch>
                      <a:fillRect/>
                    </a:stretch>
                  </pic:blipFill>
                  <pic:spPr bwMode="auto">
                    <a:xfrm>
                      <a:off x="0" y="0"/>
                      <a:ext cx="5706110" cy="136525"/>
                    </a:xfrm>
                    <a:prstGeom prst="rect">
                      <a:avLst/>
                    </a:prstGeom>
                    <a:noFill/>
                  </pic:spPr>
                </pic:pic>
              </a:graphicData>
            </a:graphic>
          </wp:anchor>
        </w:drawing>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Between 1 and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12700</wp:posOffset>
            </wp:positionV>
            <wp:extent cx="5706110" cy="136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9">
                      <a:extLst>
                        <a:ext uri="{28A0092B-C50C-407E-A947-70E740481C1C}"/>
                      </a:extLst>
                    </a:blip>
                    <a:srcRect/>
                    <a:stretch>
                      <a:fillRect/>
                    </a:stretch>
                  </pic:blipFill>
                  <pic:spPr bwMode="auto">
                    <a:xfrm>
                      <a:off x="0" y="0"/>
                      <a:ext cx="5706110" cy="13652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7"/>
          <w:szCs w:val="17"/>
          <w:color w:val="auto"/>
        </w:rPr>
        <w:t>Between 2 and 3 years</w:t>
      </w:r>
    </w:p>
    <w:p>
      <w:pPr>
        <w:spacing w:after="0" w:line="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13970</wp:posOffset>
            </wp:positionV>
            <wp:extent cx="5706110"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0">
                      <a:extLst>
                        <a:ext uri="{28A0092B-C50C-407E-A947-70E740481C1C}"/>
                      </a:extLst>
                    </a:blip>
                    <a:srcRect/>
                    <a:stretch>
                      <a:fillRect/>
                    </a:stretch>
                  </pic:blipFill>
                  <pic:spPr bwMode="auto">
                    <a:xfrm>
                      <a:off x="0" y="0"/>
                      <a:ext cx="570611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9652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1">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spacing w:after="0" w:line="11" w:lineRule="exact"/>
        <w:rPr>
          <w:sz w:val="20"/>
          <w:szCs w:val="20"/>
          <w:color w:val="auto"/>
        </w:rPr>
      </w:pPr>
    </w:p>
    <w:p>
      <w:pPr>
        <w:ind w:left="1121" w:hanging="1121"/>
        <w:spacing w:after="0"/>
        <w:tabs>
          <w:tab w:leader="none" w:pos="112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6,846</w:t>
      </w:r>
    </w:p>
    <w:p>
      <w:pPr>
        <w:spacing w:after="0" w:line="33" w:lineRule="exact"/>
        <w:rPr>
          <w:rFonts w:ascii="Times New Roman" w:cs="Times New Roman" w:eastAsia="Times New Roman" w:hAnsi="Times New Roman"/>
          <w:sz w:val="17"/>
          <w:szCs w:val="17"/>
          <w:color w:val="auto"/>
        </w:rPr>
      </w:pPr>
    </w:p>
    <w:p>
      <w:pPr>
        <w:ind w:left="112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3,404</w:t>
      </w:r>
    </w:p>
    <w:p>
      <w:pPr>
        <w:spacing w:after="0" w:line="19" w:lineRule="exact"/>
        <w:rPr>
          <w:rFonts w:ascii="Times New Roman" w:cs="Times New Roman" w:eastAsia="Times New Roman" w:hAnsi="Times New Roman"/>
          <w:sz w:val="17"/>
          <w:szCs w:val="17"/>
          <w:color w:val="auto"/>
        </w:rPr>
      </w:pPr>
    </w:p>
    <w:p>
      <w:pPr>
        <w:ind w:left="126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314</w:t>
      </w:r>
    </w:p>
    <w:p>
      <w:pPr>
        <w:spacing w:after="0" w:line="19" w:lineRule="exact"/>
        <w:rPr>
          <w:rFonts w:ascii="Times New Roman" w:cs="Times New Roman" w:eastAsia="Times New Roman" w:hAnsi="Times New Roman"/>
          <w:sz w:val="17"/>
          <w:szCs w:val="17"/>
          <w:color w:val="auto"/>
        </w:rPr>
      </w:pPr>
    </w:p>
    <w:p>
      <w:pPr>
        <w:ind w:left="146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9652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2">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ind w:left="1021" w:hanging="1021"/>
        <w:spacing w:after="0"/>
        <w:tabs>
          <w:tab w:leader="none" w:pos="102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10,564</w:t>
      </w:r>
    </w:p>
    <w:p>
      <w:pPr>
        <w:spacing w:after="0" w:line="200" w:lineRule="exact"/>
        <w:rPr>
          <w:sz w:val="20"/>
          <w:szCs w:val="20"/>
          <w:color w:val="auto"/>
        </w:rPr>
      </w:pPr>
    </w:p>
    <w:p>
      <w:pPr>
        <w:sectPr>
          <w:pgSz w:w="11900" w:h="16838" w:orient="portrait"/>
          <w:cols w:equalWidth="0" w:num="2">
            <w:col w:w="7319" w:space="720"/>
            <w:col w:w="3201"/>
          </w:cols>
          <w:pgMar w:left="320" w:top="121" w:right="339" w:bottom="1440" w:gutter="0" w:footer="0" w:header="0"/>
          <w:type w:val="continuous"/>
        </w:sectPr>
      </w:pPr>
    </w:p>
    <w:p>
      <w:pPr>
        <w:spacing w:after="0" w:line="59"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The remaining performance obligations in the table above primarily consist of non-cancellable multi-year SaaS and maintenance agreements, under which the Company recognizes SaaS and maintenance revenue ratably over the contract term. The Company has elected the optional exemption under ASC 606-10-50-14 and does not disclose information about remaining performance obligations for contracts with an original expected duration of one year or less, which primarily consist of short-term digital media advertising contracts, month-to-month support agreements, media revenue, and transactional arrangements (e.g., hardware and installation, software design and development, content creation).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BUSINESS COMBINATIONS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Cineplex Digital Media</w:t>
      </w:r>
    </w:p>
    <w:p>
      <w:pPr>
        <w:spacing w:after="0" w:line="227"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On October 15, 2025, the Company entered into a Share Purchase Agreement (the "Share Purchase Agreement") with its wholly-owned subsidiary, 1001372953 Ontario Inc., an Ontario corporation ("Buyer"), and Cineplex Entertainment Limited Partnership ("Cineplex") to acquire 100% of the issued and outstanding common shares of DDC Group International, Inc. ("DDC"), an Ontario corporation and wholly owned subsidiary of Cineplex. DDC is the parent company of Cineplex Digital Media Inc. ("CDMI"), a digital solutions provider offering end-to-end digital signage and place-based media network services, and Cineplex Digital Media U.S. Inc. ("CDMUS"). DDC, CDMI and CDMUS are collectively referred to herein as "CDM". The Company pursued the acquisition to expand its digital signage capabilities and geographic presence into Canada, gain access to CDM's proprietary SaaS technology platform and diversified recurring-revenue customer base, and realize cross-selling synergies across the combined business.</w:t>
      </w:r>
    </w:p>
    <w:p>
      <w:pPr>
        <w:spacing w:after="0" w:line="189"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 xml:space="preserve">The Share Purchase Agreement provided for a base purchase price of approximately CAD $70,000 in exchange for all of the issued and outstanding common shares of DDC, subject to customary purchase price adjustments based on net working capital, closing cash, transaction expenses, CDM closing indebtedness and planned capital expenditures (the "Purchase Price"). The Share Purchase Agreement also included customary closing conditions, including the Company obtaining debt and equity financing sufficient to fund the Purchase Price and receipt of regulatory approval pursuant to Canada's </w:t>
      </w:r>
      <w:r>
        <w:rPr>
          <w:rFonts w:ascii="Times New Roman" w:cs="Times New Roman" w:eastAsia="Times New Roman" w:hAnsi="Times New Roman"/>
          <w:sz w:val="18"/>
          <w:szCs w:val="18"/>
          <w:i w:val="1"/>
          <w:iCs w:val="1"/>
          <w:color w:val="auto"/>
        </w:rPr>
        <w:t>Competition Act</w:t>
      </w:r>
      <w:r>
        <w:rPr>
          <w:rFonts w:ascii="Times New Roman" w:cs="Times New Roman" w:eastAsia="Times New Roman" w:hAnsi="Times New Roman"/>
          <w:sz w:val="18"/>
          <w:szCs w:val="18"/>
          <w:color w:val="auto"/>
        </w:rPr>
        <w:t>, which was obtained prior to closing. No contingent consideration arrangements were entered into in connection with the acquisition. The final purchase price after adjustments was approximately CAD $60,263 (or approximately USD $42,761).</w:t>
      </w:r>
    </w:p>
    <w:p>
      <w:pPr>
        <w:spacing w:after="0" w:line="187"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On November 7, 2025 (the "Acquisition Date"), the Company consummated the transactions contemplated by the Share Purchase Agreement and acquired all of the issued and outstanding common shares of DDC in exchange for cash consideration. The Company translated the purchase price and the fair values of assets acquired and liabilities assumed from Canadian dollars to U.S. dollars using the Bank of Canada closing exchange rate on November 7, 2025 of approximately 0.7096 USD per 1.00 CAD.</w:t>
      </w:r>
    </w:p>
    <w:p>
      <w:pPr>
        <w:spacing w:after="0" w:line="181"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 xml:space="preserve">The acquisition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engaged a third-party independent valuation specialist to assist in the determination of preliminary fair values of tangible and intangible assets acquired and liabilities assumed for CDM. The final determination of the fair value of assets and liabilities will be completed within the one-year measurement period as required by ASC 805. The acquisition will necessitate the use of this measurement period to adequately analyze and assess the factors used in establishing the asset and liability fair values as of the relevant acquisition date, including intangible assets, working capital adjustments and evaluation of deferred tax assets and liabilities arising from the Acquisition. The Company will recognize any measurement period adjustments in the reporting period in which the adjustments are determined.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values of the assets acquired and liabilities assumed as of the acquisition date: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Purchase Consideration:</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82"/>
        </w:trPr>
        <w:tc>
          <w:tcPr>
            <w:tcW w:w="9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Cash (net of cash acquired of $4,778)</w:t>
            </w:r>
          </w:p>
        </w:tc>
        <w:tc>
          <w:tcPr>
            <w:tcW w:w="58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37,983</w:t>
            </w:r>
          </w:p>
        </w:tc>
      </w:tr>
      <w:tr>
        <w:trPr>
          <w:trHeight w:val="196"/>
        </w:trPr>
        <w:tc>
          <w:tcPr>
            <w:tcW w:w="950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Less:</w:t>
            </w:r>
          </w:p>
        </w:tc>
        <w:tc>
          <w:tcPr>
            <w:tcW w:w="5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5"/>
        </w:trPr>
        <w:tc>
          <w:tcPr>
            <w:tcW w:w="9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Technology platform</w:t>
            </w:r>
          </w:p>
        </w:tc>
        <w:tc>
          <w:tcPr>
            <w:tcW w:w="5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6,656</w:t>
            </w:r>
          </w:p>
        </w:tc>
      </w:tr>
      <w:tr>
        <w:trPr>
          <w:trHeight w:val="215"/>
        </w:trPr>
        <w:tc>
          <w:tcPr>
            <w:tcW w:w="9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Customer relationships</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14,324</w:t>
            </w:r>
          </w:p>
        </w:tc>
      </w:tr>
      <w:tr>
        <w:trPr>
          <w:trHeight w:val="215"/>
        </w:trPr>
        <w:tc>
          <w:tcPr>
            <w:tcW w:w="9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Non-compete covenant</w:t>
            </w:r>
          </w:p>
        </w:tc>
        <w:tc>
          <w:tcPr>
            <w:tcW w:w="5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r>
      <w:tr>
        <w:trPr>
          <w:trHeight w:val="215"/>
        </w:trPr>
        <w:tc>
          <w:tcPr>
            <w:tcW w:w="9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Unfavorable lease</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r>
      <w:tr>
        <w:trPr>
          <w:trHeight w:val="215"/>
        </w:trPr>
        <w:tc>
          <w:tcPr>
            <w:tcW w:w="9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571</w:t>
            </w:r>
          </w:p>
        </w:tc>
      </w:tr>
      <w:tr>
        <w:trPr>
          <w:trHeight w:val="215"/>
        </w:trPr>
        <w:tc>
          <w:tcPr>
            <w:tcW w:w="9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23,309</w:t>
            </w:r>
          </w:p>
        </w:tc>
      </w:tr>
      <w:tr>
        <w:trPr>
          <w:trHeight w:val="215"/>
        </w:trPr>
        <w:tc>
          <w:tcPr>
            <w:tcW w:w="9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(571)</w:t>
            </w:r>
          </w:p>
        </w:tc>
      </w:tr>
      <w:tr>
        <w:trPr>
          <w:trHeight w:val="215"/>
        </w:trPr>
        <w:tc>
          <w:tcPr>
            <w:tcW w:w="9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(23,309)</w:t>
            </w:r>
          </w:p>
        </w:tc>
      </w:tr>
      <w:tr>
        <w:trPr>
          <w:trHeight w:val="215"/>
        </w:trPr>
        <w:tc>
          <w:tcPr>
            <w:tcW w:w="9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Property and equipment</w:t>
            </w:r>
          </w:p>
        </w:tc>
        <w:tc>
          <w:tcPr>
            <w:tcW w:w="5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2,711</w:t>
            </w:r>
          </w:p>
        </w:tc>
      </w:tr>
      <w:tr>
        <w:trPr>
          <w:trHeight w:val="215"/>
        </w:trPr>
        <w:tc>
          <w:tcPr>
            <w:tcW w:w="9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tax liability</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(2,215)</w:t>
            </w:r>
          </w:p>
        </w:tc>
      </w:tr>
      <w:tr>
        <w:trPr>
          <w:trHeight w:val="229"/>
        </w:trPr>
        <w:tc>
          <w:tcPr>
            <w:tcW w:w="9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Debt-free net working capital deficit</w:t>
            </w:r>
          </w:p>
        </w:tc>
        <w:tc>
          <w:tcPr>
            <w:tcW w:w="5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(9,486)</w:t>
            </w:r>
          </w:p>
        </w:tc>
      </w:tr>
      <w:tr>
        <w:trPr>
          <w:trHeight w:val="209"/>
        </w:trPr>
        <w:tc>
          <w:tcPr>
            <w:tcW w:w="9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Identified Net Assets</w:t>
            </w:r>
          </w:p>
        </w:tc>
        <w:tc>
          <w:tcPr>
            <w:tcW w:w="58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5"/>
        </w:trPr>
        <w:tc>
          <w:tcPr>
            <w:tcW w:w="9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2"/>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Remaining Goodwill Value</w:t>
            </w:r>
          </w:p>
        </w:tc>
        <w:tc>
          <w:tcPr>
            <w:tcW w:w="5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26,013</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the debt-free net working capital deficit are as follows:</w:t>
            </w:r>
          </w:p>
        </w:tc>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Pr>
          <w:p>
            <w:pPr>
              <w:spacing w:after="0"/>
              <w:rPr>
                <w:sz w:val="18"/>
                <w:szCs w:val="18"/>
                <w:color w:val="auto"/>
              </w:rPr>
            </w:pPr>
          </w:p>
        </w:tc>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820" w:type="dxa"/>
            <w:vAlign w:val="bottom"/>
            <w:gridSpan w:val="2"/>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Pr>
          <w:p>
            <w:pPr>
              <w:spacing w:after="0"/>
              <w:rPr>
                <w:sz w:val="18"/>
                <w:szCs w:val="18"/>
                <w:color w:val="auto"/>
              </w:rPr>
            </w:pPr>
          </w:p>
        </w:tc>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Inventory</w:t>
            </w: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61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current liabilities:</w:t>
            </w: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Pr>
          <w:p>
            <w:pPr>
              <w:spacing w:after="0"/>
              <w:rPr>
                <w:sz w:val="18"/>
                <w:szCs w:val="18"/>
                <w:color w:val="auto"/>
              </w:rPr>
            </w:pPr>
          </w:p>
        </w:tc>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1820" w:type="dxa"/>
            <w:vAlign w:val="bottom"/>
            <w:gridSpan w:val="2"/>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Pr>
          <w:p>
            <w:pPr>
              <w:spacing w:after="0"/>
              <w:rPr>
                <w:sz w:val="18"/>
                <w:szCs w:val="18"/>
                <w:color w:val="auto"/>
              </w:rPr>
            </w:pPr>
          </w:p>
        </w:tc>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expenses and current liabilities</w:t>
            </w: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61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2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80" w:type="dxa"/>
            <w:vAlign w:val="bottom"/>
          </w:tcPr>
          <w:p>
            <w:pPr>
              <w:spacing w:after="0"/>
              <w:rPr>
                <w:sz w:val="21"/>
                <w:szCs w:val="21"/>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working capital deficit</w:t>
            </w:r>
          </w:p>
        </w:tc>
        <w:tc>
          <w:tcPr>
            <w:tcW w:w="182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(9,486)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describes the methods used to determine the fair value of each identifiable intangible asset acquired and the respective useful lives:</w:t>
      </w:r>
    </w:p>
    <w:p>
      <w:pPr>
        <w:spacing w:after="0" w:line="223"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The fair value of the technology platform of $6,656 was estimated using the relief from royalty method under the income approach. The developed technology consists of patented and unpatented technology, know-how and processes related to CDM's SaaS platform and integrated digital hardware for end-to-end digital signage experiences and place-based media networks. Key assumptions included a royalty rate of 4.0%, a discount rate of 13.25%, a tax rate of 25.0%, and a technology obsolescence period of 10 years. The estimated useful life of the developed technology is 10 years.</w:t>
      </w:r>
    </w:p>
    <w:p>
      <w:pPr>
        <w:spacing w:after="0" w:line="183"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The fair value of customer relationships of $14,324 was estimated using the multi-period excess earnings method under the income approach. CDM has developed a broad and diversified customer base with recurring revenues operating across verticals including quick service restaurants, financial services, retail, and malls/real estate. Key assumptions included a customer attrition rate of 2.5% per annum, a projected customer revenue growth averaging approximately 5% annually over the forecast period, a discount rate of 13.5%, and a tax rate of 25.0%. The estimated useful life of customer relationships is 10 years.</w:t>
      </w:r>
    </w:p>
    <w:p>
      <w:pPr>
        <w:spacing w:after="0" w:line="183" w:lineRule="exact"/>
        <w:rPr>
          <w:sz w:val="20"/>
          <w:szCs w:val="20"/>
          <w:color w:val="auto"/>
        </w:rPr>
      </w:pPr>
    </w:p>
    <w:p>
      <w:pPr>
        <w:jc w:val="both"/>
        <w:ind w:right="20" w:firstLine="646"/>
        <w:spacing w:after="0" w:line="265" w:lineRule="auto"/>
        <w:rPr>
          <w:sz w:val="20"/>
          <w:szCs w:val="20"/>
          <w:color w:val="auto"/>
        </w:rPr>
      </w:pPr>
      <w:r>
        <w:rPr>
          <w:rFonts w:ascii="Times New Roman" w:cs="Times New Roman" w:eastAsia="Times New Roman" w:hAnsi="Times New Roman"/>
          <w:sz w:val="18"/>
          <w:szCs w:val="18"/>
          <w:color w:val="auto"/>
        </w:rPr>
        <w:t>The fair value of the non-compete covenant of $21 was estimated using the "with or without" method under the income approach. The non-compete agreement was entered into with Cineplex. Key assumptions included a potential loss of sales of 2.5%, a probability of competing of 10.0%, a discount rate of 13.0%, and a tax rate of 25.0%. The estimated useful life of the non-compete covenant is 5 years.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The Company identified an unfavorable leasehold interest of ($41) related to office space at 137 Northfield Drive West, Waterloo, Ontario, where the contract rent of CAD $19.50 per square foot exceeds the estimated market rent of CAD $16.00 per square foot. The fair value was estimated using a discounted cash flow analysis under the income approach at a discount rate of 10.50%. The unfavorable lease intangible has been reflected as a reduction to the acquired operating lease right-of-use asset in the preliminary purchase price allocation and is being amortized over the remaining lease term through January 2027.</w:t>
      </w:r>
    </w:p>
    <w:p>
      <w:pPr>
        <w:spacing w:after="0" w:line="183"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Company acquired the lease agreement for office space in Waterloo, Ontario, as well as certain media mall agreements that contained embedded leases. The Company established a new right-of-use asset and lease liability for these leases in purchase accounting. See Note 17 for further details.</w:t>
      </w:r>
    </w:p>
    <w:p>
      <w:pPr>
        <w:spacing w:after="0" w:line="175"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Contract liabilities assumed in the acquisition consist primarily of deferred revenue related to digital media and digital signage service arrangements with CDM Business customers. In accordance with ASU 2021-08, Business Combinations (Topic 805): Accounting for Contract Assets and Contract Liabilities from Contracts with Customers, the Company measured the assumed contract liabilities at the amount that would have been recorded under ASC 606 as if the Company had originated the underlying contracts.</w:t>
      </w:r>
    </w:p>
    <w:p>
      <w:pPr>
        <w:spacing w:after="0" w:line="183" w:lineRule="exact"/>
        <w:rPr>
          <w:sz w:val="20"/>
          <w:szCs w:val="20"/>
          <w:color w:val="auto"/>
        </w:rPr>
      </w:pPr>
    </w:p>
    <w:p>
      <w:pPr>
        <w:jc w:val="both"/>
        <w:ind w:right="20" w:firstLine="646"/>
        <w:spacing w:after="0" w:line="280" w:lineRule="auto"/>
        <w:rPr>
          <w:sz w:val="20"/>
          <w:szCs w:val="20"/>
          <w:color w:val="auto"/>
        </w:rPr>
      </w:pPr>
      <w:r>
        <w:rPr>
          <w:rFonts w:ascii="Times New Roman" w:cs="Times New Roman" w:eastAsia="Times New Roman" w:hAnsi="Times New Roman"/>
          <w:sz w:val="18"/>
          <w:szCs w:val="18"/>
          <w:color w:val="auto"/>
        </w:rPr>
        <w:t>The fair value of working capital accounts was determined to approximate their carrying values due to the short-term nature of the assets and liabilities.</w:t>
      </w:r>
    </w:p>
    <w:p>
      <w:pPr>
        <w:spacing w:after="0" w:line="163"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Goodwill was recorded based on the amount by which the purchase price exceeded the fair value of the net assets acquired. The goodwill is primarily attributable to expected synergies from combining operations, the assembled workforce, cross-selling opportunities across the combined customer base, and other intangible benefits that do not qualify for separate recognition under ASC 805. The goodwill has been assigned to the Company’s sole reporting unit. The goodwill recognized is not expected to be deductible for income tax purposes.</w:t>
      </w:r>
    </w:p>
    <w:p>
      <w:pPr>
        <w:spacing w:after="0" w:line="183"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consolidated financial statements of the Company include the results of operations of CDM from November 7, 2025 to December 31, 2025 and do not include results of operations for periods prior to November 7, 2025. The results of operations of CDM from November 7, 2025 to December 31, 2025 included revenues of $13,613 and net income of $4,661.</w:t>
      </w:r>
    </w:p>
    <w:p>
      <w:pPr>
        <w:spacing w:after="0" w:line="175" w:lineRule="exact"/>
        <w:rPr>
          <w:sz w:val="20"/>
          <w:szCs w:val="20"/>
          <w:color w:val="auto"/>
        </w:rPr>
      </w:pPr>
    </w:p>
    <w:p>
      <w:pPr>
        <w:jc w:val="both"/>
        <w:ind w:right="20" w:firstLine="646"/>
        <w:spacing w:after="0" w:line="265" w:lineRule="auto"/>
        <w:rPr>
          <w:sz w:val="20"/>
          <w:szCs w:val="20"/>
          <w:color w:val="auto"/>
        </w:rPr>
      </w:pPr>
      <w:r>
        <w:rPr>
          <w:rFonts w:ascii="Times New Roman" w:cs="Times New Roman" w:eastAsia="Times New Roman" w:hAnsi="Times New Roman"/>
          <w:sz w:val="18"/>
          <w:szCs w:val="18"/>
          <w:color w:val="auto"/>
        </w:rPr>
        <w:t>The following table presents the unaudited pro forma consolidated results of operations for the year ended December 31, 2025 and 2024 as if the acquisition of CDM occurred at the beginning of fiscal year 2024. The pro forma results are not necessarily indicative of the results of operations that would have occurred had the operations of this acquisition actually been acquired at the beginning of fiscal year 2024 or future results of operations.</w:t>
      </w:r>
    </w:p>
    <w:p>
      <w:pPr>
        <w:spacing w:after="0" w:line="171" w:lineRule="exact"/>
        <w:rPr>
          <w:sz w:val="20"/>
          <w:szCs w:val="20"/>
          <w:color w:val="auto"/>
        </w:rPr>
      </w:pPr>
    </w:p>
    <w:p>
      <w:pPr>
        <w:jc w:val="center"/>
        <w:ind w:left="334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left="33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r>
      <w:tr>
        <w:trPr>
          <w:trHeight w:val="209"/>
        </w:trPr>
        <w:tc>
          <w:tcPr>
            <w:tcW w:w="5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 w:type="dxa"/>
            <w:vAlign w:val="bottom"/>
          </w:tcPr>
          <w:p>
            <w:pPr>
              <w:spacing w:after="0"/>
              <w:rPr>
                <w:sz w:val="18"/>
                <w:szCs w:val="18"/>
                <w:color w:val="auto"/>
              </w:rPr>
            </w:pP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88,778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91,524</w:t>
            </w: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(10,842)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(4,818)</w:t>
            </w:r>
          </w:p>
        </w:tc>
      </w:tr>
    </w:tbl>
    <w:p>
      <w:pPr>
        <w:spacing w:after="0" w:line="178"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As of the acquisition date, the Company expected to collect all contractual cash flows related to receivables acquired in the acquisition. Acquisition-related costs of $1,955 were expensed as incurred and are recorded within general and administrative expenses on the consolidated statements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Merger-related Contingent Consideration Settlement</w:t>
      </w:r>
    </w:p>
    <w:p>
      <w:pPr>
        <w:spacing w:after="0" w:line="227"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On November 12, 2021, the Company entered into an Agreement and Plan of Merger with Reflect and RSI Exit Corporation, as representative of the former stockholders of Reflect (the “Stockholders’ Representative”), which was amended on February 8, 2022, February 11, 2023, February 17, 2025, and February 23, 2025 (as amended, the “Merger Agreement”). Pursuant to the Merger Agreement, the Company’s direct, wholly owned subsidiary, CRI Acquisition Corporation, merged with and into Reflect, with Reflect continuing as the surviving entity and becoming a wholly owned subsidiary of the Company (the “Merger”). The Merger was closed on February 17, 2022. The Merger Agreement required the Company to pay to the former Reflect stockholders on or after February 17, 2025 (the “Guaranteed Date”) additional contingent supplemental cash payments (the “Guaranteed Consideration”) if the average closing price of the Company’s common stock in the fifteen (15) trading day period prior to the Guaranteed Date was below $6.40 per share (such applicable amount, the “Guaranteed Price”).</w:t>
      </w:r>
    </w:p>
    <w:p>
      <w:pPr>
        <w:spacing w:after="0" w:line="185"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On March 14, 2025, the Company and Reflect entered into a Settlement Agreement and Fifth Amendment to Merger Agreement with the Stockholders’ Representative (the “Settlement Agreement”), pursuant to which the Company settled and resolved a dispute regarding the amount and enforceability of the Guaranteed Consideration. Pursuant to the Settlement Agreement, the Company’s obligation to pay the Guaranteed Consideration to the former Reflect stockholders was terminated and released. In consideration for such termination and release, (i) the Company deposited an aggregate of $3,000 in cash with an exchange agent for the ratable benefit of, and for distribution to, the former Reflect stockholders, (ii) the Company and Reflect (as co-obligors) delivered a subordinated promissory note in the principal amount of $4,000 payable to the order of the Stockholders’ Representative, as nominee for, and for the ratable benefit of, the former Reflect stockholders (the “Promissory Note”), and (iii) the Company agreed to issue to the former Reflect stockholders warrants to purchase their pro rata share of an aggregate of 777,800 shares of the Company’s common stock (the “Settlement Warrants”).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As a result of the Settlement Agreement, the Company derecognized the previously recorded contingent consideration liability related to the Merger of $12,815 and recorded the fair value of the settlement consideration of $8,040, which included $3,000 in cash, the $4,000 Promissory Note, and Settlement Warrants with a fair value of $1,040. The Company recognized a gain on settlement of contingent consideration of $4,775 during the year ended December 31, 2025 in the consolidated statement of operations.</w:t>
      </w:r>
    </w:p>
    <w:p>
      <w:pPr>
        <w:spacing w:after="0" w:line="183"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In conjunction with entering into the Settlement Agreement and related documents, the Company entered into a Consent Agreement dated March 14, 2025 with First Merchants Bank, among others (the “Consent Agreement”), pursuant to which (among other things) First Merchants Bank, the senior secured lender under the Company’s credit facility, agreed to waive certain negative covenants under the Company’s credit facility that may have otherwise been implicated by the transactions contemplated by the Settlement Agreement.</w:t>
      </w:r>
    </w:p>
    <w:p>
      <w:pPr>
        <w:spacing w:after="0" w:line="181" w:lineRule="exact"/>
        <w:rPr>
          <w:sz w:val="20"/>
          <w:szCs w:val="20"/>
          <w:color w:val="auto"/>
        </w:rPr>
      </w:pPr>
    </w:p>
    <w:p>
      <w:pPr>
        <w:jc w:val="both"/>
        <w:ind w:firstLine="646"/>
        <w:spacing w:after="0" w:line="282" w:lineRule="auto"/>
        <w:rPr>
          <w:sz w:val="20"/>
          <w:szCs w:val="20"/>
          <w:color w:val="auto"/>
        </w:rPr>
      </w:pPr>
      <w:r>
        <w:rPr>
          <w:rFonts w:ascii="Times New Roman" w:cs="Times New Roman" w:eastAsia="Times New Roman" w:hAnsi="Times New Roman"/>
          <w:sz w:val="18"/>
          <w:szCs w:val="18"/>
          <w:color w:val="auto"/>
        </w:rPr>
        <w:t xml:space="preserve">See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14,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xml:space="preserve"> for additional accounting considerations as a result of the issuance of the Promissory Note and Settlement Warrants.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6: SUPPLEMENTAL CASH FLOW STATEMENT INFORMATION</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584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software in accounts payable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Series A Redeemable Convertible Preferred Stock dividends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1,509</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notes payable as partial settlement of contingent consideration</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warrants as partial settlement of contingent consideration</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1,040</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information for cash flow</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1,849</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PREPAID EXPENSES AND OTHER CURRENT ASSETS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and 2024, prepaid expenses and other current assets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68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120" w:type="dxa"/>
            <w:vAlign w:val="bottom"/>
          </w:tcPr>
          <w:p>
            <w:pPr>
              <w:spacing w:after="0"/>
              <w:rPr>
                <w:sz w:val="19"/>
                <w:szCs w:val="19"/>
                <w:color w:val="auto"/>
              </w:rPr>
            </w:pPr>
          </w:p>
        </w:tc>
      </w:tr>
      <w:tr>
        <w:trPr>
          <w:trHeight w:val="209"/>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Vendor, project and hardware prepayments</w:t>
            </w:r>
          </w:p>
        </w:tc>
        <w:tc>
          <w:tcPr>
            <w:tcW w:w="20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Severance receivable</w:t>
            </w:r>
          </w:p>
        </w:tc>
        <w:tc>
          <w:tcPr>
            <w:tcW w:w="2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MAG reimbursement receivable</w:t>
            </w:r>
          </w:p>
        </w:tc>
        <w:tc>
          <w:tcPr>
            <w:tcW w:w="2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subscriptions</w:t>
            </w:r>
          </w:p>
        </w:tc>
        <w:tc>
          <w:tcPr>
            <w:tcW w:w="2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Prepaid marketing</w:t>
            </w:r>
          </w:p>
        </w:tc>
        <w:tc>
          <w:tcPr>
            <w:tcW w:w="2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other</w:t>
            </w:r>
          </w:p>
        </w:tc>
        <w:tc>
          <w:tcPr>
            <w:tcW w:w="2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receivables</w:t>
            </w:r>
          </w:p>
        </w:tc>
        <w:tc>
          <w:tcPr>
            <w:tcW w:w="2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0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9"/>
                <w:szCs w:val="19"/>
                <w:color w:val="auto"/>
              </w:rPr>
            </w:pPr>
          </w:p>
        </w:tc>
        <w:tc>
          <w:tcPr>
            <w:tcW w:w="1120" w:type="dxa"/>
            <w:vAlign w:val="bottom"/>
          </w:tcPr>
          <w:p>
            <w:pPr>
              <w:spacing w:after="0"/>
              <w:rPr>
                <w:sz w:val="19"/>
                <w:szCs w:val="19"/>
                <w:color w:val="auto"/>
              </w:rPr>
            </w:pPr>
          </w:p>
        </w:tc>
      </w:tr>
      <w:tr>
        <w:trPr>
          <w:trHeight w:val="222"/>
        </w:trPr>
        <w:tc>
          <w:tcPr>
            <w:tcW w:w="11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2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1"/>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020" w:type="dxa"/>
            <w:vAlign w:val="bottom"/>
            <w:gridSpan w:val="2"/>
          </w:tcPr>
          <w:p>
            <w:pPr>
              <w:jc w:val="right"/>
              <w:ind w:right="1934"/>
              <w:spacing w:after="0"/>
              <w:rPr>
                <w:sz w:val="20"/>
                <w:szCs w:val="20"/>
                <w:color w:val="auto"/>
              </w:rPr>
            </w:pPr>
            <w:r>
              <w:rPr>
                <w:rFonts w:ascii="Times New Roman" w:cs="Times New Roman" w:eastAsia="Times New Roman" w:hAnsi="Times New Roman"/>
                <w:sz w:val="18"/>
                <w:szCs w:val="18"/>
                <w:color w:val="auto"/>
              </w:rPr>
              <w:t>F- 22</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INTANGIBLE ASSETS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as of December 31, 2025 and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7"/>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4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186"/>
        </w:trPr>
        <w:tc>
          <w:tcPr>
            <w:tcW w:w="4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00"/>
              <w:spacing w:after="0" w:line="187" w:lineRule="exact"/>
              <w:rPr>
                <w:sz w:val="20"/>
                <w:szCs w:val="20"/>
                <w:color w:val="auto"/>
              </w:rPr>
            </w:pPr>
            <w:r>
              <w:rPr>
                <w:rFonts w:ascii="Times New Roman" w:cs="Times New Roman" w:eastAsia="Times New Roman" w:hAnsi="Times New Roman"/>
                <w:sz w:val="18"/>
                <w:szCs w:val="18"/>
                <w:b w:val="1"/>
                <w:bCs w:val="1"/>
                <w:color w:val="auto"/>
              </w:rPr>
              <w:t>Gross</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center"/>
              <w:ind w:right="380"/>
              <w:spacing w:after="0" w:line="187"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9"/>
        </w:trPr>
        <w:tc>
          <w:tcPr>
            <w:tcW w:w="4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r>
      <w:tr>
        <w:trPr>
          <w:trHeight w:val="238"/>
        </w:trPr>
        <w:tc>
          <w:tcPr>
            <w:tcW w:w="4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09"/>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platform</w:t>
            </w:r>
          </w:p>
        </w:tc>
        <w:tc>
          <w:tcPr>
            <w:tcW w:w="1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13,961</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Purchased and developed software</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8,815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13,780</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5,006</w:t>
            </w:r>
          </w:p>
        </w:tc>
      </w:tr>
      <w:tr>
        <w:trPr>
          <w:trHeight w:val="215"/>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28,561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13,910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4,350</w:t>
            </w:r>
          </w:p>
        </w:tc>
      </w:tr>
      <w:tr>
        <w:trPr>
          <w:trHeight w:val="215"/>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1,260</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w:t>
            </w:r>
          </w:p>
        </w:tc>
      </w:tr>
      <w:tr>
        <w:trPr>
          <w:trHeight w:val="22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w:t>
            </w: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1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52,619</w:t>
            </w:r>
          </w:p>
        </w:tc>
        <w:tc>
          <w:tcPr>
            <w:tcW w:w="24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13,249</w:t>
            </w:r>
          </w:p>
        </w:tc>
        <w:tc>
          <w:tcPr>
            <w:tcW w:w="100" w:type="dxa"/>
            <w:vAlign w:val="bottom"/>
          </w:tcPr>
          <w:p>
            <w:pPr>
              <w:spacing w:after="0"/>
              <w:rPr>
                <w:sz w:val="18"/>
                <w:szCs w:val="18"/>
                <w:color w:val="auto"/>
              </w:rPr>
            </w:pPr>
          </w:p>
        </w:tc>
      </w:tr>
      <w:tr>
        <w:trPr>
          <w:trHeight w:val="22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(16,713)</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(13,249)</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book value of amortizable intangible assets</w:t>
            </w:r>
          </w:p>
        </w:tc>
        <w:tc>
          <w:tcPr>
            <w:tcW w:w="1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35,906</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For the years ended December 31, 2025 and 2024, amortization of intangible assets charged to operations was $4,822 and $3,877, respectively. For the year ended December 31, 2024, the Company wrote-off a $30 fully amortized noncompete asset and the related accumulated amortization. There was no impact on the Company’s consolidated balance sheet or consolidated statement of operations as a result of this write-off during the period.</w:t>
      </w:r>
    </w:p>
    <w:p>
      <w:pPr>
        <w:spacing w:after="0" w:line="175"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an impairment charge of $5,712 related to a proprietary software platform capitalized as an intangible asset under ASC 350-40. The impairment was recorded after management determined that expected future cash flows associated with the platform were not sufficient to recover its carrying amount, primarily due to uncertainty regarding the renewal of an existing software license agreement. The uncertainty arose in September 2025 when the customer communicated that it was unable to renew its license agreement with the Company due to budget constraints, representing a triggering event under ASC 350-40. The impairment charge was measured as the excess of the asset’s carrying amount over its estimated fair value, which was determined using an income approach based on expected discounted cash flows and Level 3 inputs in accordance with ASC 820. The impairment charge is presented within operating expenses in the consolidated statements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8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Estimated amortization is as follows:</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Estimated Future</w:t>
            </w:r>
          </w:p>
        </w:tc>
      </w:tr>
      <w:tr>
        <w:trPr>
          <w:trHeight w:val="238"/>
        </w:trPr>
        <w:tc>
          <w:tcPr>
            <w:tcW w:w="8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0" w:type="dxa"/>
            <w:vAlign w:val="bottom"/>
          </w:tcPr>
          <w:p>
            <w:pPr>
              <w:spacing w:after="0"/>
              <w:rPr>
                <w:sz w:val="20"/>
                <w:szCs w:val="20"/>
                <w:color w:val="auto"/>
              </w:rPr>
            </w:pPr>
          </w:p>
        </w:tc>
        <w:tc>
          <w:tcPr>
            <w:tcW w:w="162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09"/>
        </w:trPr>
        <w:tc>
          <w:tcPr>
            <w:tcW w:w="20" w:type="dxa"/>
            <w:vAlign w:val="bottom"/>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7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7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7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8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35,906</w:t>
            </w:r>
          </w:p>
        </w:tc>
      </w:tr>
      <w:tr>
        <w:trPr>
          <w:trHeight w:val="411"/>
        </w:trPr>
        <w:tc>
          <w:tcPr>
            <w:tcW w:w="20" w:type="dxa"/>
            <w:vAlign w:val="bottom"/>
          </w:tcPr>
          <w:p>
            <w:pPr>
              <w:spacing w:after="0"/>
              <w:rPr>
                <w:sz w:val="24"/>
                <w:szCs w:val="24"/>
                <w:color w:val="auto"/>
              </w:rPr>
            </w:pPr>
          </w:p>
        </w:tc>
        <w:tc>
          <w:tcPr>
            <w:tcW w:w="8380" w:type="dxa"/>
            <w:vAlign w:val="bottom"/>
            <w:tcBorders>
              <w:top w:val="single" w:sz="8" w:color="CCEEFF"/>
            </w:tcBorders>
            <w:gridSpan w:val="4"/>
          </w:tcPr>
          <w:p>
            <w:pPr>
              <w:ind w:left="640"/>
              <w:spacing w:after="0"/>
              <w:rPr>
                <w:sz w:val="20"/>
                <w:szCs w:val="20"/>
                <w:color w:val="auto"/>
              </w:rPr>
            </w:pPr>
            <w:r>
              <w:rPr>
                <w:rFonts w:ascii="Times New Roman" w:cs="Times New Roman" w:eastAsia="Times New Roman" w:hAnsi="Times New Roman"/>
                <w:sz w:val="18"/>
                <w:szCs w:val="18"/>
                <w:color w:val="auto"/>
                <w:w w:val="99"/>
              </w:rPr>
              <w:t>Intangible assets include the following and are being amortized over their estimated useful lives as follows:</w:t>
            </w:r>
          </w:p>
        </w:tc>
        <w:tc>
          <w:tcPr>
            <w:tcW w:w="10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0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6"/>
          </w:tcPr>
          <w:p>
            <w:pPr>
              <w:jc w:val="center"/>
              <w:ind w:right="620"/>
              <w:spacing w:after="0"/>
              <w:rPr>
                <w:sz w:val="20"/>
                <w:szCs w:val="20"/>
                <w:color w:val="auto"/>
              </w:rPr>
            </w:pPr>
            <w:r>
              <w:rPr>
                <w:rFonts w:ascii="Times New Roman" w:cs="Times New Roman" w:eastAsia="Times New Roman" w:hAnsi="Times New Roman"/>
                <w:sz w:val="18"/>
                <w:szCs w:val="18"/>
                <w:b w:val="1"/>
                <w:bCs w:val="1"/>
                <w:i w:val="1"/>
                <w:iCs w:val="1"/>
                <w:color w:val="auto"/>
                <w:w w:val="98"/>
              </w:rPr>
              <w:t>Amortization</w:t>
            </w: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6"/>
          </w:tcPr>
          <w:p>
            <w:pPr>
              <w:jc w:val="center"/>
              <w:ind w:right="620"/>
              <w:spacing w:after="0"/>
              <w:rPr>
                <w:sz w:val="20"/>
                <w:szCs w:val="20"/>
                <w:color w:val="auto"/>
              </w:rPr>
            </w:pPr>
            <w:r>
              <w:rPr>
                <w:rFonts w:ascii="Times New Roman" w:cs="Times New Roman" w:eastAsia="Times New Roman" w:hAnsi="Times New Roman"/>
                <w:sz w:val="18"/>
                <w:szCs w:val="18"/>
                <w:b w:val="1"/>
                <w:bCs w:val="1"/>
                <w:i w:val="1"/>
                <w:iCs w:val="1"/>
                <w:color w:val="auto"/>
              </w:rPr>
              <w:t>Period:</w:t>
            </w:r>
          </w:p>
        </w:tc>
      </w:tr>
      <w:tr>
        <w:trPr>
          <w:trHeight w:val="238"/>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Intangible Asset: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(years)</w:t>
            </w:r>
          </w:p>
        </w:tc>
        <w:tc>
          <w:tcPr>
            <w:tcW w:w="400" w:type="dxa"/>
            <w:vAlign w:val="bottom"/>
            <w:gridSpan w:val="3"/>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platform and patents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Purchased and developed software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5"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As of December 31, 2025, the Company's goodwill balance includes $26,013, recognized in connection with the acquisition of CDM on November 7, 2025 (see Note 5). The Company has one reporting unit and all goodwill has been assigned to that reporting unit.</w:t>
      </w:r>
    </w:p>
    <w:p>
      <w:pPr>
        <w:spacing w:after="0" w:line="163"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On September 30, 2025, the Company performed a qualitative assessment and concluded that it was not more likely than not that the fair value of its reporting unit was less than its carrying amount. Accordingly, no quantitative test was required and no impairment was recognized during the year ended December 31, 2025. On September 30, 2024, the Company performed a qualitative assessment and concluded that it was not more likely than not that the fair value of its reporting unit was less than its carrying amount. Accordingly, no quantitative test was required and no impairment was recognized during the year ended December 31, 2024.</w:t>
      </w:r>
    </w:p>
    <w:p>
      <w:pPr>
        <w:spacing w:after="0" w:line="183"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Company recognizes that changes in projected operating results, market conditions, or other assumptions could have a material impact on its assessment of goodwill impairment in future periods. Should indicators of impairment arise in subsequent periods, the Company will perform the analysis required to determine whether goodwill is impaired.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25"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78"/>
        </w:trPr>
        <w:tc>
          <w:tcPr>
            <w:tcW w:w="660" w:type="dxa"/>
            <w:vAlign w:val="bottom"/>
          </w:tcPr>
          <w:p>
            <w:pPr>
              <w:spacing w:after="0"/>
              <w:rPr>
                <w:sz w:val="24"/>
                <w:szCs w:val="24"/>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goodwill for the years ended December 31, 2025 and 2024 were as follows:</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4"/>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r>
      <w:tr>
        <w:trPr>
          <w:trHeight w:val="209"/>
        </w:trPr>
        <w:tc>
          <w:tcPr>
            <w:tcW w:w="660" w:type="dxa"/>
            <w:vAlign w:val="bottom"/>
          </w:tcPr>
          <w:p>
            <w:pPr>
              <w:spacing w:after="0"/>
              <w:rPr>
                <w:sz w:val="18"/>
                <w:szCs w:val="18"/>
                <w:color w:val="auto"/>
              </w:rPr>
            </w:pPr>
          </w:p>
        </w:tc>
        <w:tc>
          <w:tcPr>
            <w:tcW w:w="6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37,099</w:t>
            </w: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6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Impairment expense</w:t>
            </w:r>
          </w:p>
        </w:tc>
        <w:tc>
          <w:tcPr>
            <w:tcW w:w="3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37,099</w:t>
            </w:r>
          </w:p>
        </w:tc>
        <w:tc>
          <w:tcPr>
            <w:tcW w:w="80" w:type="dxa"/>
            <w:vAlign w:val="bottom"/>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26,013</w:t>
            </w:r>
          </w:p>
        </w:tc>
      </w:tr>
      <w:tr>
        <w:trPr>
          <w:trHeight w:val="229"/>
        </w:trPr>
        <w:tc>
          <w:tcPr>
            <w:tcW w:w="66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800</w:t>
            </w:r>
          </w:p>
        </w:tc>
      </w:tr>
      <w:tr>
        <w:trPr>
          <w:trHeight w:val="222"/>
        </w:trPr>
        <w:tc>
          <w:tcPr>
            <w:tcW w:w="660" w:type="dxa"/>
            <w:vAlign w:val="bottom"/>
          </w:tcPr>
          <w:p>
            <w:pPr>
              <w:spacing w:after="0"/>
              <w:rPr>
                <w:sz w:val="19"/>
                <w:szCs w:val="19"/>
                <w:color w:val="auto"/>
              </w:rPr>
            </w:pPr>
          </w:p>
        </w:tc>
        <w:tc>
          <w:tcPr>
            <w:tcW w:w="6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8"/>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2"/>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r>
      <w:tr>
        <w:trPr>
          <w:trHeight w:val="238"/>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2"/>
          </w:tcPr>
          <w:p>
            <w:pPr>
              <w:jc w:val="center"/>
              <w:ind w:right="262"/>
              <w:spacing w:after="0"/>
              <w:rPr>
                <w:sz w:val="20"/>
                <w:szCs w:val="20"/>
                <w:color w:val="auto"/>
              </w:rPr>
            </w:pPr>
            <w:r>
              <w:rPr>
                <w:rFonts w:ascii="Times New Roman" w:cs="Times New Roman" w:eastAsia="Times New Roman" w:hAnsi="Times New Roman"/>
                <w:sz w:val="18"/>
                <w:szCs w:val="18"/>
                <w:b w:val="1"/>
                <w:bCs w:val="1"/>
                <w:color w:val="auto"/>
                <w:w w:val="98"/>
              </w:rPr>
              <w:t>Impairment</w:t>
            </w:r>
          </w:p>
        </w:tc>
      </w:tr>
      <w:tr>
        <w:trPr>
          <w:trHeight w:val="209"/>
        </w:trPr>
        <w:tc>
          <w:tcPr>
            <w:tcW w:w="660" w:type="dxa"/>
            <w:vAlign w:val="bottom"/>
          </w:tcPr>
          <w:p>
            <w:pPr>
              <w:spacing w:after="0"/>
              <w:rPr>
                <w:sz w:val="18"/>
                <w:szCs w:val="18"/>
                <w:color w:val="auto"/>
              </w:rPr>
            </w:pPr>
          </w:p>
        </w:tc>
        <w:tc>
          <w:tcPr>
            <w:tcW w:w="6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6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Impairment expense</w:t>
            </w:r>
          </w:p>
        </w:tc>
        <w:tc>
          <w:tcPr>
            <w:tcW w:w="3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80" w:type="dxa"/>
            <w:vAlign w:val="bottom"/>
            <w:shd w:val="clear" w:color="auto" w:fill="CCEEFF"/>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6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Impairment expense</w:t>
            </w:r>
          </w:p>
        </w:tc>
        <w:tc>
          <w:tcPr>
            <w:tcW w:w="3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3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2"/>
        </w:trPr>
        <w:tc>
          <w:tcPr>
            <w:tcW w:w="660" w:type="dxa"/>
            <w:vAlign w:val="bottom"/>
          </w:tcPr>
          <w:p>
            <w:pPr>
              <w:spacing w:after="0"/>
              <w:rPr>
                <w:sz w:val="21"/>
                <w:szCs w:val="21"/>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 of accumulated impairment</w:t>
            </w: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53,266</w:t>
            </w:r>
          </w:p>
        </w:tc>
      </w:tr>
      <w:tr>
        <w:trPr>
          <w:trHeight w:val="20"/>
        </w:trPr>
        <w:tc>
          <w:tcPr>
            <w:tcW w:w="660" w:type="dxa"/>
            <w:vAlign w:val="bottom"/>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7"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The carrying values of goodwill and intangible assets attributable to the Company's Canadian operations are denominated in Canadian dollars and are translated into U.S. dollars at the exchange rate in effect as of the balance sheet date. As a result, the reported balances of goodwill and intangible assets are subject to fluctuation due to changes in foreign currency exchange rates, with translation adjustments recorded in accumulated other comprehensive income.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SERIES A REDEEMABLE CONVERTIBLE PREFERRED STOCK</w:t>
      </w:r>
    </w:p>
    <w:p>
      <w:pPr>
        <w:spacing w:after="0" w:line="227"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On October 15, 2025, the Company entered into a Securities Purchase Agreement with certain accredited investors pursuant to which it agreed to issue 30,000 shares of Series A Convertible Preferred Stock (the “Series A Preferred”) at a purchase price of $1,000 per share for aggregate gross proceeds of $30,000. The transaction closed on November 6, 2025. In connection with the issuance of the Series A Preferred, the Company incurred direct and incremental offering expenses of approximately $2,544, which were recorded as a reduction to the carrying amount of the Series A Preferred. Proceeds from the transaction were used to fund the acquisition of CDM (see Note 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2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Series A Preferred ranks senior to the Company’s common stock with respect to dividend rights and rights upon liquidation. Each share has a liquidation preference equal to $1,000 per share plus accrued and unpaid dividends. The liquidation preference of the Series A Preferred totaled $30,232 as of December 31, 2025.</w:t>
      </w:r>
    </w:p>
    <w:p>
      <w:pPr>
        <w:spacing w:after="0" w:line="175"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The Series A Preferred bears cumulative dividends at a rate of 5.25% per annum on the stated value. Dividends accrue daily and compound quarterly beginning on November 6, 2025, and accrue for a five-year period (the “Guaranteed Term”). Dividends are not payable in cash during the Guaranteed Term, except at the Company’s option. Upon certain events occurring during the Guaranteed Term, including a liquidation, fundamental transaction (see below) or mandatory conversion, holders are entitled to a make-whole amount representing dividends that would have accrued through the end of the Guaranteed Term.</w:t>
      </w:r>
    </w:p>
    <w:p>
      <w:pPr>
        <w:spacing w:after="0" w:line="183"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Dividends are recorded as an increase to the carrying value of the Series A Preferred and as an adjustment to net income (loss) attributable to common shareholders in the calculation of earnings per share. The Company recorded $232 in preferred dividends during the year ended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Features</w:t>
      </w:r>
    </w:p>
    <w:p>
      <w:pPr>
        <w:spacing w:after="0" w:line="227"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The Series A Preferred is convertible at the option of the holders at any time into shares of common stock at a conversion price of $3.00 per share, subject to customary anti-dilution adjustments. The number of shares issuable upon conversion is determined by dividing the applicable liquidation preference by the conversion price. The Series A Preferred is initially convertible into an aggregate of 10,000,000 shares of common stock, subject to beneficial ownership limitations and available authorized shares.</w:t>
      </w:r>
    </w:p>
    <w:p>
      <w:pPr>
        <w:spacing w:after="0" w:line="183"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On or after the third anniversary of the issuance date, the Company may elect to require conversion of all outstanding shares if specified financial and market price conditions are satisfied.</w:t>
      </w:r>
    </w:p>
    <w:p>
      <w:pPr>
        <w:spacing w:after="0" w:line="163"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Company evaluated the embedded conversion features under ASC 815, Derivatives and Hedging, and concluded that bifurcation was not required as the conversion feature is clearly and closely related to the equity-like host instrument and qualifies for the conventional convertible scope exception.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227" w:lineRule="exact"/>
        <w:rPr>
          <w:sz w:val="20"/>
          <w:szCs w:val="20"/>
          <w:color w:val="auto"/>
        </w:rPr>
      </w:pPr>
    </w:p>
    <w:p>
      <w:pPr>
        <w:jc w:val="both"/>
        <w:ind w:right="80" w:firstLine="646"/>
        <w:spacing w:after="0" w:line="265" w:lineRule="auto"/>
        <w:rPr>
          <w:sz w:val="20"/>
          <w:szCs w:val="20"/>
          <w:color w:val="auto"/>
        </w:rPr>
      </w:pPr>
      <w:r>
        <w:rPr>
          <w:rFonts w:ascii="Times New Roman" w:cs="Times New Roman" w:eastAsia="Times New Roman" w:hAnsi="Times New Roman"/>
          <w:sz w:val="18"/>
          <w:szCs w:val="18"/>
          <w:color w:val="auto"/>
        </w:rPr>
        <w:t>A fundamental transaction includes, among other events, a merger, consolidation, sale of substantially all assets, tender offer resulting in a change of control, recapitalization or similar transaction (a “Fundamental Transaction”). Upon the occurrence of a Fundamental Transaction, holders are entitled to receive the greater of (i) the liquidation preference, including accrued dividends, or (ii) the amount they would have received on an as-converted basis.</w:t>
      </w:r>
    </w:p>
    <w:p>
      <w:pPr>
        <w:spacing w:after="0" w:line="175" w:lineRule="exact"/>
        <w:rPr>
          <w:sz w:val="20"/>
          <w:szCs w:val="20"/>
          <w:color w:val="auto"/>
        </w:rPr>
      </w:pPr>
    </w:p>
    <w:p>
      <w:pPr>
        <w:jc w:val="both"/>
        <w:ind w:right="80" w:firstLine="646"/>
        <w:spacing w:after="0" w:line="257" w:lineRule="auto"/>
        <w:rPr>
          <w:sz w:val="20"/>
          <w:szCs w:val="20"/>
          <w:color w:val="auto"/>
        </w:rPr>
      </w:pPr>
      <w:r>
        <w:rPr>
          <w:rFonts w:ascii="Times New Roman" w:cs="Times New Roman" w:eastAsia="Times New Roman" w:hAnsi="Times New Roman"/>
          <w:sz w:val="18"/>
          <w:szCs w:val="18"/>
          <w:color w:val="auto"/>
        </w:rPr>
        <w:t xml:space="preserve">Since the redemption of the Series A Preferred is contingently or optionally redeemable and therefore not certain to occur, the Series A Preferred is not required to be classified as a liability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As the Series A Preferred is redeemable in certain circumstances at the option of the holder and is redeemable in certain circumstances upon the occurrence of an event that is not solely within the Company’s control, the Company has classified the Series A Preferred in temporary equity in the consolidated balance sheets. Because redemption is contingent and not currently probable, the Company has not accreted the carrying value to the redemption amount as of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7" w:lineRule="exact"/>
        <w:rPr>
          <w:sz w:val="20"/>
          <w:szCs w:val="20"/>
          <w:color w:val="auto"/>
        </w:rPr>
      </w:pPr>
    </w:p>
    <w:p>
      <w:pPr>
        <w:jc w:val="both"/>
        <w:ind w:right="80" w:firstLine="646"/>
        <w:spacing w:after="0" w:line="259" w:lineRule="auto"/>
        <w:rPr>
          <w:sz w:val="20"/>
          <w:szCs w:val="20"/>
          <w:color w:val="auto"/>
        </w:rPr>
      </w:pPr>
      <w:r>
        <w:rPr>
          <w:rFonts w:ascii="Times New Roman" w:cs="Times New Roman" w:eastAsia="Times New Roman" w:hAnsi="Times New Roman"/>
          <w:sz w:val="18"/>
          <w:szCs w:val="18"/>
          <w:color w:val="auto"/>
        </w:rPr>
        <w:t>In connection with the issuance, the Company entered into a Registration Rights Agreement (the “Registration Rights Agreement”) requiring the Company to file and maintain an effective registration statement covering the resale of the shares of common stock issuable upon conversion. The Registration Rights Agreement provides for liquidated damages of up to 6% of the aggregate purchase price in the event of certain registration failures. As of December 31, 2025, no liability has been recorded related to these provisions.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ACCRUED EXPENSES AND OTHER CURRENT LIABILITIES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and 2024, accrued expenses and other current liabilities consisted of the following:</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2"/>
        </w:trPr>
        <w:tc>
          <w:tcPr>
            <w:tcW w:w="56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80" w:type="dxa"/>
            <w:vAlign w:val="bottom"/>
            <w:shd w:val="clear" w:color="auto" w:fill="CCEEFF"/>
          </w:tcPr>
          <w:p>
            <w:pPr>
              <w:spacing w:after="0"/>
              <w:rPr>
                <w:sz w:val="18"/>
                <w:szCs w:val="18"/>
                <w:color w:val="auto"/>
              </w:rPr>
            </w:pPr>
          </w:p>
        </w:tc>
      </w:tr>
      <w:tr>
        <w:trPr>
          <w:trHeight w:val="215"/>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use taxes payable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80" w:type="dxa"/>
            <w:vAlign w:val="bottom"/>
          </w:tcPr>
          <w:p>
            <w:pPr>
              <w:spacing w:after="0"/>
              <w:rPr>
                <w:sz w:val="18"/>
                <w:szCs w:val="18"/>
                <w:color w:val="auto"/>
              </w:rPr>
            </w:pPr>
          </w:p>
        </w:tc>
      </w:tr>
      <w:tr>
        <w:trPr>
          <w:trHeight w:val="215"/>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8"/>
                <w:szCs w:val="18"/>
                <w:color w:val="auto"/>
              </w:rPr>
            </w:pPr>
          </w:p>
        </w:tc>
      </w:tr>
      <w:tr>
        <w:trPr>
          <w:trHeight w:val="215"/>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purchases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r>
      <w:tr>
        <w:trPr>
          <w:trHeight w:val="229"/>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80" w:type="dxa"/>
            <w:vAlign w:val="bottom"/>
            <w:shd w:val="clear" w:color="auto" w:fill="CCEEFF"/>
          </w:tcPr>
          <w:p>
            <w:pPr>
              <w:spacing w:after="0"/>
              <w:rPr>
                <w:sz w:val="19"/>
                <w:szCs w:val="19"/>
                <w:color w:val="auto"/>
              </w:rPr>
            </w:pPr>
          </w:p>
        </w:tc>
      </w:tr>
      <w:tr>
        <w:trPr>
          <w:trHeight w:val="222"/>
        </w:trPr>
        <w:tc>
          <w:tcPr>
            <w:tcW w:w="56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8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NOTE 11: DEBT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1"/>
        </w:trPr>
        <w:tc>
          <w:tcPr>
            <w:tcW w:w="660" w:type="dxa"/>
            <w:vAlign w:val="bottom"/>
          </w:tcPr>
          <w:p>
            <w:pPr>
              <w:spacing w:after="0"/>
              <w:rPr>
                <w:sz w:val="24"/>
                <w:szCs w:val="24"/>
                <w:color w:val="auto"/>
              </w:rPr>
            </w:pPr>
          </w:p>
        </w:tc>
        <w:tc>
          <w:tcPr>
            <w:tcW w:w="4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Debt consisted of the following:</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8"/>
        </w:trPr>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0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4"/>
                <w:szCs w:val="24"/>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Interest</w:t>
            </w:r>
          </w:p>
        </w:tc>
      </w:tr>
      <w:tr>
        <w:trPr>
          <w:trHeight w:val="238"/>
        </w:trPr>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Rate</w:t>
            </w:r>
          </w:p>
        </w:tc>
      </w:tr>
      <w:tr>
        <w:trPr>
          <w:trHeight w:val="189"/>
        </w:trPr>
        <w:tc>
          <w:tcPr>
            <w:tcW w:w="660" w:type="dxa"/>
            <w:vAlign w:val="bottom"/>
          </w:tcPr>
          <w:p>
            <w:pPr>
              <w:spacing w:after="0"/>
              <w:rPr>
                <w:sz w:val="16"/>
                <w:szCs w:val="16"/>
                <w:color w:val="auto"/>
              </w:rPr>
            </w:pPr>
          </w:p>
        </w:tc>
        <w:tc>
          <w:tcPr>
            <w:tcW w:w="4280" w:type="dxa"/>
            <w:vAlign w:val="bottom"/>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Prior Credit Agreement:</w:t>
            </w: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660" w:type="dxa"/>
            <w:vAlign w:val="bottom"/>
          </w:tcPr>
          <w:p>
            <w:pPr>
              <w:spacing w:after="0"/>
              <w:rPr>
                <w:sz w:val="18"/>
                <w:szCs w:val="18"/>
                <w:color w:val="auto"/>
              </w:rPr>
            </w:pPr>
          </w:p>
        </w:tc>
        <w:tc>
          <w:tcPr>
            <w:tcW w:w="18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0" w:type="dxa"/>
            <w:vAlign w:val="bottom"/>
            <w:tcBorders>
              <w:top w:val="single" w:sz="8" w:color="CCEEFF"/>
            </w:tcBorders>
            <w:gridSpan w:val="2"/>
          </w:tcPr>
          <w:p>
            <w:pPr>
              <w:spacing w:after="0"/>
              <w:rPr>
                <w:sz w:val="18"/>
                <w:szCs w:val="18"/>
                <w:color w:val="auto"/>
              </w:rPr>
            </w:pPr>
          </w:p>
        </w:tc>
        <w:tc>
          <w:tcPr>
            <w:tcW w:w="10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5/23/2024</w:t>
            </w:r>
          </w:p>
        </w:tc>
        <w:tc>
          <w:tcPr>
            <w:tcW w:w="1200" w:type="dxa"/>
            <w:vAlign w:val="bottom"/>
            <w:tcBorders>
              <w:top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5/23/2027</w:t>
            </w:r>
          </w:p>
        </w:tc>
        <w:tc>
          <w:tcPr>
            <w:tcW w:w="340" w:type="dxa"/>
            <w:vAlign w:val="bottom"/>
            <w:tcBorders>
              <w:top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13,044</w:t>
            </w:r>
          </w:p>
        </w:tc>
        <w:tc>
          <w:tcPr>
            <w:tcW w:w="124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See below</w:t>
            </w:r>
          </w:p>
        </w:tc>
      </w:tr>
      <w:tr>
        <w:trPr>
          <w:trHeight w:val="215"/>
        </w:trPr>
        <w:tc>
          <w:tcPr>
            <w:tcW w:w="66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660" w:type="dxa"/>
            <w:vAlign w:val="bottom"/>
          </w:tcPr>
          <w:p>
            <w:pPr>
              <w:spacing w:after="0"/>
              <w:rPr>
                <w:sz w:val="15"/>
                <w:szCs w:val="15"/>
                <w:color w:val="auto"/>
              </w:rPr>
            </w:pPr>
          </w:p>
        </w:tc>
        <w:tc>
          <w:tcPr>
            <w:tcW w:w="4280" w:type="dxa"/>
            <w:vAlign w:val="bottom"/>
            <w:gridSpan w:val="5"/>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Amended and Restated Credit Agreement:</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660" w:type="dxa"/>
            <w:vAlign w:val="bottom"/>
          </w:tcPr>
          <w:p>
            <w:pPr>
              <w:spacing w:after="0"/>
              <w:rPr>
                <w:sz w:val="18"/>
                <w:szCs w:val="18"/>
                <w:color w:val="auto"/>
              </w:rPr>
            </w:pPr>
          </w:p>
        </w:tc>
        <w:tc>
          <w:tcPr>
            <w:tcW w:w="4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Revolving Credit Facility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11/6/2025</w:t>
            </w:r>
          </w:p>
        </w:tc>
        <w:tc>
          <w:tcPr>
            <w:tcW w:w="12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11/6/2028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See below</w:t>
            </w:r>
          </w:p>
        </w:tc>
      </w:tr>
      <w:tr>
        <w:trPr>
          <w:trHeight w:val="215"/>
        </w:trPr>
        <w:tc>
          <w:tcPr>
            <w:tcW w:w="660" w:type="dxa"/>
            <w:vAlign w:val="bottom"/>
          </w:tcPr>
          <w:p>
            <w:pPr>
              <w:spacing w:after="0"/>
              <w:rPr>
                <w:sz w:val="18"/>
                <w:szCs w:val="18"/>
                <w:color w:val="auto"/>
              </w:rPr>
            </w:pPr>
          </w:p>
        </w:tc>
        <w:tc>
          <w:tcPr>
            <w:tcW w:w="4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11/6/2025</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11/6/2028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See below</w:t>
            </w:r>
          </w:p>
        </w:tc>
      </w:tr>
      <w:tr>
        <w:trPr>
          <w:trHeight w:val="215"/>
        </w:trPr>
        <w:tc>
          <w:tcPr>
            <w:tcW w:w="66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660" w:type="dxa"/>
            <w:vAlign w:val="bottom"/>
          </w:tcPr>
          <w:p>
            <w:pPr>
              <w:spacing w:after="0"/>
              <w:rPr>
                <w:sz w:val="15"/>
                <w:szCs w:val="15"/>
                <w:color w:val="auto"/>
              </w:rPr>
            </w:pPr>
          </w:p>
        </w:tc>
        <w:tc>
          <w:tcPr>
            <w:tcW w:w="4280" w:type="dxa"/>
            <w:vAlign w:val="bottom"/>
            <w:gridSpan w:val="5"/>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Promissory Note</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rPr>
              <w:t>3/14/2025</w:t>
            </w:r>
          </w:p>
        </w:tc>
        <w:tc>
          <w:tcPr>
            <w:tcW w:w="1200" w:type="dxa"/>
            <w:vAlign w:val="bottom"/>
            <w:gridSpan w:val="2"/>
          </w:tcPr>
          <w:p>
            <w:pPr>
              <w:jc w:val="center"/>
              <w:ind w:left="10"/>
              <w:spacing w:after="0" w:line="175" w:lineRule="exact"/>
              <w:rPr>
                <w:sz w:val="20"/>
                <w:szCs w:val="20"/>
                <w:color w:val="auto"/>
              </w:rPr>
            </w:pPr>
            <w:r>
              <w:rPr>
                <w:rFonts w:ascii="Times New Roman" w:cs="Times New Roman" w:eastAsia="Times New Roman" w:hAnsi="Times New Roman"/>
                <w:sz w:val="18"/>
                <w:szCs w:val="18"/>
                <w:color w:val="auto"/>
              </w:rPr>
              <w:t>9/14/2027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3,810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00"/>
              <w:spacing w:after="0" w:line="17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70"/>
              <w:spacing w:after="0" w:line="175" w:lineRule="exact"/>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66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4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debt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13,044</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4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issuance costs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4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debt, net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13,044</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4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debt, net</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4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non-current portion of debt, net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39,523</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13,044</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100" w:firstLine="646"/>
        <w:spacing w:after="0" w:line="280" w:lineRule="auto"/>
        <w:rPr>
          <w:sz w:val="20"/>
          <w:szCs w:val="20"/>
          <w:color w:val="auto"/>
        </w:rPr>
      </w:pPr>
      <w:r>
        <w:rPr>
          <w:rFonts w:ascii="Times New Roman" w:cs="Times New Roman" w:eastAsia="Times New Roman" w:hAnsi="Times New Roman"/>
          <w:sz w:val="18"/>
          <w:szCs w:val="18"/>
          <w:color w:val="auto"/>
        </w:rPr>
        <w:t>Deferred financing costs related to the New Revolving Credit Facility and Revolving Credit Facility of $435 and $243 as of December 31, 2025 and 2024, respectively, are included in other non-current assets on the consolidated balance sheets.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 Credit Agreement</w:t>
      </w:r>
    </w:p>
    <w:p>
      <w:pPr>
        <w:spacing w:after="0" w:line="227" w:lineRule="exact"/>
        <w:rPr>
          <w:sz w:val="20"/>
          <w:szCs w:val="20"/>
          <w:color w:val="auto"/>
        </w:rPr>
      </w:pPr>
    </w:p>
    <w:p>
      <w:pPr>
        <w:jc w:val="both"/>
        <w:ind w:right="80" w:firstLine="646"/>
        <w:spacing w:after="0" w:line="253" w:lineRule="auto"/>
        <w:rPr>
          <w:sz w:val="20"/>
          <w:szCs w:val="20"/>
          <w:color w:val="auto"/>
        </w:rPr>
      </w:pPr>
      <w:r>
        <w:rPr>
          <w:rFonts w:ascii="Times New Roman" w:cs="Times New Roman" w:eastAsia="Times New Roman" w:hAnsi="Times New Roman"/>
          <w:sz w:val="18"/>
          <w:szCs w:val="18"/>
          <w:color w:val="auto"/>
        </w:rPr>
        <w:t>On May 23, 2024, the Company entered into a secured credit agreement (the “Prior Credit Agreement”) with First Merchants Bank (“FMB”) which provided the Company with a three-year secured revolving credit facility of up to $22,100 (the “Revolving Credit Facility”), with an uncommitted accordion feature that provided for additional borrowing capacity of up to $5,000, subject to FMB’s approval and other customary terms and conditions set forth in the Prior Credit Agreement. The Revolving Credit Facility has a maturity date of May 23, 2027, and the Company is required to pay the entire unpaid principal balance of the Revolving Credit Facility on the maturity date, subject to any earlier default under the Prior Credit Agreement. The facility bore a floating interest rate tied to the secured overnight financing rate (“Term SOFR”) as administered by the New York Federal Reserve Board (“NYFRB”) plus applicable margins. The Prior Credit Agreement was secured by substantially all assets of the Company; subject to a borrowing base formula based on eligible accounts and inventory; and contained certain financial covenants including an accelerated repayment of all unpaid principal and interest due on demand upon an event of default.</w:t>
      </w:r>
    </w:p>
    <w:p>
      <w:pPr>
        <w:spacing w:after="0" w:line="1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20"/>
          </w:cols>
          <w:pgMar w:left="320" w:top="121" w:right="259" w:bottom="367"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Company incurred $306 of deferred financing costs in connection with the Revolving Credit Facility that were capitalized and recorded as other non-current assets within the Company’s consolidated balance sheet as of December 31, 2024. Deferred financing costs were amortized as interest expense on a straight-line basis over the term of the Revolving Credit Facility.</w:t>
      </w:r>
    </w:p>
    <w:p>
      <w:pPr>
        <w:spacing w:after="0" w:line="175"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On May 12, 2025, the Company entered into an amendment to the Prior Credit Agreement to modify the financial covenant related to the Senior Funded Debt to EBITDA ratio, effective March 31, 2025. Pursuant to the amendment, the Company was required to maintain a Senior Funded Debt to EBITDA ratio of less than 4-to-1 through June 30, 2025, and less than 3.75-to-1 beginning in the quarter ending September 30, 2025 and thereafter.</w:t>
      </w:r>
    </w:p>
    <w:p>
      <w:pPr>
        <w:spacing w:after="0" w:line="175"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On July 24, 2025, the Company entered into a second amendment to the Prior Credit Agreement to amend the borrowing base used to determine the availability of the Company’s revolving line of credit under the Prior Credit Agreement, effective June 30, 2025. The borrowing base (“Borrowing Base Margin”) was a percentage based on the difference between (a) the sum of the net orderly liquidation value of certain contracts of the Company eligible for inclusion; and (b) reserves required by FMB, in each case as determined in accordance with the Prior Credit Agreement. The amendment provided that the Borrowing Base Margin equal (i) 95% from June 30, 2025 through September 29, 2025, (ii) 90% from September 30, 2025 through October 30, 2025, and (iii) 85% on and after October 31, 2025.</w:t>
      </w:r>
    </w:p>
    <w:p>
      <w:pPr>
        <w:spacing w:after="0" w:line="187"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recorded amortization of deferred financing costs on the Revolving Credit Facility of $61 and $63, respectively, in the Company’s consolidated statements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Credit Agreement</w:t>
      </w:r>
    </w:p>
    <w:p>
      <w:pPr>
        <w:spacing w:after="0" w:line="227"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On November 6, 2025 (the “Refinancing Date”), the Company and certain of its subsidiaries entered into the Amended and Restated Credit Agreement (the “Amended Credit Agreement”), with FMB acting as agent (“Agent”), and a new syndicate of lenders (“Lenders”) which included FMB and two additional creditors, Northwest Bank (“NWB”) and Axos Bank (“Axos”; together with NWB, the “New Lenders”). In the ordinary course of its business, Agent has performed and may continue to perform commercial banking and financial services for the Company for which it has received and will continue to receive customary fees and expenses. The Amended Credit Agreement provides the Company, CDMI and CDMUS (collectively, “Borrowers”) with two debt facilities, including a three-year term loan of $36,000 (the “Term Loan”) and a three-year revolving debt arrangement of up to $22,500 (the “New Revolving Credit Facility”). The Term Loan and New Revolving Credit Facility in the Amended Credit Agreement both have maturity dates of November 6, 2028 (the “Maturity Date”) and are secured by all the assets of the Borrowers.</w:t>
      </w:r>
    </w:p>
    <w:p>
      <w:pPr>
        <w:spacing w:after="0" w:line="185"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The Borrowers are required to pay monthly principal payment installments on the Term Loan equal to $300 on the first day of each successive calendar month following the Refinancing Date, which commenced on December 1, 2025 to the Agent; provided, however, that the last installment shall be due and payable on the Maturity Date (if not paid earlier) and shall be in an amount sufficient to pay in full the entire unpaid principal amount of the Term Loan (the “Final Term Loan Payment”). In accordance with the Amended Credit Agreement, any voluntary pre-payments of the Term Loan will be applied to the Final Term Loan Payment. Additionally, monthly interest payments for both facilities of the Amended Credit Agreement are due and payable on the first day of each successive calendar month following the Refinancing Date, which commenced on December 1, 2025, at a rate equal to the sums of (a) the one-month Term SOFR, (b) base rate of 0.11%; and (c) a floating margin ranging between (i) 2.75% to 3.25% for the New Revolving Credit Facility, or (ii) 3.00% to 3.50% for the Term Loan, in each case adjusted quarterly based upon the Company’s Senior Funded Debt to EBITDA Ratio (as defined in the Amended Credit Agreement). The floating margin is computed as follows: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Margin</w:t>
            </w:r>
          </w:p>
        </w:tc>
        <w:tc>
          <w:tcPr>
            <w:tcW w:w="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Senior</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w:t>
            </w:r>
          </w:p>
        </w:tc>
        <w:tc>
          <w:tcPr>
            <w:tcW w:w="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Debt to</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w:t>
            </w:r>
          </w:p>
        </w:tc>
        <w:tc>
          <w:tcPr>
            <w:tcW w:w="180" w:type="dxa"/>
            <w:vAlign w:val="bottom"/>
          </w:tcPr>
          <w:p>
            <w:pPr>
              <w:spacing w:after="0"/>
              <w:rPr>
                <w:sz w:val="18"/>
                <w:szCs w:val="18"/>
                <w:color w:val="auto"/>
              </w:rPr>
            </w:pP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Margin</w:t>
            </w:r>
          </w:p>
        </w:tc>
      </w:tr>
      <w:tr>
        <w:trPr>
          <w:trHeight w:val="215"/>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Pricing</w:t>
            </w:r>
          </w:p>
        </w:tc>
        <w:tc>
          <w:tcPr>
            <w:tcW w:w="100" w:type="dxa"/>
            <w:vAlign w:val="bottom"/>
          </w:tcPr>
          <w:p>
            <w:pPr>
              <w:spacing w:after="0"/>
              <w:rPr>
                <w:sz w:val="18"/>
                <w:szCs w:val="18"/>
                <w:color w:val="auto"/>
              </w:rPr>
            </w:pPr>
          </w:p>
        </w:tc>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Revolving</w:t>
            </w:r>
          </w:p>
        </w:tc>
        <w:tc>
          <w:tcPr>
            <w:tcW w:w="180" w:type="dxa"/>
            <w:vAlign w:val="bottom"/>
          </w:tcPr>
          <w:p>
            <w:pPr>
              <w:spacing w:after="0"/>
              <w:rPr>
                <w:sz w:val="18"/>
                <w:szCs w:val="18"/>
                <w:color w:val="auto"/>
              </w:rPr>
            </w:pP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Applicable</w:t>
            </w:r>
          </w:p>
        </w:tc>
      </w:tr>
      <w:tr>
        <w:trPr>
          <w:trHeight w:val="215"/>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Grid</w:t>
            </w:r>
          </w:p>
        </w:tc>
        <w:tc>
          <w:tcPr>
            <w:tcW w:w="100" w:type="dxa"/>
            <w:vAlign w:val="bottom"/>
          </w:tcPr>
          <w:p>
            <w:pPr>
              <w:spacing w:after="0"/>
              <w:rPr>
                <w:sz w:val="18"/>
                <w:szCs w:val="18"/>
                <w:color w:val="auto"/>
              </w:rPr>
            </w:pPr>
          </w:p>
        </w:tc>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Credit</w:t>
            </w:r>
          </w:p>
        </w:tc>
        <w:tc>
          <w:tcPr>
            <w:tcW w:w="180" w:type="dxa"/>
            <w:vAlign w:val="bottom"/>
          </w:tcPr>
          <w:p>
            <w:pPr>
              <w:spacing w:after="0"/>
              <w:rPr>
                <w:sz w:val="18"/>
                <w:szCs w:val="18"/>
                <w:color w:val="auto"/>
              </w:rPr>
            </w:pP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to the</w:t>
            </w:r>
          </w:p>
        </w:tc>
      </w:tr>
      <w:tr>
        <w:trPr>
          <w:trHeight w:val="238"/>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Ratio</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Advances</w:t>
            </w:r>
          </w:p>
        </w:tc>
        <w:tc>
          <w:tcPr>
            <w:tcW w:w="18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Loan</w:t>
            </w:r>
          </w:p>
        </w:tc>
        <w:tc>
          <w:tcPr>
            <w:tcW w:w="80" w:type="dxa"/>
            <w:vAlign w:val="bottom"/>
          </w:tcPr>
          <w:p>
            <w:pPr>
              <w:spacing w:after="0"/>
              <w:rPr>
                <w:sz w:val="20"/>
                <w:szCs w:val="20"/>
                <w:color w:val="auto"/>
              </w:rPr>
            </w:pPr>
          </w:p>
        </w:tc>
      </w:tr>
      <w:tr>
        <w:trPr>
          <w:trHeight w:val="209"/>
        </w:trPr>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760"/>
              <w:spacing w:after="0"/>
              <w:rPr>
                <w:sz w:val="20"/>
                <w:szCs w:val="20"/>
                <w:color w:val="auto"/>
              </w:rPr>
            </w:pPr>
            <w:r>
              <w:rPr>
                <w:rFonts w:ascii="Times New Roman" w:cs="Times New Roman" w:eastAsia="Times New Roman" w:hAnsi="Times New Roman"/>
                <w:sz w:val="18"/>
                <w:szCs w:val="18"/>
                <w:color w:val="auto"/>
                <w:w w:val="97"/>
              </w:rPr>
              <w:t>&lt; 2.50x</w:t>
            </w:r>
          </w:p>
        </w:tc>
        <w:tc>
          <w:tcPr>
            <w:tcW w:w="226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2.75%</w:t>
            </w:r>
          </w:p>
        </w:tc>
        <w:tc>
          <w:tcPr>
            <w:tcW w:w="232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18"/>
                <w:szCs w:val="18"/>
                <w:color w:val="auto"/>
              </w:rPr>
            </w:pPr>
          </w:p>
        </w:tc>
      </w:tr>
      <w:tr>
        <w:trPr>
          <w:trHeight w:val="175"/>
        </w:trPr>
        <w:tc>
          <w:tcPr>
            <w:tcW w:w="216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II</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gridSpan w:val="2"/>
          </w:tcPr>
          <w:p>
            <w:pPr>
              <w:jc w:val="center"/>
              <w:ind w:right="760"/>
              <w:spacing w:after="0" w:line="175" w:lineRule="exact"/>
              <w:rPr>
                <w:sz w:val="20"/>
                <w:szCs w:val="20"/>
                <w:color w:val="auto"/>
              </w:rPr>
            </w:pPr>
            <w:r>
              <w:rPr>
                <w:rFonts w:ascii="Times New Roman" w:cs="Times New Roman" w:eastAsia="Times New Roman" w:hAnsi="Times New Roman"/>
                <w:sz w:val="18"/>
                <w:szCs w:val="18"/>
                <w:color w:val="auto"/>
                <w:w w:val="97"/>
              </w:rPr>
              <w:t>&gt; 2.50x</w:t>
            </w:r>
          </w:p>
        </w:tc>
        <w:tc>
          <w:tcPr>
            <w:tcW w:w="2260" w:type="dxa"/>
            <w:vAlign w:val="bottom"/>
            <w:gridSpan w:val="2"/>
          </w:tcPr>
          <w:p>
            <w:pPr>
              <w:jc w:val="right"/>
              <w:ind w:right="710"/>
              <w:spacing w:after="0" w:line="175" w:lineRule="exact"/>
              <w:rPr>
                <w:sz w:val="20"/>
                <w:szCs w:val="20"/>
                <w:color w:val="auto"/>
              </w:rPr>
            </w:pPr>
            <w:r>
              <w:rPr>
                <w:rFonts w:ascii="Times New Roman" w:cs="Times New Roman" w:eastAsia="Times New Roman" w:hAnsi="Times New Roman"/>
                <w:sz w:val="18"/>
                <w:szCs w:val="18"/>
                <w:color w:val="auto"/>
              </w:rPr>
              <w:t>3.25%</w:t>
            </w:r>
          </w:p>
        </w:tc>
        <w:tc>
          <w:tcPr>
            <w:tcW w:w="2320" w:type="dxa"/>
            <w:vAlign w:val="bottom"/>
            <w:gridSpan w:val="2"/>
          </w:tcPr>
          <w:p>
            <w:pPr>
              <w:jc w:val="right"/>
              <w:ind w:right="710"/>
              <w:spacing w:after="0" w:line="175" w:lineRule="exact"/>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5"/>
                <w:szCs w:val="15"/>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The Amended Credit Agreement also includes a letter of credit sub-facility under which the Lenders may issue commercial or standby letters of credit that reduce the availability under the New Revolving Credit Facility and for which the Borrowers pay a fee equal to the applicable margin on the stated amount of each letter of credit, and a swing line sub-facility that permits short-term advances by FMB, as swing line lender, which are subsequently settled among the loan syndicate as revolving credit advances. All outstanding amounts under the letter of credit sub-facility and swing-line facility are due and payable in full on the Maturity Date or earlier upon an event of default or voluntary termination of commitments.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ind w:firstLine="646"/>
        <w:spacing w:after="0" w:line="252" w:lineRule="auto"/>
        <w:rPr>
          <w:sz w:val="20"/>
          <w:szCs w:val="20"/>
          <w:color w:val="auto"/>
        </w:rPr>
      </w:pPr>
      <w:r>
        <w:rPr>
          <w:rFonts w:ascii="Times New Roman" w:cs="Times New Roman" w:eastAsia="Times New Roman" w:hAnsi="Times New Roman"/>
          <w:sz w:val="18"/>
          <w:szCs w:val="18"/>
          <w:color w:val="auto"/>
        </w:rPr>
        <w:t>Further, the Amended Credit Agreement requires Borrowers to comply with certain financial covenants on a quarterly basis related to the Fixed Charge Coverage Ratio and Senior Funded Debt to EBITDA Ratio (each as defined in the Amended Credit Agreement). The Amended Credit Agreement also includes certain restrictive covenants and, among other things and subject to certain exceptions and qualifications, limits the Borrowers and any of their subsidiaries’ abilities to: (i) make certain restricted payments, (ii) enter into agreements that create liens other than liens securing the Amended Credit Facility and related documents, and certain other permitted liens, (iii) incur or guarantee additional indebtedness, (iv) engage in liquidations, mergers or amalgamations, (v) dispose of certain assets, and (vi) engage in certain transactions with affiliates. The Amended Credit Agreement also contains certain customary representations and warranties, affirmative covenants and events of default. Upon any events of default which include, among others, failure to make payments of principal, interest or fees when due, the Agent, among other remedies, may (or upon the written request of the Required Lenders (as defined in the Amended Credit Agreement) shall) suspend or terminate the revolving loan commitments, accelerate all outstanding obligations under both the Term Loan and New Revolving Credit Facility, increase the applicable interest rate by 2.0% per annum to the default rate, and/or require cash collateralization of the Company’s assets and letters of credit. As of December 31, 2025, the Borrowers remained compliant with the terms of the Amended Credit Agreement.</w:t>
      </w:r>
    </w:p>
    <w:p>
      <w:pPr>
        <w:spacing w:after="0" w:line="188"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syndicated loan facilities embedded in the Amended Credit Agreement were accounted for as (i) new indebtedness comprised of the Term Loan, (ii) new indebtedness comprised of the New Revolving Credit Facility with the New Lenders, and (iii) a modification of the Revolving Credit Facility under the Prior Credit Agreement with FMB as an existing Lender. The Company accounted for the modification by performing the borrowing capacity test to determine that the borrowing capacity with FMB as an existing Lender decreased by approximately 15.6%. The Company then recorded a loss on the modification of $24 which was equal to 16% of existing deferred financing costs immediately prior to the modification. The remaining portion of deferred financing costs of $132 was carried forward to the New Revolving Credit Facility. The Company also incurred additional financing costs in aggregate of $850 which was allocated on a pro-rata basis to (a) the Term Loan facility of $523, which is amortized as interest expense over the term using the effective interest method and included within Term Debt on the Company’s consolidated balance sheets; and (b) the New Revolving Credit Facility of $327, which is amortized as interest expense over the term using the straight-line method and included within other non-current assets on the Company’s consolidated balance sheets.</w:t>
      </w:r>
    </w:p>
    <w:p>
      <w:pPr>
        <w:spacing w:after="0" w:line="188"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amortization of debt discount on the Term Loan of $27 and amortization of deferred financing costs on the New Revolving Credit Facility of $50 in the Company’s consolidated statements of operations. As of December 31, 2025, the Company had remaining unamortized debt discount on the Term Loan of $497 and deferred financing costs on the New Revolving Credit Facility of $435.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Promissory Note</w:t>
      </w:r>
    </w:p>
    <w:p>
      <w:pPr>
        <w:spacing w:after="0" w:line="227"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The Promissory Note was issued on March 14, 2025 as part of the Settlement Agreement to resolve the contingent consideration liability. It is an unsecured obligation of the Company. The Promissory Note bears interest at a fixed annual rate of 14.0% (the “Interest Rate”). In the event of a default (as defined in the Promissory Note), or during any period of non-payment caused by restrictions under the Subordination Agreement (as defined below), the interest rate increases to 17.0% per annum (the “Default Rate”). The Promissory Note requires monthly payments of interest only commencing April 14, 2025 and continuing through September 14, 2025. Commencing October 14, 2025, the Company is required to pay principal and interest in accordance with an amortization schedule that requires equal monthly payments of $109 on the 14th day of each calendar month through maturity on September 14, 2027. On the maturity date, the Company is required to make a final balloon payment of $2,277, representing the remaining principal and accrued but unpaid interest outstanding at maturity. As of December 31, 2025, the Company is in compliance with the monthly required payments and there have been no events of default.</w:t>
      </w:r>
    </w:p>
    <w:p>
      <w:pPr>
        <w:spacing w:after="0" w:line="189"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The principal balance of the Promissory Note (together with accrued but unpaid interest on such amounts) may be prepaid in whole or in part at any time prior to maturity, subject to the Company’s payment of a make-whole payment with such prepayment. The make-whole payment is equal to the aggregate monthly payments of interest on the prepayment amount that would be due after the prepayment date and through the maturity date, using the percentage, if any, by which the Interest Rate exceeds a prescribed “yield maintenance treasury rate.”</w:t>
      </w:r>
    </w:p>
    <w:p>
      <w:pPr>
        <w:spacing w:after="0" w:line="183"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The Stockholders’ Representative’s rights under the Promissory Note are subject to a Subordination Agreement dated of March 14, 2025, by, and among, the Company, Reflect, First Merchants Bank and the Stockholders’ Representative (the “Subordination Agreement”). Under the terms of the Subordination Agreement, during any period in which an event of default existed under the Prior Credit Agreement, the Company was prohibited from making any payments on the Promissory Note unless FMB provided prior written consent, and the Stockholders’ Representative was prohibited from accepting or enforcing any payments during the subordination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COMMITMENTS AND CONTINGENCIES</w:t>
      </w:r>
    </w:p>
    <w:p>
      <w:pPr>
        <w:spacing w:after="0" w:line="227" w:lineRule="exact"/>
        <w:rPr>
          <w:sz w:val="20"/>
          <w:szCs w:val="20"/>
          <w:color w:val="auto"/>
        </w:rPr>
      </w:pPr>
    </w:p>
    <w:p>
      <w:pPr>
        <w:ind w:right="360" w:firstLine="646"/>
        <w:spacing w:after="0" w:line="280" w:lineRule="auto"/>
        <w:rPr>
          <w:sz w:val="20"/>
          <w:szCs w:val="20"/>
          <w:color w:val="auto"/>
        </w:rPr>
      </w:pPr>
      <w:r>
        <w:rPr>
          <w:rFonts w:ascii="Times New Roman" w:cs="Times New Roman" w:eastAsia="Times New Roman" w:hAnsi="Times New Roman"/>
          <w:sz w:val="18"/>
          <w:szCs w:val="18"/>
          <w:color w:val="auto"/>
        </w:rPr>
        <w:t>The Company is not party to any material legal proceedings, other than ordinary routine litigation incidental to the business, and there were no other such proceedings pending during the period covered by this Report.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composition of (loss) income before income tax expense for the years ended December 31, 2025 and 2024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680" w:type="dxa"/>
            <w:vAlign w:val="bottom"/>
            <w:gridSpan w:val="5"/>
          </w:tcPr>
          <w:p>
            <w:pPr>
              <w:jc w:val="center"/>
              <w:ind w:left="433"/>
              <w:spacing w:after="0"/>
              <w:rPr>
                <w:sz w:val="20"/>
                <w:szCs w:val="20"/>
                <w:color w:val="auto"/>
              </w:rPr>
            </w:pPr>
            <w:r>
              <w:rPr>
                <w:rFonts w:ascii="Times New Roman" w:cs="Times New Roman" w:eastAsia="Times New Roman" w:hAnsi="Times New Roman"/>
                <w:sz w:val="18"/>
                <w:szCs w:val="18"/>
                <w:b w:val="1"/>
                <w:bCs w:val="1"/>
                <w:color w:val="auto"/>
                <w:w w:val="97"/>
              </w:rPr>
              <w:t>For the Years Ended</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ind w:right="336"/>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w w:val="97"/>
              </w:rPr>
              <w:t>(10,490)</w:t>
            </w:r>
          </w:p>
        </w:tc>
        <w:tc>
          <w:tcPr>
            <w:tcW w:w="96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94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Income tax expense consisted of the following:</w:t>
            </w: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680" w:type="dxa"/>
            <w:vAlign w:val="bottom"/>
            <w:gridSpan w:val="5"/>
          </w:tcPr>
          <w:p>
            <w:pPr>
              <w:jc w:val="center"/>
              <w:ind w:left="433"/>
              <w:spacing w:after="0"/>
              <w:rPr>
                <w:sz w:val="20"/>
                <w:szCs w:val="20"/>
                <w:color w:val="auto"/>
              </w:rPr>
            </w:pPr>
            <w:r>
              <w:rPr>
                <w:rFonts w:ascii="Times New Roman" w:cs="Times New Roman" w:eastAsia="Times New Roman" w:hAnsi="Times New Roman"/>
                <w:sz w:val="18"/>
                <w:szCs w:val="18"/>
                <w:b w:val="1"/>
                <w:bCs w:val="1"/>
                <w:color w:val="auto"/>
                <w:w w:val="97"/>
              </w:rPr>
              <w:t>For the Years Ended</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ind w:right="336"/>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 summary:</w:t>
            </w: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expense (benefit)</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96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expense (benefit) – federal</w:t>
            </w: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expense (benefit) – state</w:t>
            </w:r>
          </w:p>
        </w:tc>
        <w:tc>
          <w:tcPr>
            <w:tcW w:w="940" w:type="dxa"/>
            <w:vAlign w:val="bottom"/>
          </w:tcPr>
          <w:p>
            <w:pPr>
              <w:spacing w:after="0"/>
              <w:rPr>
                <w:sz w:val="18"/>
                <w:szCs w:val="18"/>
                <w:color w:val="auto"/>
              </w:rPr>
            </w:pPr>
          </w:p>
        </w:tc>
        <w:tc>
          <w:tcPr>
            <w:tcW w:w="78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expense (benefit) – foreign</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expense</w:t>
            </w:r>
          </w:p>
        </w:tc>
        <w:tc>
          <w:tcPr>
            <w:tcW w:w="9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The income tax expense includes federal and state income taxes currently payable and those deferred or prepaid because of temporary differences between financial statement and tax bases of assets and liabilities. The Company records income taxes under the liability method. Under this method, deferred income taxes are recognized for the estimated future tax effects of differences between the tax bases of assets and liabilities and their financial reporting amounts based on enacted tax laws.</w:t>
      </w:r>
    </w:p>
    <w:p>
      <w:pPr>
        <w:spacing w:after="0" w:line="183" w:lineRule="exact"/>
        <w:rPr>
          <w:sz w:val="20"/>
          <w:szCs w:val="20"/>
          <w:color w:val="auto"/>
        </w:rPr>
      </w:pPr>
    </w:p>
    <w:p>
      <w:pPr>
        <w:ind w:right="140" w:firstLine="646"/>
        <w:spacing w:after="0" w:line="280" w:lineRule="auto"/>
        <w:rPr>
          <w:sz w:val="20"/>
          <w:szCs w:val="20"/>
          <w:color w:val="auto"/>
        </w:rPr>
      </w:pPr>
      <w:r>
        <w:rPr>
          <w:rFonts w:ascii="Times New Roman" w:cs="Times New Roman" w:eastAsia="Times New Roman" w:hAnsi="Times New Roman"/>
          <w:sz w:val="18"/>
          <w:szCs w:val="18"/>
          <w:color w:val="auto"/>
        </w:rPr>
        <w:t>A reconciliation (reflective of the provisions of ASU 2023-09) of the statutory income tax rate to the effective income tax rates as a percentage of income before income taxes is as follows:</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4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4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4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(1,493)</w:t>
            </w: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5"/>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Statutory tax rate difference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5"/>
        </w:trPr>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r>
      <w:tr>
        <w:trPr>
          <w:trHeight w:val="215"/>
        </w:trPr>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Prior year return-to-provision adjustments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15"/>
        </w:trPr>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r>
      <w:tr>
        <w:trPr>
          <w:trHeight w:val="215"/>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487</w:t>
            </w: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5"/>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contingent consideration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(1,003)</w:t>
            </w: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5"/>
        </w:trPr>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r>
      <w:tr>
        <w:trPr>
          <w:trHeight w:val="215"/>
        </w:trPr>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Original issue discount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5"/>
        </w:trPr>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Expiration of net operating loss carryforwards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851</w:t>
            </w: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w:t>
            </w:r>
          </w:p>
        </w:tc>
      </w:tr>
      <w:tr>
        <w:trPr>
          <w:trHeight w:val="215"/>
        </w:trPr>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 return-to-provision adjustments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45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4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taxes in Texas in 2024 and 2025 made up the majority (greater than 50%) of the tax effect in this category.</w:t>
      </w:r>
    </w:p>
    <w:p>
      <w:pPr>
        <w:spacing w:after="0" w:line="22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6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78"/>
        </w:trPr>
        <w:tc>
          <w:tcPr>
            <w:tcW w:w="66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income taxes, net of refunds received, consisted of the following:</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8"/>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680" w:type="dxa"/>
            <w:vAlign w:val="bottom"/>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6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Federal Taxes</w:t>
            </w:r>
          </w:p>
        </w:tc>
        <w:tc>
          <w:tcPr>
            <w:tcW w:w="94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Foreign Taxes</w:t>
            </w:r>
          </w:p>
        </w:tc>
        <w:tc>
          <w:tcPr>
            <w:tcW w:w="9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66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 and Local Taxes: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6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Minnesota</w:t>
            </w:r>
          </w:p>
        </w:tc>
        <w:tc>
          <w:tcPr>
            <w:tcW w:w="9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5"/>
        </w:trPr>
        <w:tc>
          <w:tcPr>
            <w:tcW w:w="660" w:type="dxa"/>
            <w:vAlign w:val="bottom"/>
          </w:tcPr>
          <w:p>
            <w:pPr>
              <w:spacing w:after="0"/>
              <w:rPr>
                <w:sz w:val="18"/>
                <w:szCs w:val="18"/>
                <w:color w:val="auto"/>
              </w:rPr>
            </w:pPr>
          </w:p>
        </w:tc>
        <w:tc>
          <w:tcPr>
            <w:tcW w:w="6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New Jersey</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660" w:type="dxa"/>
            <w:vAlign w:val="bottom"/>
          </w:tcPr>
          <w:p>
            <w:pPr>
              <w:spacing w:after="0"/>
              <w:rPr>
                <w:sz w:val="18"/>
                <w:szCs w:val="18"/>
                <w:color w:val="auto"/>
              </w:rPr>
            </w:pPr>
          </w:p>
        </w:tc>
        <w:tc>
          <w:tcPr>
            <w:tcW w:w="6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New York</w:t>
            </w:r>
          </w:p>
        </w:tc>
        <w:tc>
          <w:tcPr>
            <w:tcW w:w="9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5"/>
        </w:trPr>
        <w:tc>
          <w:tcPr>
            <w:tcW w:w="660" w:type="dxa"/>
            <w:vAlign w:val="bottom"/>
          </w:tcPr>
          <w:p>
            <w:pPr>
              <w:spacing w:after="0"/>
              <w:rPr>
                <w:sz w:val="18"/>
                <w:szCs w:val="18"/>
                <w:color w:val="auto"/>
              </w:rPr>
            </w:pPr>
          </w:p>
        </w:tc>
        <w:tc>
          <w:tcPr>
            <w:tcW w:w="6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Texas</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660" w:type="dxa"/>
            <w:vAlign w:val="bottom"/>
          </w:tcPr>
          <w:p>
            <w:pPr>
              <w:spacing w:after="0"/>
              <w:rPr>
                <w:sz w:val="19"/>
                <w:szCs w:val="19"/>
                <w:color w:val="auto"/>
              </w:rPr>
            </w:pPr>
          </w:p>
        </w:tc>
        <w:tc>
          <w:tcPr>
            <w:tcW w:w="6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States</w:t>
            </w:r>
          </w:p>
        </w:tc>
        <w:tc>
          <w:tcPr>
            <w:tcW w:w="94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22"/>
        </w:trPr>
        <w:tc>
          <w:tcPr>
            <w:tcW w:w="660" w:type="dxa"/>
            <w:vAlign w:val="bottom"/>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636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right="520" w:firstLine="646"/>
        <w:spacing w:after="0" w:line="280" w:lineRule="auto"/>
        <w:rPr>
          <w:sz w:val="20"/>
          <w:szCs w:val="20"/>
          <w:color w:val="auto"/>
        </w:rPr>
      </w:pPr>
      <w:r>
        <w:rPr>
          <w:rFonts w:ascii="Times New Roman" w:cs="Times New Roman" w:eastAsia="Times New Roman" w:hAnsi="Times New Roman"/>
          <w:sz w:val="18"/>
          <w:szCs w:val="18"/>
          <w:color w:val="auto"/>
        </w:rPr>
        <w:t>The net deferred tax assets and liabilities recognized in the accompanying consolidated balance sheets, determined using the income tax rate applicable to each period,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94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foreign carryforwards</w:t>
            </w: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10,097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net operating loss and contribution carryforwards</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38,086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Foreign credits</w:t>
            </w: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163(j) interest expense carryforward</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liability</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174</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(48,851)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9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(9,179)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(15,696)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8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(3,541)</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Company’s income tax provision for the year ended December 31, 2025 was significantly impacted by the acquisition of CDM on November 7, 2025. The acquisition resulted in the recognition of deferred tax assets and liabilities related to the fair value adjustments of acquired assets and assumed liabilities, including identifiable intangible assets.</w:t>
      </w:r>
    </w:p>
    <w:p>
      <w:pPr>
        <w:spacing w:after="0" w:line="175"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The Company recorded net deferred tax liabilities of $2,215 related to the acquisition, primarily attributable to book-tax basis differences in acquired intangible assets, partially offset by deferred tax assets related to net operating loss carryforwards.</w:t>
      </w:r>
    </w:p>
    <w:p>
      <w:pPr>
        <w:spacing w:after="0" w:line="163"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In connection with the acquisition, the Company recognized a $3,550 increase in valuation allowance against certain acquired deferred tax assets, primarily related to foreign net operating losses for which realization is not considered more likely than not.</w:t>
      </w:r>
    </w:p>
    <w:p>
      <w:pPr>
        <w:spacing w:after="0" w:line="163"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As of December 31, 2025, the Company had no reserves recorded as a liability for unrecognized tax benefits for U.S. federal and state tax jurisdictions. There were no unrecognized tax benefits as of December 31, 2025 that, if recognized, would affect the tax rate. It is the Company’s policy to accrue interest and penalties related to liabilities for income tax contingencies in the provision for income taxes.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The acquisition of CDM did not result in the recognition of any uncertain tax positions and, as of December 31, 2025, the Company had no accrued interest or penalties related to uncertain tax positions.</w:t>
      </w:r>
    </w:p>
    <w:p>
      <w:pPr>
        <w:spacing w:after="0" w:line="163"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The Company’s deferred tax assets are primarily related to net federal, state, and foreign operating loss carryforwards (“NOLs”). As of December 31, 2025, the Company has federal net operating loss carryforwards of $36,923, of which, $13,817 have an indefinite carryforward period but are subject to limitation on usage such that they cannot be utilized to offset more than 80% of taxable income in a given tax year. The Company has foreign net operating loss carryforwards of $10,097 which have a twenty-year carryforward period, federal contribution carryforwards of $13 which have a five-year carryforward period, and state net operating loss carryforwards of $1,150 expiring between 2026 and 2045. The federal statute of limitations remains open for tax years 2022 through 2024 and state tax jurisdictions generally have statutes of limitations open for tax years 2021 through 2024.</w:t>
      </w:r>
    </w:p>
    <w:p>
      <w:pPr>
        <w:spacing w:after="0" w:line="187"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We have substantial NOLs that are limited in usage by IRC Section 382. IRC Section 382 generally imposes an annual limitation on the amount of NOLs that may be used to offset taxable income when a corporation has undergone significant changes in stock ownership within a statutory testing period. As a result of the acquisition, the Company acquired foreign net operating loss carryforwards which are subject to limitation under the Canadian tax regime. A valuation allowance has been recorded against a portion of these acquired foreign losses due to uncertainty regarding realizability.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performed a preliminary analysis of the annual NOL carryforwards and limitations that are available to be used against taxable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history of losses of the Company, there continues to be a partial valuation allowance against the net deferred tax assets of the Company.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WARRANTS</w:t>
      </w:r>
    </w:p>
    <w:p>
      <w:pPr>
        <w:spacing w:after="0" w:line="227"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On March 14, 2025, as part of the contingent consideration settlement described in Note 5, the Company issued to the former Reflect stockholders, in their capacities as selling stockholders and not as outside investors, the Settlement Warrants to purchase their pro rata share of an aggregate of 777,800 shares of the Company’s common stock at an exercise price equal to $3.25 per share, subject to adjustment for stock dividends, distributions, subdivisions, combinations, or reclassifications. The Settlement Warrants are exercisable immediately and expire six years from the date of issuance. They may be exercised for cash or, at the holder’s election, on a cashless (net settlement) basis. The Company evaluated the Settlement Warrants under ASC 815-40, Derivatives and Hedging - Contracts in Entity’s Own Equity, and concluded that the Settlement Warrants meet the criteria for equity classification. As such, the Settlement Warrants are not subject to remeasurement. Accordingly, the fair value of the Settlement Warrants at issuance was recorded as a component of additional paid-in capital within shareholders’ equity. The fair value of the Settlement Warrants was estimated at $1.34 per share as of the issuance date, using the Black-Scholes option pricing model. Key assumptions included: expected volatility of 94%, expected term of 6 years (matching the exercise term), risk-free interest rate of 4.15%, dividend yield of 0%, and the Company’s stock price of $1.88 as of the valuation date.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warrants accounted for as equity instruments in the Company's consolidated financial statements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6"/>
        </w:trPr>
        <w:tc>
          <w:tcPr>
            <w:tcW w:w="56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5"/>
        </w:trPr>
        <w:tc>
          <w:tcPr>
            <w:tcW w:w="5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29"/>
        </w:trPr>
        <w:tc>
          <w:tcPr>
            <w:tcW w:w="56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Average Exercise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38"/>
        </w:trPr>
        <w:tc>
          <w:tcPr>
            <w:tcW w:w="5680" w:type="dxa"/>
            <w:vAlign w:val="bottom"/>
          </w:tcPr>
          <w:p>
            <w:pPr>
              <w:spacing w:after="0"/>
              <w:rPr>
                <w:sz w:val="20"/>
                <w:szCs w:val="20"/>
                <w:color w:val="auto"/>
              </w:rPr>
            </w:pPr>
          </w:p>
        </w:tc>
        <w:tc>
          <w:tcPr>
            <w:tcW w:w="17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2025</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4,587,002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777,800</w:t>
            </w:r>
          </w:p>
        </w:tc>
        <w:tc>
          <w:tcPr>
            <w:tcW w:w="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2"/>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5,364,802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outstanding warrants were fully vested as of December 31, 2025.</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STOCK-BASED COMPENSATION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outstanding options as of December 31, 2025 is included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Time Vesting Options</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8"/>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5"/>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5"/>
        </w:trPr>
        <w:tc>
          <w:tcPr>
            <w:tcW w:w="2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Range of Exercise</w:t>
            </w:r>
          </w:p>
        </w:tc>
        <w:tc>
          <w:tcPr>
            <w:tcW w:w="100" w:type="dxa"/>
            <w:vAlign w:val="bottom"/>
          </w:tcPr>
          <w:p>
            <w:pPr>
              <w:spacing w:after="0"/>
              <w:rPr>
                <w:sz w:val="18"/>
                <w:szCs w:val="18"/>
                <w:color w:val="auto"/>
              </w:rPr>
            </w:pP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8"/>
        </w:trPr>
        <w:tc>
          <w:tcPr>
            <w:tcW w:w="20" w:type="dxa"/>
            <w:vAlign w:val="bottom"/>
          </w:tcPr>
          <w:p>
            <w:pPr>
              <w:spacing w:after="0"/>
              <w:rPr>
                <w:sz w:val="20"/>
                <w:szCs w:val="20"/>
                <w:color w:val="auto"/>
              </w:rPr>
            </w:pPr>
          </w:p>
        </w:tc>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Prices between</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0" w:type="dxa"/>
            <w:vAlign w:val="bottom"/>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3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$0.01 - $4.00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1,064,000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2.44</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$4.01 - $8.00</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480,005</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7.39</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480,005</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w:t>
            </w:r>
          </w:p>
        </w:tc>
      </w:tr>
      <w:tr>
        <w:trPr>
          <w:trHeight w:val="215"/>
        </w:trPr>
        <w:tc>
          <w:tcPr>
            <w:tcW w:w="20" w:type="dxa"/>
            <w:vAlign w:val="bottom"/>
          </w:tcPr>
          <w:p>
            <w:pPr>
              <w:spacing w:after="0"/>
              <w:rPr>
                <w:sz w:val="18"/>
                <w:szCs w:val="18"/>
                <w:color w:val="auto"/>
              </w:rPr>
            </w:pPr>
          </w:p>
        </w:tc>
        <w:tc>
          <w:tcPr>
            <w:tcW w:w="3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22,225</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1,566,230</w:t>
            </w:r>
          </w:p>
        </w:tc>
        <w:tc>
          <w:tcPr>
            <w:tcW w:w="2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4.24</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502,230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w:t>
            </w: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Performance Vesting Options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220" w:type="dxa"/>
            <w:vAlign w:val="bottom"/>
            <w:gridSpan w:val="3"/>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220" w:type="dxa"/>
            <w:vAlign w:val="bottom"/>
            <w:gridSpan w:val="3"/>
          </w:tcPr>
          <w:p>
            <w:pPr>
              <w:jc w:val="center"/>
              <w:ind w:left="391"/>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20" w:type="dxa"/>
            <w:vAlign w:val="bottom"/>
          </w:tcPr>
          <w:p>
            <w:pPr>
              <w:spacing w:after="0"/>
              <w:rPr>
                <w:sz w:val="19"/>
                <w:szCs w:val="19"/>
                <w:color w:val="auto"/>
              </w:rPr>
            </w:pPr>
          </w:p>
        </w:tc>
        <w:tc>
          <w:tcPr>
            <w:tcW w:w="1220" w:type="dxa"/>
            <w:vAlign w:val="bottom"/>
            <w:gridSpan w:val="3"/>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9"/>
                <w:szCs w:val="19"/>
                <w:color w:val="auto"/>
              </w:rPr>
            </w:pPr>
          </w:p>
        </w:tc>
        <w:tc>
          <w:tcPr>
            <w:tcW w:w="12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20" w:type="dxa"/>
            <w:vAlign w:val="bottom"/>
          </w:tcPr>
          <w:p>
            <w:pPr>
              <w:spacing w:after="0"/>
              <w:rPr>
                <w:sz w:val="20"/>
                <w:szCs w:val="20"/>
                <w:color w:val="auto"/>
              </w:rPr>
            </w:pPr>
          </w:p>
        </w:tc>
        <w:tc>
          <w:tcPr>
            <w:tcW w:w="1220" w:type="dxa"/>
            <w:vAlign w:val="bottom"/>
            <w:gridSpan w:val="3"/>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00" w:type="dxa"/>
            <w:vAlign w:val="bottom"/>
          </w:tcPr>
          <w:p>
            <w:pPr>
              <w:spacing w:after="0"/>
              <w:rPr>
                <w:sz w:val="20"/>
                <w:szCs w:val="20"/>
                <w:color w:val="auto"/>
              </w:rPr>
            </w:pPr>
          </w:p>
        </w:tc>
        <w:tc>
          <w:tcPr>
            <w:tcW w:w="12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95"/>
              </w:rPr>
              <w:t>240,000</w:t>
            </w:r>
          </w:p>
        </w:tc>
        <w:tc>
          <w:tcPr>
            <w:tcW w:w="2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4.42</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5"/>
              </w:rPr>
              <w:t>7.59</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Market Vesting Options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220" w:type="dxa"/>
            <w:vAlign w:val="bottom"/>
            <w:gridSpan w:val="3"/>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220" w:type="dxa"/>
            <w:vAlign w:val="bottom"/>
            <w:gridSpan w:val="3"/>
          </w:tcPr>
          <w:p>
            <w:pPr>
              <w:jc w:val="center"/>
              <w:ind w:left="391"/>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20" w:type="dxa"/>
            <w:vAlign w:val="bottom"/>
          </w:tcPr>
          <w:p>
            <w:pPr>
              <w:spacing w:after="0"/>
              <w:rPr>
                <w:sz w:val="19"/>
                <w:szCs w:val="19"/>
                <w:color w:val="auto"/>
              </w:rPr>
            </w:pPr>
          </w:p>
        </w:tc>
        <w:tc>
          <w:tcPr>
            <w:tcW w:w="1220" w:type="dxa"/>
            <w:vAlign w:val="bottom"/>
            <w:gridSpan w:val="3"/>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9"/>
                <w:szCs w:val="19"/>
                <w:color w:val="auto"/>
              </w:rPr>
            </w:pPr>
          </w:p>
        </w:tc>
        <w:tc>
          <w:tcPr>
            <w:tcW w:w="12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20" w:type="dxa"/>
            <w:vAlign w:val="bottom"/>
          </w:tcPr>
          <w:p>
            <w:pPr>
              <w:spacing w:after="0"/>
              <w:rPr>
                <w:sz w:val="20"/>
                <w:szCs w:val="20"/>
                <w:color w:val="auto"/>
              </w:rPr>
            </w:pPr>
          </w:p>
        </w:tc>
        <w:tc>
          <w:tcPr>
            <w:tcW w:w="1220" w:type="dxa"/>
            <w:vAlign w:val="bottom"/>
            <w:gridSpan w:val="3"/>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00" w:type="dxa"/>
            <w:vAlign w:val="bottom"/>
          </w:tcPr>
          <w:p>
            <w:pPr>
              <w:spacing w:after="0"/>
              <w:rPr>
                <w:sz w:val="20"/>
                <w:szCs w:val="20"/>
                <w:color w:val="auto"/>
              </w:rPr>
            </w:pPr>
          </w:p>
        </w:tc>
        <w:tc>
          <w:tcPr>
            <w:tcW w:w="12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95"/>
              </w:rPr>
              <w:t>733,334</w:t>
            </w:r>
          </w:p>
        </w:tc>
        <w:tc>
          <w:tcPr>
            <w:tcW w:w="2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6.46</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5"/>
              </w:rPr>
              <w:t>3.00</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Market Vesting Options</w:t>
            </w:r>
          </w:p>
        </w:tc>
        <w:tc>
          <w:tcPr>
            <w:tcW w:w="2580" w:type="dxa"/>
            <w:vAlign w:val="bottom"/>
            <w:gridSpan w:val="9"/>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Time Vesting Options</w:t>
            </w:r>
          </w:p>
        </w:tc>
        <w:tc>
          <w:tcPr>
            <w:tcW w:w="100" w:type="dxa"/>
            <w:vAlign w:val="bottom"/>
          </w:tcPr>
          <w:p>
            <w:pPr>
              <w:spacing w:after="0"/>
              <w:rPr>
                <w:sz w:val="24"/>
                <w:szCs w:val="24"/>
                <w:color w:val="auto"/>
              </w:rPr>
            </w:pPr>
          </w:p>
        </w:tc>
        <w:tc>
          <w:tcPr>
            <w:tcW w:w="24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Performance Vesting Options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50"/>
              <w:spacing w:after="0" w:line="187"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gridSpan w:val="2"/>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jc w:val="center"/>
              <w:ind w:right="140"/>
              <w:spacing w:after="0" w:line="187"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20" w:type="dxa"/>
            <w:vAlign w:val="bottom"/>
          </w:tcPr>
          <w:p>
            <w:pPr>
              <w:spacing w:after="0"/>
              <w:rPr>
                <w:sz w:val="18"/>
                <w:szCs w:val="18"/>
                <w:color w:val="auto"/>
              </w:rPr>
            </w:pPr>
          </w:p>
        </w:tc>
        <w:tc>
          <w:tcPr>
            <w:tcW w:w="12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0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2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Date/Activity</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20" w:type="dxa"/>
            <w:vAlign w:val="bottom"/>
          </w:tcPr>
          <w:p>
            <w:pPr>
              <w:spacing w:after="0"/>
              <w:rPr>
                <w:sz w:val="20"/>
                <w:szCs w:val="20"/>
                <w:color w:val="auto"/>
              </w:rPr>
            </w:pPr>
          </w:p>
        </w:tc>
        <w:tc>
          <w:tcPr>
            <w:tcW w:w="12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20"/>
                <w:szCs w:val="20"/>
                <w:color w:val="auto"/>
              </w:rPr>
            </w:pPr>
          </w:p>
        </w:tc>
        <w:tc>
          <w:tcPr>
            <w:tcW w:w="10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240" w:type="dxa"/>
            <w:vAlign w:val="bottom"/>
            <w:tcBorders>
              <w:right w:val="single" w:sz="8" w:color="CCEEFF"/>
            </w:tcBorders>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591,897</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9.57</w:t>
            </w:r>
          </w:p>
        </w:tc>
        <w:tc>
          <w:tcPr>
            <w:tcW w:w="14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1,170,500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34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(196,167)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9.72</w:t>
            </w:r>
          </w:p>
        </w:tc>
        <w:tc>
          <w:tcPr>
            <w:tcW w:w="14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1,566,230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weighted average remaining contractual life for options exercisable is 5.48 years as of December 31, 2025. No options were exercised during 2025. The aggregate intrinsic value of stock options outstanding and exercisable as of December 31, 2025 was approximately $252,000 and zero, respectively.</w:t>
      </w:r>
    </w:p>
    <w:p>
      <w:pPr>
        <w:spacing w:after="0" w:line="175"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There are 2,000,000 shares authorized for issuance under the Company's 2014 Stock Incentive Plan (the “2014 Plan”). There are 1,475,564 options outstanding under the 2014 Plan as of December 31, 2025. The Company’s ability to issue new awards under its 2014 Plan expired in 2023.</w:t>
      </w:r>
    </w:p>
    <w:p>
      <w:pPr>
        <w:spacing w:after="0" w:line="163"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On October 18, 2024, the Company’s shareholders approved the Company’s 2023 Stock Incentive Plan (the “2023 Plan”), which authorizes the issuance of up to 2,500,000 shares. There are 1,064,000 options outstanding under the 2023 Plan as of December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Awards</w:t>
      </w:r>
    </w:p>
    <w:p>
      <w:pPr>
        <w:spacing w:after="0" w:line="227"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 xml:space="preserve">On April 1, 2025, the Company granted stock options to purchase an aggregate of 567,500 shares of common stock to employees pursuant to the Company’s 2023 Plan, which was previously approved by shareholders. The options have an exercise price of $1.95 per share, equal to the closing market price of the Company’s common stock on the grant date. The options vest in equal annual installments over a three-year period, subject to continued service through each vesting date, and expire ten years from the date of grant. The Company determined the grant-date fair value using the Black-Scholes option pricing model with key assumptions including expected volatility of 96%, expected term of 6.5 years, risk-free interest rate of 4.00%, dividend yield of 0%, and the Company’s stock price of $1.95 as of the valuation date. The awards will be recognized as stock-based compensation expense on a straight-line basis over the requisite service period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based on the grant-date fair value of the options.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053"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On June 2, 2025, the Company granted stock options to purchase an aggregate of 378,000 shares of common stock to employees under the 2023 Plan. The options have an exercise price of $3.05 per share, equal to the closing market price of the Company’s common stock on the grant date. The options vest in equal annual installments over a three-year period, subject to continued service through each vesting date, and expire ten years from the date of grant. The Company determined the grant-date fair value using the Black-Scholes option pricing model with key assumptions including expected volatility of 94%, expected term of 6.5 years, risk-free interest rate of 4.17%, dividend yield of 0%, and the Company’s stock price of $3.05 as of the valuation date. The awards will be recognized as stock-based compensation expense on a straight-line basis over the requisite service period in accordance with ASC 718 based on the grant-date fair value of the options.</w:t>
      </w:r>
    </w:p>
    <w:p>
      <w:pPr>
        <w:spacing w:after="0" w:line="189"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On June 2, 2025, the Company accelerated the vesting of the market-vesting options to purchase 733,334 shares of common stock. Prior to such acceleration, the vesting of these options depended on the Company’s share price meeting various price targets. One such share price target was an amount equal to the “Guaranteed Price,” as such term is defined in the Merger Agreement by and among the Company, Reflect, CRI Acquisition Corporation, a Delaware corporation, and RSI Exit Corporation, a Texas corporation and representative of the former stockholders of Reflect (“RSI”). On March 14, 2025, the Company and RSI settled and resolved a dispute related to the Guaranteed Consideration. On June 2, 2025, in consideration of the efforts in resolving and settling such dispute, the Compensation Committee of the Company fully vested the 733,334 options. As a result of the amendment and corresponding vesting, the Company recognized stock compensation expense of $1,149 during the year ended December 31, 2025.</w:t>
      </w:r>
    </w:p>
    <w:p>
      <w:pPr>
        <w:spacing w:after="0" w:line="189"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On July 3, 2025, the Company granted 575,000 restricted stock units to employees under the 2023 Plan. The restricted stock units vest in three equal installments over a period of three years, subject to continued service through the applicable vesting dates. The grant date fair value of the restricted stock units was estimated at $3.30 per share based on the closing price of the Company’s common stock on the grant date. During the year ended December 31, 2025, 50,000 of these restricted stock awards were forfeited. The awards will be recognized as stock-based compensation expense over the requisite service period in accordance with ASC 718 based on the grant-date fair value of the options.</w:t>
      </w:r>
    </w:p>
    <w:p>
      <w:pPr>
        <w:spacing w:after="0" w:line="183"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On September 15, 2025, the Company granted stock options to purchase an aggregate of 15,000 shares of common stock to employees under the 2023 Plan. The options have an exercise price of $2.31 per share, equal to the closing market price of the Company’s common stock on the grant date. The options vest in equal annual installments over a three-year period, subject to continued service through each vesting date, and expire ten years from the date of grant. The Company determined the grant-date fair value using the Black-Scholes option pricing model with key assumptions including expected volatility of 94%, expected term of 6.5 years, risk-free interest rate of 3.75%, dividend yield of 0%, and the Company’s stock price of $2.31 as of the valuation date. The awards will be recognized as stock-based compensation expense over the requisite service period in accordance with ASC 718 based on the grant-date fair value of the options.</w:t>
      </w:r>
    </w:p>
    <w:p>
      <w:pPr>
        <w:spacing w:after="0" w:line="189"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On November 20, 2025, the Company granted stock options to purchase an aggregate of 110,000 shares of common stock to employees under the 2023 Plan. The options have an exercise price of $2.73 per share, equal to the closing market price of the Company’s common stock on the grant date. The options vest in equal annual installments over a three-year period, subject to continued service through each vesting date, and expire ten years from the date of grant. The Company determined the grant-date fair value using the Black-Scholes option pricing model with key assumptions including expected volatility of 94%, expected term of 6.5 years, risk-free interest rate of 3.75%, dividend yield of 0%, and the Company’s stock price of $2.73 as of the valuation date. The awards will be recognized as stock-based compensation expense over the requisite service period in accordance with ASC 718 based on the grant-date fair value of the options.</w:t>
      </w:r>
    </w:p>
    <w:p>
      <w:pPr>
        <w:spacing w:after="0" w:line="189"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On December 1, 2025, the Company granted stock options to purchase an aggregate of 100,000 shares of common stock to employees under the 2023 Plan. The options have an exercise price of $2.89 per share, equal to the closing market price of the Company’s common stock on the grant date. The options vest in equal annual installments over a three-year period, subject to continued service through each vesting date, and expire ten years from the date of grant. The Company determined the grant-date fair value using the Black-Scholes option pricing model with key assumptions including expected volatility of 94%, expected term of 6.5 years, risk-free interest rate of 3.75%, dividend yield of 0%, and the Company’s stock price of $2.89 as of the valuation date. The awards will be recognized as stock-based compensation expense over the requisite service period in accordance with ASC 718 based on the grant-date fair value of the options.</w:t>
      </w:r>
    </w:p>
    <w:p>
      <w:pPr>
        <w:spacing w:after="0" w:line="189"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The weighted average grant date fair value of employee stock options granted during 2025 was $2.05. Stock-based compensation expense recognized related to stock options and restricted stock units to employees (including the expense described above related to the market-vesting options) for the years ended December 31, 2025 and 2024 was $2,118 and $13, respectively, and is included in general and administrative expenses in the consolidated financial statements.</w:t>
      </w:r>
    </w:p>
    <w:p>
      <w:pPr>
        <w:spacing w:after="0" w:line="183"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As of December 31, 2025, there was $2,950 of total unrecognized compensation expense related to unvested share-based awards, which is expected to be recognized over a weighted average period of approximately 2.5 years.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Awards</w:t>
      </w:r>
    </w:p>
    <w:p>
      <w:pPr>
        <w:spacing w:after="0" w:line="22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Compensation expense recognized for the issuance of stock options awarded to our Board of Directors for the years ended December 31, 2025 and 2024 was $165 and $0, respectively, and was included in general and administrative expenses in the consolidated financial statements. As of December 31, 2025, there was $0 unrecognized compensation expense related to share-based awards to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16: SEGMENT REPORTING</w:t>
      </w:r>
    </w:p>
    <w:p>
      <w:pPr>
        <w:spacing w:after="0" w:line="227"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We currently operate in one reportable segment, marketing technology solutions. The marketing technology solutions segment generates revenue through four primary sources which includes (1) hardware sales from reselling digital signage hardware from original equipment manufacturers, (2) services from helping customers design, deploy, and manage their digital signage and ad-based networks, (3) recurring subscription licensing and support revenue from our digital signage and ad-tech software platforms, which are generally sold via a SaaS model, and (4) selling digital out-of-home (DOOH) advertising on infrastructure it owns or operates at retail malls, shopping centers, office buildings, and other commercial properties.</w:t>
      </w:r>
    </w:p>
    <w:p>
      <w:pPr>
        <w:spacing w:after="0" w:line="183"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 xml:space="preserve">Our Chief Executive Officer is our chief operating decision maker (the “CODM”). Our CODM evaluates performance and makes operating decisions about allocating resources based on financial data presented on a consolidated basis, accompanied by information about revenue disaggregated by service. Our CODM uses the segment information primarily to evaluate the profitability and strategic growth potential of the segment. The reported measures of profit or loss are benchmarked against historical performance and market expectations. Based on this analysis, the CODM determines whether or not to invest in new technology or reallocate operating expenses - namely personnel. In addition, the CODM reviews supplementary metrics such as disaggregated revenue as disclosed in Note 4,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and customer growth to ensure that our strategic decisions are aligned with long-term performance goals.</w:t>
      </w:r>
    </w:p>
    <w:p>
      <w:pPr>
        <w:spacing w:after="0" w:line="189"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measure used by our CODM to assess performance and make operating decisions is net loss as reported on our consolidated statements of operations. Significant segment expenses are reported as total expenses on the consolidated statements of operations. Segment assets are disclosed in the consolidated balance sheets.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w:t>
      </w:r>
    </w:p>
    <w:p>
      <w:pPr>
        <w:spacing w:after="0" w:line="227"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We had one customer that accounted for 10% of revenue for the year ended December 31, 2025. Three customers accounted for 15%, 13% and 10% of revenue for the year ended December 31, 2024.</w:t>
      </w:r>
    </w:p>
    <w:p>
      <w:pPr>
        <w:spacing w:after="0" w:line="163"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We had one customer that accounted for 12% of accounts receivable as of December 31, 2025 and one customer that accounted for 16% of accounts receivable as of December 31,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by Geographical Area</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revenue recognized in the consolidated statements of operations by geographical area:</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4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80" w:type="dxa"/>
            <w:vAlign w:val="bottom"/>
            <w:gridSpan w:val="5"/>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4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504"/>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2"/>
        </w:trPr>
        <w:tc>
          <w:tcPr>
            <w:tcW w:w="4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by Geographical Area:</w:t>
            </w:r>
          </w:p>
        </w:tc>
        <w:tc>
          <w:tcPr>
            <w:tcW w:w="15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2580" w:type="dxa"/>
            <w:vAlign w:val="bottom"/>
            <w:gridSpan w:val="2"/>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45,304</w:t>
            </w:r>
          </w:p>
        </w:tc>
        <w:tc>
          <w:tcPr>
            <w:tcW w:w="160" w:type="dxa"/>
            <w:vAlign w:val="bottom"/>
          </w:tcPr>
          <w:p>
            <w:pPr>
              <w:spacing w:after="0"/>
              <w:rPr>
                <w:sz w:val="18"/>
                <w:szCs w:val="18"/>
                <w:color w:val="auto"/>
              </w:rPr>
            </w:pPr>
          </w:p>
        </w:tc>
        <w:tc>
          <w:tcPr>
            <w:tcW w:w="980" w:type="dxa"/>
            <w:vAlign w:val="bottom"/>
            <w:gridSpan w:val="2"/>
          </w:tcPr>
          <w:p>
            <w:pPr>
              <w:jc w:val="right"/>
              <w:ind w:right="84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50,854</w:t>
            </w:r>
          </w:p>
        </w:tc>
        <w:tc>
          <w:tcPr>
            <w:tcW w:w="80" w:type="dxa"/>
            <w:vAlign w:val="bottom"/>
          </w:tcPr>
          <w:p>
            <w:pPr>
              <w:spacing w:after="0"/>
              <w:rPr>
                <w:sz w:val="18"/>
                <w:szCs w:val="18"/>
                <w:color w:val="auto"/>
              </w:rPr>
            </w:pPr>
          </w:p>
        </w:tc>
      </w:tr>
      <w:tr>
        <w:trPr>
          <w:trHeight w:val="229"/>
        </w:trPr>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Canada</w:t>
            </w:r>
          </w:p>
        </w:tc>
        <w:tc>
          <w:tcPr>
            <w:tcW w:w="15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2"/>
        </w:trPr>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1580" w:type="dxa"/>
            <w:vAlign w:val="bottom"/>
          </w:tcPr>
          <w:p>
            <w:pPr>
              <w:spacing w:after="0"/>
              <w:rPr>
                <w:sz w:val="19"/>
                <w:szCs w:val="19"/>
                <w:color w:val="auto"/>
              </w:rPr>
            </w:pPr>
          </w:p>
        </w:tc>
        <w:tc>
          <w:tcPr>
            <w:tcW w:w="10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57,232</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4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50,854</w:t>
            </w:r>
          </w:p>
        </w:tc>
        <w:tc>
          <w:tcPr>
            <w:tcW w:w="8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Vendors</w:t>
      </w:r>
    </w:p>
    <w:p>
      <w:pPr>
        <w:spacing w:after="0" w:line="227" w:lineRule="exact"/>
        <w:rPr>
          <w:sz w:val="20"/>
          <w:szCs w:val="20"/>
          <w:color w:val="auto"/>
        </w:rPr>
      </w:pPr>
    </w:p>
    <w:p>
      <w:pPr>
        <w:ind w:firstLine="646"/>
        <w:spacing w:after="0" w:line="280" w:lineRule="auto"/>
        <w:rPr>
          <w:sz w:val="20"/>
          <w:szCs w:val="20"/>
          <w:color w:val="auto"/>
        </w:rPr>
      </w:pPr>
      <w:r>
        <w:rPr>
          <w:rFonts w:ascii="Times New Roman" w:cs="Times New Roman" w:eastAsia="Times New Roman" w:hAnsi="Times New Roman"/>
          <w:sz w:val="18"/>
          <w:szCs w:val="18"/>
          <w:color w:val="auto"/>
        </w:rPr>
        <w:t>We had three vendors that accounted for 30%, 18% and 10% of outstanding accounts payable as of December 31, 2025 and two vendors that accounted for 27% and 10% of outstanding accounts payable as of December 31,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 Lived Assets by Geographical Region</w:t>
      </w:r>
    </w:p>
    <w:p>
      <w:pPr>
        <w:spacing w:after="0" w:line="227" w:lineRule="exact"/>
        <w:rPr>
          <w:sz w:val="20"/>
          <w:szCs w:val="20"/>
          <w:color w:val="auto"/>
        </w:rPr>
      </w:pPr>
    </w:p>
    <w:p>
      <w:pPr>
        <w:ind w:right="20" w:firstLine="646"/>
        <w:spacing w:after="0" w:line="280" w:lineRule="auto"/>
        <w:rPr>
          <w:sz w:val="20"/>
          <w:szCs w:val="20"/>
          <w:color w:val="auto"/>
        </w:rPr>
      </w:pPr>
      <w:r>
        <w:rPr>
          <w:rFonts w:ascii="Times New Roman" w:cs="Times New Roman" w:eastAsia="Times New Roman" w:hAnsi="Times New Roman"/>
          <w:sz w:val="18"/>
          <w:szCs w:val="18"/>
          <w:color w:val="auto"/>
        </w:rPr>
        <w:t>The following table sets forth our long-lived assets by geographic area, which consists of property and equipment, net and operating and finance lease right-of-use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48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7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22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25,762</w:t>
            </w:r>
          </w:p>
        </w:tc>
        <w:tc>
          <w:tcPr>
            <w:tcW w:w="1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27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w:t>
            </w:r>
          </w:p>
        </w:tc>
        <w:tc>
          <w:tcPr>
            <w:tcW w:w="34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27,712</w:t>
            </w:r>
          </w:p>
        </w:tc>
        <w:tc>
          <w:tcPr>
            <w:tcW w:w="7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480" w:type="dxa"/>
            <w:vAlign w:val="bottom"/>
            <w:gridSpan w:val="2"/>
          </w:tcPr>
          <w:p>
            <w:pPr>
              <w:jc w:val="right"/>
              <w:ind w:right="1430"/>
              <w:spacing w:after="0"/>
              <w:rPr>
                <w:sz w:val="20"/>
                <w:szCs w:val="20"/>
                <w:color w:val="auto"/>
              </w:rPr>
            </w:pPr>
            <w:r>
              <w:rPr>
                <w:rFonts w:ascii="Times New Roman" w:cs="Times New Roman" w:eastAsia="Times New Roman" w:hAnsi="Times New Roman"/>
                <w:sz w:val="18"/>
                <w:szCs w:val="18"/>
                <w:color w:val="auto"/>
              </w:rPr>
              <w:t>F- 33</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17: LEASES</w:t>
      </w:r>
    </w:p>
    <w:p>
      <w:pPr>
        <w:spacing w:after="0" w:line="227"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The Company's lease portfolio is primarily comprised of operating leases for office space and finance leases for computer equipment and DOOH media assets from the acquisition of CDM. At the inception of an arrangement, the Company determines whether the arrangement is or contains a lease based on whether the contract conveys the right to control the use of identified property or equipment for a period of time in exchange for consideration. Leases are classified as operating or finance leases at the commencement date of the lease. Leases may include one or more options to renew. We do not assume renewals in our determination of the lease term unless the renewals are deemed to be reasonably assured at lease commencement. Our lease agreements do not contain any material residual value guarantees or material restrictive covenants.</w:t>
      </w:r>
    </w:p>
    <w:p>
      <w:pPr>
        <w:spacing w:after="0" w:line="18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Company determines the discount rate used to measure lease liabilities based on the rate implicit in the lease, if readily determinable. If the implicit rate is not available, the Company uses its incremental borrowing rate, which is determined based on the rate at which the Company could borrow on a collateralized basis over a similar term and in a similar economic environment to the 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 Acquired from the Acquisition of CDM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Waterloo Office</w:t>
      </w:r>
    </w:p>
    <w:p>
      <w:pPr>
        <w:spacing w:after="0" w:line="225"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The Company acquired an operating lease for approximately 14,917 square feet of office space in a commercial building located in Waterloo, Ontario (the “Waterloo Office”), which is used for CDM’s operating activities. The lease was originally effective on November 15, 2013 and has been renewed until January 14, 2029. In accordance with ASC 805 and ASC 842, the Company remeasured the lease as of the acquisition date and recognized a ROU asset and corresponding lease liability of approximately $571, discounted using the Company’s IBR of 8.0%. The lease does not meet any of the five classification criteria for a finance lease under ASC 842-10-25-2. Accordingly, the lease is classified as an operating lease.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Cadillac Fairview</w:t>
      </w:r>
    </w:p>
    <w:p>
      <w:pPr>
        <w:spacing w:after="0" w:line="225" w:lineRule="exact"/>
        <w:rPr>
          <w:sz w:val="20"/>
          <w:szCs w:val="20"/>
          <w:color w:val="auto"/>
        </w:rPr>
      </w:pPr>
    </w:p>
    <w:p>
      <w:pPr>
        <w:jc w:val="both"/>
        <w:ind w:firstLine="646"/>
        <w:spacing w:after="0" w:line="251" w:lineRule="auto"/>
        <w:rPr>
          <w:sz w:val="20"/>
          <w:szCs w:val="20"/>
          <w:color w:val="auto"/>
        </w:rPr>
      </w:pPr>
      <w:r>
        <w:rPr>
          <w:rFonts w:ascii="Times New Roman" w:cs="Times New Roman" w:eastAsia="Times New Roman" w:hAnsi="Times New Roman"/>
          <w:sz w:val="18"/>
          <w:szCs w:val="18"/>
          <w:color w:val="auto"/>
        </w:rPr>
        <w:t>The Company acquired an embedded finance lease within a media mall agreement (the “Cadillac MSA”) entered into on December 15, 2023, with Cadillac Fairview (“CF Fairview”). Under the Cadillac MSA, the Company was granted the exclusive right to install, operate, and manage a digital media sales network (“DMSN”) consisting of media advertising display assets (“Media Advertising Displays”) across seventeen CF Fairview-owned or managed shopping centers throughout Canada. The Cadillac MSA expires on December 31, 2028, and includes minimum annual guarantee (“MAG”) payments escalating from approximately $5,837 (CAD $8,000) in Year 1 to $8,390 (CAD $11,500) in Year 5, totaling approximately $37,210 (CAD $51,000) over the term. Additional variable consideration, consisting of a percentage fee of 75% of net revenue and a bonus fee of 5% of net revenue, capped at approximately $547 (CAD $750) per year, is excluded from the lease liability measurement as it does not meet the definition of fixed or in-substance fixed lease payments under ASC 842. The Company analyzed the Cadillac MSA on a portfolio basis, treating the seventeen locations as a single lease, as the agreement applies jointly and severally to all properties. The lease term represents substantially all of the remaining economic life of the underlying Media Advertising Display assets, thereby satisfying the classification criterion under ASC 842-10-25-2(c). Accordingly, the lease is classified as a finance lease. The Company recognized a ROU asset and corresponding lease liability of approximately $22,142 as of the acquisition date, discounted using the Company’s IBR of 8.0%. The ROU asset is amortized on a straight-line basis over the remaining term of approximately 3.0 years, with amortization recorded as a component of cost of sales, as the lease payments are directly associated with the fulfillment of the Company’s digital media advertising revenue contracts. Interest expense is recognized using the effective interest method over the lease term.</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Cominar Real Estate Investment Trust</w:t>
      </w:r>
    </w:p>
    <w:p>
      <w:pPr>
        <w:spacing w:after="0" w:line="225" w:lineRule="exact"/>
        <w:rPr>
          <w:sz w:val="20"/>
          <w:szCs w:val="20"/>
          <w:color w:val="auto"/>
        </w:rPr>
      </w:pPr>
    </w:p>
    <w:p>
      <w:pPr>
        <w:jc w:val="both"/>
        <w:ind w:firstLine="646"/>
        <w:spacing w:after="0" w:line="252" w:lineRule="auto"/>
        <w:rPr>
          <w:sz w:val="20"/>
          <w:szCs w:val="20"/>
          <w:color w:val="auto"/>
        </w:rPr>
      </w:pPr>
      <w:r>
        <w:rPr>
          <w:rFonts w:ascii="Times New Roman" w:cs="Times New Roman" w:eastAsia="Times New Roman" w:hAnsi="Times New Roman"/>
          <w:sz w:val="18"/>
          <w:szCs w:val="18"/>
          <w:color w:val="auto"/>
        </w:rPr>
        <w:t>The Company acquired an embedded finance lease within a media mall agreement (the “Cominar MSA”) entered into on December 22, 2023, with Cominar Real Estate Investment Trust (“Cominar”). Under the Cominar MSA, the Company was granted the exclusive right to install, operate, and manage a DMSN consisting of Media Advertising Displays across five shopping mall complexes in the Province of Québec. The Cominar MSA expires on April 1, 2029. The Cominar MSA includes MAG provisions with minimum fixed payments of approximately $438 (CAD $600) per year. Variable consideration above the minimum fixed payments is excluded from the lease liability measurement as such amounts are contingent on future traffic volumes and do not constitute fixed or in-substance fixed lease payments under ASC 842. The Company analyzed the Cominar MSA on a portfolio basis, treating the five locations as a single lease, as the agreement applies jointly and severally to all properties. Consistent with the Cadillac MSA, the lease term represents substantially all of the remaining economic life of the underlying Media Advertising Display assets, satisfying the classification criterion under ASC 842-10-25-2(c), and the lease is accordingly classified as a finance lease. The Company recognized a ROU asset and corresponding lease liability of approximately $1,167 as of the acquisition date, discounted using the Company’s IBR of 8.0%. The ROU asset is amortized on a straight-line basis over the remaining term of approximately 3.3 years, with amortization recorded as a component of cost of sales, as the lease payments are directly associated with the fulfillment of the Company’s digital media advertising revenue contracts. Interest expense is recognized using the effective interest method over the lease term.</w:t>
      </w:r>
    </w:p>
    <w:p>
      <w:pPr>
        <w:spacing w:after="0" w:line="188"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classification of operating and finance lease assets and liabilities in the Company's consolidated balance sheet as follows:</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2"/>
        </w:trPr>
        <w:tc>
          <w:tcPr>
            <w:tcW w:w="82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r>
      <w:tr>
        <w:trPr>
          <w:trHeight w:val="209"/>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1960" w:type="dxa"/>
            <w:vAlign w:val="bottom"/>
            <w:gridSpan w:val="2"/>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22,658</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9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2,117</w:t>
            </w:r>
          </w:p>
        </w:tc>
        <w:tc>
          <w:tcPr>
            <w:tcW w:w="5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787</w:t>
            </w:r>
          </w:p>
        </w:tc>
      </w:tr>
      <w:tr>
        <w:trPr>
          <w:trHeight w:val="262"/>
        </w:trPr>
        <w:tc>
          <w:tcPr>
            <w:tcW w:w="47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Total lease assets</w:t>
            </w:r>
          </w:p>
        </w:tc>
        <w:tc>
          <w:tcPr>
            <w:tcW w:w="96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24,775</w:t>
            </w:r>
          </w:p>
        </w:tc>
        <w:tc>
          <w:tcPr>
            <w:tcW w:w="16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tcBorders>
              <w:bottom w:val="single" w:sz="8" w:color="CCEEFF"/>
            </w:tcBorders>
          </w:tcPr>
          <w:p>
            <w:pPr>
              <w:spacing w:after="0"/>
              <w:rPr>
                <w:sz w:val="22"/>
                <w:szCs w:val="22"/>
                <w:color w:val="auto"/>
              </w:rPr>
            </w:pPr>
          </w:p>
        </w:tc>
      </w:tr>
      <w:tr>
        <w:trPr>
          <w:trHeight w:val="196"/>
        </w:trPr>
        <w:tc>
          <w:tcPr>
            <w:tcW w:w="82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5"/>
        </w:trPr>
        <w:tc>
          <w:tcPr>
            <w:tcW w:w="4720" w:type="dxa"/>
            <w:vAlign w:val="bottom"/>
            <w:gridSpan w:val="2"/>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820" w:type="dxa"/>
            <w:vAlign w:val="bottom"/>
            <w:tcBorders>
              <w:top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5"/>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4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960" w:type="dxa"/>
            <w:vAlign w:val="bottom"/>
            <w:gridSpan w:val="2"/>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596</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466</w:t>
            </w:r>
          </w:p>
        </w:tc>
      </w:tr>
      <w:tr>
        <w:trPr>
          <w:trHeight w:val="215"/>
        </w:trPr>
        <w:tc>
          <w:tcPr>
            <w:tcW w:w="4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1,673</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342</w:t>
            </w:r>
          </w:p>
        </w:tc>
      </w:tr>
      <w:tr>
        <w:trPr>
          <w:trHeight w:val="215"/>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4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3,799</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8"/>
                <w:szCs w:val="18"/>
                <w:color w:val="auto"/>
              </w:rPr>
            </w:pPr>
          </w:p>
        </w:tc>
      </w:tr>
      <w:tr>
        <w:trPr>
          <w:trHeight w:val="229"/>
        </w:trPr>
        <w:tc>
          <w:tcPr>
            <w:tcW w:w="4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Non-current portion of finance lease liabilities</w:t>
            </w: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17,844</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r>
      <w:tr>
        <w:trPr>
          <w:trHeight w:val="222"/>
        </w:trPr>
        <w:tc>
          <w:tcPr>
            <w:tcW w:w="4720" w:type="dxa"/>
            <w:vAlign w:val="bottom"/>
            <w:tcBorders>
              <w:top w:val="single" w:sz="8" w:color="CCEEFF"/>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lease liabilities</w:t>
            </w: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operating and financing lease expenses in the Company's consolidated statements of operations as follows:</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0" w:type="dxa"/>
            <w:vAlign w:val="bottom"/>
            <w:gridSpan w:val="4"/>
          </w:tcPr>
          <w:p>
            <w:pPr>
              <w:jc w:val="right"/>
              <w:ind w:right="314"/>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4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594"/>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2"/>
        </w:trPr>
        <w:tc>
          <w:tcPr>
            <w:tcW w:w="4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shd w:val="clear" w:color="auto" w:fill="CCEEFF"/>
          </w:tcPr>
          <w:p>
            <w:pPr>
              <w:spacing w:after="0"/>
              <w:rPr>
                <w:sz w:val="18"/>
                <w:szCs w:val="18"/>
                <w:color w:val="auto"/>
              </w:rPr>
            </w:pPr>
          </w:p>
        </w:tc>
      </w:tr>
      <w:tr>
        <w:trPr>
          <w:trHeight w:val="21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1,301</w:t>
            </w: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r>
      <w:tr>
        <w:trPr>
          <w:trHeight w:val="229"/>
        </w:trPr>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w:t>
            </w:r>
          </w:p>
        </w:tc>
        <w:tc>
          <w:tcPr>
            <w:tcW w:w="110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222"/>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lease term and discount rate information related to operating and finance leases as follows:</w:t>
      </w:r>
    </w:p>
    <w:p>
      <w:pPr>
        <w:spacing w:after="0" w:line="219"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55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1600" w:type="dxa"/>
            <w:vAlign w:val="bottom"/>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6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4.0</w:t>
            </w:r>
          </w:p>
        </w:tc>
        <w:tc>
          <w:tcPr>
            <w:tcW w:w="16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2.1</w:t>
            </w:r>
          </w:p>
        </w:tc>
        <w:tc>
          <w:tcPr>
            <w:tcW w:w="1600" w:type="dxa"/>
            <w:vAlign w:val="bottom"/>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6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3.0</w:t>
            </w:r>
          </w:p>
        </w:tc>
        <w:tc>
          <w:tcPr>
            <w:tcW w:w="16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2.3</w:t>
            </w:r>
          </w:p>
        </w:tc>
        <w:tc>
          <w:tcPr>
            <w:tcW w:w="1600" w:type="dxa"/>
            <w:vAlign w:val="bottom"/>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6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8.2%</w:t>
            </w:r>
          </w:p>
        </w:tc>
        <w:tc>
          <w:tcPr>
            <w:tcW w:w="16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w w:val="95"/>
              </w:rPr>
              <w:t>9.6%</w:t>
            </w:r>
          </w:p>
        </w:tc>
        <w:tc>
          <w:tcPr>
            <w:tcW w:w="1600" w:type="dxa"/>
            <w:vAlign w:val="bottom"/>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6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8.0%</w:t>
            </w:r>
          </w:p>
        </w:tc>
        <w:tc>
          <w:tcPr>
            <w:tcW w:w="16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5"/>
              </w:rPr>
              <w:t>5.5%</w:t>
            </w:r>
          </w:p>
        </w:tc>
        <w:tc>
          <w:tcPr>
            <w:tcW w:w="1600" w:type="dxa"/>
            <w:vAlign w:val="bottom"/>
          </w:tcPr>
          <w:p>
            <w:pPr>
              <w:spacing w:after="0"/>
              <w:rPr>
                <w:sz w:val="18"/>
                <w:szCs w:val="18"/>
                <w:color w:val="auto"/>
              </w:rPr>
            </w:pPr>
          </w:p>
        </w:tc>
      </w:tr>
      <w:tr>
        <w:trPr>
          <w:trHeight w:val="431"/>
        </w:trPr>
        <w:tc>
          <w:tcPr>
            <w:tcW w:w="660" w:type="dxa"/>
            <w:vAlign w:val="bottom"/>
          </w:tcPr>
          <w:p>
            <w:pPr>
              <w:spacing w:after="0"/>
              <w:rPr>
                <w:sz w:val="24"/>
                <w:szCs w:val="24"/>
                <w:color w:val="auto"/>
              </w:rPr>
            </w:pPr>
          </w:p>
        </w:tc>
        <w:tc>
          <w:tcPr>
            <w:tcW w:w="6680" w:type="dxa"/>
            <w:vAlign w:val="bottom"/>
            <w:gridSpan w:val="2"/>
          </w:tcPr>
          <w:p>
            <w:pPr>
              <w:ind w:left="4780"/>
              <w:spacing w:after="0"/>
              <w:rPr>
                <w:sz w:val="20"/>
                <w:szCs w:val="20"/>
                <w:color w:val="auto"/>
              </w:rPr>
            </w:pPr>
            <w:r>
              <w:rPr>
                <w:rFonts w:ascii="Times New Roman" w:cs="Times New Roman" w:eastAsia="Times New Roman" w:hAnsi="Times New Roman"/>
                <w:sz w:val="18"/>
                <w:szCs w:val="18"/>
                <w:color w:val="auto"/>
              </w:rPr>
              <w:t>F- 35</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4"/>
        </w:trPr>
        <w:tc>
          <w:tcPr>
            <w:tcW w:w="660" w:type="dxa"/>
            <w:vAlign w:val="bottom"/>
            <w:tcBorders>
              <w:bottom w:val="single" w:sz="8" w:color="auto"/>
            </w:tcBorders>
          </w:tcPr>
          <w:p>
            <w:pPr>
              <w:spacing w:after="0"/>
              <w:rPr>
                <w:sz w:val="9"/>
                <w:szCs w:val="9"/>
                <w:color w:val="auto"/>
              </w:rPr>
            </w:pPr>
          </w:p>
        </w:tc>
        <w:tc>
          <w:tcPr>
            <w:tcW w:w="55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sets forth future minimum lease payments as follows:</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3960" w:type="dxa"/>
            <w:vAlign w:val="bottom"/>
          </w:tcPr>
          <w:p>
            <w:pPr>
              <w:spacing w:after="0"/>
              <w:rPr>
                <w:sz w:val="19"/>
                <w:szCs w:val="19"/>
                <w:color w:val="auto"/>
              </w:rPr>
            </w:pPr>
          </w:p>
        </w:tc>
        <w:tc>
          <w:tcPr>
            <w:tcW w:w="16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Finance</w:t>
            </w:r>
          </w:p>
        </w:tc>
        <w:tc>
          <w:tcPr>
            <w:tcW w:w="460" w:type="dxa"/>
            <w:vAlign w:val="bottom"/>
          </w:tcPr>
          <w:p>
            <w:pPr>
              <w:spacing w:after="0"/>
              <w:rPr>
                <w:sz w:val="19"/>
                <w:szCs w:val="19"/>
                <w:color w:val="auto"/>
              </w:rPr>
            </w:pPr>
          </w:p>
        </w:tc>
        <w:tc>
          <w:tcPr>
            <w:tcW w:w="11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payments:</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460" w:type="dxa"/>
            <w:vAlign w:val="bottom"/>
          </w:tcPr>
          <w:p>
            <w:pPr>
              <w:spacing w:after="0"/>
              <w:rPr>
                <w:sz w:val="20"/>
                <w:szCs w:val="20"/>
                <w:color w:val="auto"/>
              </w:rPr>
            </w:pPr>
          </w:p>
        </w:tc>
        <w:tc>
          <w:tcPr>
            <w:tcW w:w="11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09"/>
        </w:trPr>
        <w:tc>
          <w:tcPr>
            <w:tcW w:w="39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2027</w:t>
            </w:r>
          </w:p>
        </w:tc>
        <w:tc>
          <w:tcPr>
            <w:tcW w:w="11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8,243</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80" w:type="dxa"/>
            <w:vAlign w:val="bottom"/>
          </w:tcPr>
          <w:p>
            <w:pPr>
              <w:spacing w:after="0"/>
              <w:rPr>
                <w:sz w:val="18"/>
                <w:szCs w:val="18"/>
                <w:color w:val="auto"/>
              </w:rPr>
            </w:pPr>
          </w:p>
        </w:tc>
      </w:tr>
      <w:tr>
        <w:trPr>
          <w:trHeight w:val="215"/>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2028</w:t>
            </w:r>
          </w:p>
        </w:tc>
        <w:tc>
          <w:tcPr>
            <w:tcW w:w="1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9,249</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w:t>
            </w:r>
          </w:p>
        </w:tc>
        <w:tc>
          <w:tcPr>
            <w:tcW w:w="80" w:type="dxa"/>
            <w:vAlign w:val="bottom"/>
            <w:shd w:val="clear" w:color="auto" w:fill="CCEEFF"/>
          </w:tcPr>
          <w:p>
            <w:pPr>
              <w:spacing w:after="0"/>
              <w:rPr>
                <w:sz w:val="18"/>
                <w:szCs w:val="18"/>
                <w:color w:val="auto"/>
              </w:rPr>
            </w:pPr>
          </w:p>
        </w:tc>
      </w:tr>
      <w:tr>
        <w:trPr>
          <w:trHeight w:val="215"/>
        </w:trPr>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2029</w:t>
            </w:r>
          </w:p>
        </w:tc>
        <w:tc>
          <w:tcPr>
            <w:tcW w:w="11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398</w:t>
            </w:r>
          </w:p>
        </w:tc>
      </w:tr>
      <w:tr>
        <w:trPr>
          <w:trHeight w:val="229"/>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2030</w:t>
            </w:r>
          </w:p>
        </w:tc>
        <w:tc>
          <w:tcPr>
            <w:tcW w:w="1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331</w:t>
            </w:r>
          </w:p>
        </w:tc>
      </w:tr>
      <w:tr>
        <w:trPr>
          <w:trHeight w:val="20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1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2,644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25,469</w:t>
            </w:r>
          </w:p>
        </w:tc>
        <w:tc>
          <w:tcPr>
            <w:tcW w:w="1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28,113</w:t>
            </w:r>
          </w:p>
        </w:tc>
        <w:tc>
          <w:tcPr>
            <w:tcW w:w="80" w:type="dxa"/>
            <w:vAlign w:val="bottom"/>
          </w:tcPr>
          <w:p>
            <w:pPr>
              <w:spacing w:after="0"/>
              <w:rPr>
                <w:sz w:val="18"/>
                <w:szCs w:val="18"/>
                <w:color w:val="auto"/>
              </w:rPr>
            </w:pPr>
          </w:p>
        </w:tc>
      </w:tr>
      <w:tr>
        <w:trPr>
          <w:trHeight w:val="22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(3,826)</w:t>
            </w: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(4,201)</w:t>
            </w:r>
          </w:p>
        </w:tc>
      </w:tr>
      <w:tr>
        <w:trPr>
          <w:trHeight w:val="222"/>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2,269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23,912</w:t>
            </w:r>
          </w:p>
        </w:tc>
        <w:tc>
          <w:tcPr>
            <w:tcW w:w="8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1"/>
        </w:trPr>
        <w:tc>
          <w:tcPr>
            <w:tcW w:w="7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leases include the following:</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1"/>
        </w:trPr>
        <w:tc>
          <w:tcPr>
            <w:tcW w:w="3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38"/>
        </w:trPr>
        <w:tc>
          <w:tcPr>
            <w:tcW w:w="3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2"/>
        </w:trPr>
        <w:tc>
          <w:tcPr>
            <w:tcW w:w="39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bottom w:val="single" w:sz="8" w:color="CCEEFF"/>
            </w:tcBorders>
          </w:tcPr>
          <w:p>
            <w:pPr>
              <w:spacing w:after="0"/>
              <w:rPr>
                <w:sz w:val="19"/>
                <w:szCs w:val="19"/>
                <w:color w:val="auto"/>
              </w:rPr>
            </w:pPr>
          </w:p>
        </w:tc>
      </w:tr>
      <w:tr>
        <w:trPr>
          <w:trHeight w:val="209"/>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Cash paid for amounts included in the measurement of lease liabilities: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520</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575</w:t>
            </w:r>
          </w:p>
        </w:tc>
      </w:tr>
      <w:tr>
        <w:trPr>
          <w:trHeight w:val="215"/>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cash flows paid for finance leases</w:t>
            </w: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w:t>
            </w: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r>
      <w:tr>
        <w:trPr>
          <w:trHeight w:val="215"/>
        </w:trPr>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cash flows paid for finance leases</w:t>
            </w: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1,776</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r>
      <w:tr>
        <w:trPr>
          <w:trHeight w:val="215"/>
        </w:trPr>
        <w:tc>
          <w:tcPr>
            <w:tcW w:w="510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amounts included in the measurement of lease liabilities: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56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60" w:type="dxa"/>
            <w:vAlign w:val="bottom"/>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1,509</w:t>
            </w: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bl>
    <w:p>
      <w:pPr>
        <w:spacing w:after="0" w:line="197"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In connection with the acquisition of CDM, the Company obtained right-of-use assets totaling $23,880 and assumed finance and operating lease liabilities of approximately $23,309 and $571, respectively, during the year ended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18: PROFIT-SHARING PLAN</w:t>
      </w:r>
    </w:p>
    <w:p>
      <w:pPr>
        <w:spacing w:after="0" w:line="22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We have a defined contribution 401(k) retirement plans for eligible associates in the United States. Associates may contribute up to 15% of their pretax compensation to the plan subject to IRS limitations. The Company contributes an employer contribution match of 50% of employee wages up to 6%, for an effective match of 3%.</w:t>
      </w:r>
    </w:p>
    <w:p>
      <w:pPr>
        <w:spacing w:after="0" w:line="175"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We have a Registered Retirement Savings Plan for eligible associates in Canada. Associates may contribute up to 18% of earned income reported on their tax return in the previous year, subject to legal contribution limits. The Company contributes an employer contribution match of 50% of employee wages up to 6%, for an effective match of 3%.</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contributed $341 and $288 to employee retirement plans for the year-ended December 31, 2025 and 2024, respectively.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19: SUBSEQUENT EVENTS</w:t>
      </w:r>
    </w:p>
    <w:p>
      <w:pPr>
        <w:spacing w:after="0" w:line="227"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The Company has evaluated subsequent events occurring after the balance sheet date through the date the consolidated financial statements were issued and has determined that there were no such events that would require recognition or disclosure in the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3" w:lineRule="exact"/>
        <w:rPr>
          <w:sz w:val="20"/>
          <w:szCs w:val="20"/>
          <w:color w:val="auto"/>
        </w:rPr>
      </w:pPr>
    </w:p>
    <w:p>
      <w:pPr>
        <w:jc w:val="both"/>
        <w:ind w:firstLine="646"/>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THIS EMPLOYMENT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to be effective as of December 1,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between Creative Realities, Inc., a Minnesota corporation with a principal place of business at 13100 Magisterial Drive, Ste 102, Louisville, Kentucky 40223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Tamra Koshewa, a resident of the State of Kentucky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7" w:lineRule="exact"/>
        <w:rPr>
          <w:sz w:val="20"/>
          <w:szCs w:val="20"/>
          <w:color w:val="auto"/>
        </w:rPr>
      </w:pPr>
    </w:p>
    <w:p>
      <w:pPr>
        <w:ind w:firstLine="8"/>
        <w:spacing w:after="0" w:line="280" w:lineRule="auto"/>
        <w:tabs>
          <w:tab w:leader="none" w:pos="72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desires to employ the Employee as its Chief Financial Officer commencing on the Effective Date, and Employee desires to accept such employment, upon the terms and conditions set forth in this Agreement.</w:t>
      </w:r>
    </w:p>
    <w:p>
      <w:pPr>
        <w:spacing w:after="0" w:line="162" w:lineRule="exact"/>
        <w:rPr>
          <w:rFonts w:ascii="Times New Roman" w:cs="Times New Roman" w:eastAsia="Times New Roman" w:hAnsi="Times New Roman"/>
          <w:sz w:val="18"/>
          <w:szCs w:val="18"/>
          <w:color w:val="auto"/>
        </w:rPr>
      </w:pPr>
    </w:p>
    <w:p>
      <w:pPr>
        <w:ind w:left="660" w:right="1000" w:hanging="652"/>
        <w:spacing w:after="0" w:line="496" w:lineRule="auto"/>
        <w:tabs>
          <w:tab w:leader="none" w:pos="66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other things, this Agreement provides for base compensation for Employee and severance payments in certain circumstances. In consideration of the foregoing, the Company and Employee hereby agree as follows:</w:t>
      </w:r>
    </w:p>
    <w:p>
      <w:pPr>
        <w:spacing w:after="0" w:line="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EMPLOYMENT</w:t>
      </w:r>
    </w:p>
    <w:p>
      <w:pPr>
        <w:spacing w:after="0" w:line="205"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1.01 The Company hereby agrees to employ Employee on the Effective Date, subject to and pursuant to the terms of this Agreement, and Employee agrees to such employment as the Chief Financial Officer of the Company. The parties anticipate that Employee will perform Employee’s services primarily at the Company’s current executive offices in Louisville, Kentucky, but that Employee will also travel on business as advisable and at times work remotely, with the expectation that Employee will use good-faith business judgment to determine the appropriate locations to effectively perform Employee’s services. Unless otherwise specifically set forth in this Agreement, all obligations of the Company and Employee set forth in this Agreement shall commence on the Effective Date.</w:t>
      </w:r>
    </w:p>
    <w:p>
      <w:pPr>
        <w:spacing w:after="0" w:line="187"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1.02 Employee shall generally have the authority, responsibilities, and such duties as are customarily performed by the chief financial officer of a company of similar size and industry as the Company. Employee shall also render such additional services and duties within the scope of Employee’s experience and expertise as may be reasonably requested of Employee from time to time by the Company’s Chief Executive Officer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or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Furthermore, the CEO or Board may from time to time in their discretion change the duties and responsibilities of Employee as they determine the needs of the Company require, which may also include a change of title, so long as the compensation payable to Employee does not decrease as a result of such changes.</w:t>
      </w:r>
    </w:p>
    <w:p>
      <w:pPr>
        <w:spacing w:after="0" w:line="18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Employee shall report to the CEO and Board.</w:t>
      </w: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BEST EFFORTS OF EMPLOYEE</w:t>
      </w:r>
    </w:p>
    <w:p>
      <w:pPr>
        <w:spacing w:after="0" w:line="205"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2.01 Employee shall use Employee’s best efforts, judgment, and abilities in the performance of Employee’s duties, services and responsibilities for the Company.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96" w:name="page97"/>
    <w:bookmarkEnd w:id="96"/>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2.02 Throughout the duration of employment, Employee shall devote substantially all of Employee’s business time and attention (other than during periods of vacation, illness or disability) to the business of the Company and its subsidiaries and affiliates and shall not engage in any substantial activity inconsistent with the foregoing, whether or not such activity shall be engaged in for pecuniary gain, unless approved by the CEO. Notwithstanding the foregoing, Employee may manage Employee’s personal investments, engage in educational, charitable or other community activities, and business advisory capacities as long as such activities do not pose an actual or apparent conflict of interest and do not interfere with Employee’s performance of Employee’s duties under this Agreement. Employee represents that any outside professional activities with which Employee is currently involved or reasonably expects to become involved do not conflict with the business and affairs of the Company or interfere with Employee’s performance of duties hereunder.</w:t>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NATURE OF EMPLOYMENT</w:t>
      </w:r>
    </w:p>
    <w:p>
      <w:pPr>
        <w:spacing w:after="0" w:line="205"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3.01 Employee’s employment on the basis described in this Agreement shall continue on an at-will basis, meaning that either Employee or the Company may terminate the employment relationship at any time for any reason or no reason; provided, however, that Employee may be entitled to certain compensation upon termination to the extent provided in Section 6.03. Further, Employee must provide a 90-day written notice of resignation or employment.</w:t>
      </w:r>
    </w:p>
    <w:p>
      <w:pPr>
        <w:spacing w:after="0" w:line="183"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3.02 The terms and conditions of this Agreement may be amended from time to time with the consent of the Company and Employee. All such amendments shall be effective when memorialized by a written agreement between the Company and Employee, following any necessary approval by the Board and/or the Board’s Compensation Committee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AND BENEFITS</w:t>
      </w:r>
    </w:p>
    <w:p>
      <w:pPr>
        <w:spacing w:after="0" w:line="201" w:lineRule="exact"/>
        <w:rPr>
          <w:sz w:val="20"/>
          <w:szCs w:val="20"/>
          <w:color w:val="auto"/>
        </w:rPr>
      </w:pPr>
    </w:p>
    <w:p>
      <w:pPr>
        <w:jc w:val="both"/>
        <w:ind w:firstLine="646"/>
        <w:spacing w:after="0" w:line="267" w:lineRule="auto"/>
        <w:rPr>
          <w:sz w:val="20"/>
          <w:szCs w:val="20"/>
          <w:color w:val="auto"/>
        </w:rPr>
      </w:pPr>
      <w:r>
        <w:rPr>
          <w:rFonts w:ascii="Times New Roman" w:cs="Times New Roman" w:eastAsia="Times New Roman" w:hAnsi="Times New Roman"/>
          <w:sz w:val="18"/>
          <w:szCs w:val="18"/>
          <w:color w:val="auto"/>
        </w:rPr>
        <w:t>4.01 Employee shall be paid an initial base salary at an annualized rate of $350,000 per year (the “</w:t>
      </w: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payable in accordance with the Company’s established payroll periods, and reduced by all deductions and withholdings required by law and as otherwise specified by Employee. Employee’s Base Salary may be adjusted thereafter in the sole discretion of the Company.</w:t>
      </w:r>
    </w:p>
    <w:p>
      <w:pPr>
        <w:spacing w:after="0" w:line="174"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4.02 Employee shall receive a bonus for 2025 of no less than $50,000, less customary withholdings, payable no later than March 15, 2026, the final amount of which shall be subject to the discretion of the CEO and the Committee. A discretionary bonus for year 2026 will be based on participation in an executive bonus plan, based on actual performance compared to established targets, the details of which will be determined by the Committee after the Effective Date. Bonus payments are discretionary. Therefore, in order to be eligible for any bonus, Employee must be employed by the Company at the time any bonus payments are made.</w:t>
      </w:r>
    </w:p>
    <w:p>
      <w:pPr>
        <w:spacing w:after="0" w:line="183"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4.03 Employee shall receive an initial grant of options to purchase 100,000 shares of Company common stock, which will have a three-year vesting schedule with accelerated vesting if the Company has a change of control, upon the terms and conditions set forth in a Stock Option Agreement and the Creative Realities, Inc. 2023 Stock Incentive Plan, as amended.</w:t>
      </w:r>
    </w:p>
    <w:p>
      <w:pPr>
        <w:spacing w:after="0" w:line="175"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4.04 Throughout the duration of employment, Employee shall be entitled to participate in employee benefit plans, policies, programs, perquisites and arrangements, as the same may be provided and amended from time to time, that are provided generally to similarly situated employees of the Company, to the extent Employee meets the eligibility and other requirements for any such plan, policy, program, perquisite or arrangement.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7" w:name="page98"/>
    <w:bookmarkEnd w:id="97"/>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4.05 The Company shall reimburse Employee for all reasonable business expenses incurred by Employee in carrying out Employee’s duties, services, and responsibilities under this Agreement, subject to Employee’s compliance with generally applicable policies, practices and procedures of the Company (as the same may be changed from time to time) with respect to reimbursement for, and submission of expense reports, receipts or similar documentation of, such expenses.</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VACATION AND LEAVE OF ABSENCE</w:t>
      </w:r>
    </w:p>
    <w:p>
      <w:pPr>
        <w:spacing w:after="0" w:line="201" w:lineRule="exact"/>
        <w:rPr>
          <w:sz w:val="20"/>
          <w:szCs w:val="20"/>
          <w:color w:val="auto"/>
        </w:rPr>
      </w:pPr>
    </w:p>
    <w:p>
      <w:pPr>
        <w:jc w:val="both"/>
        <w:ind w:firstLine="646"/>
        <w:spacing w:after="0" w:line="285" w:lineRule="auto"/>
        <w:rPr>
          <w:sz w:val="20"/>
          <w:szCs w:val="20"/>
          <w:color w:val="auto"/>
        </w:rPr>
      </w:pPr>
      <w:r>
        <w:rPr>
          <w:rFonts w:ascii="Times New Roman" w:cs="Times New Roman" w:eastAsia="Times New Roman" w:hAnsi="Times New Roman"/>
          <w:sz w:val="18"/>
          <w:szCs w:val="18"/>
          <w:color w:val="auto"/>
        </w:rPr>
        <w:t>5.01 Commencing on the Effective Date, Employee shall be entitled to days of paid time off (“</w:t>
      </w:r>
      <w:r>
        <w:rPr>
          <w:rFonts w:ascii="Times New Roman" w:cs="Times New Roman" w:eastAsia="Times New Roman" w:hAnsi="Times New Roman"/>
          <w:sz w:val="18"/>
          <w:szCs w:val="18"/>
          <w:b w:val="1"/>
          <w:bCs w:val="1"/>
          <w:color w:val="auto"/>
        </w:rPr>
        <w:t>PTO</w:t>
      </w:r>
      <w:r>
        <w:rPr>
          <w:rFonts w:ascii="Times New Roman" w:cs="Times New Roman" w:eastAsia="Times New Roman" w:hAnsi="Times New Roman"/>
          <w:sz w:val="18"/>
          <w:szCs w:val="18"/>
          <w:color w:val="auto"/>
        </w:rPr>
        <w:t>”) for each 12 months of employment, in addition to the Company’s normal holidays, in accordance with the following schedule, as may be adjusted from time to time by the Company:</w:t>
      </w:r>
    </w:p>
    <w:p>
      <w:pPr>
        <w:spacing w:after="0" w:line="153" w:lineRule="exact"/>
        <w:rPr>
          <w:sz w:val="20"/>
          <w:szCs w:val="20"/>
          <w:color w:val="auto"/>
        </w:rPr>
      </w:pPr>
    </w:p>
    <w:tbl>
      <w:tblPr>
        <w:tblLayout w:type="fixed"/>
        <w:tblInd w:w="1030" w:type="dxa"/>
        <w:tblCellMar>
          <w:top w:w="0" w:type="dxa"/>
          <w:left w:w="0" w:type="dxa"/>
          <w:bottom w:w="0" w:type="dxa"/>
          <w:right w:w="0" w:type="dxa"/>
        </w:tblCellMar>
      </w:tblPr>
      <w:tr>
        <w:trPr>
          <w:trHeight w:val="249"/>
        </w:trPr>
        <w:tc>
          <w:tcPr>
            <w:tcW w:w="306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Service Period</w:t>
            </w:r>
          </w:p>
        </w:tc>
        <w:tc>
          <w:tcPr>
            <w:tcW w:w="292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Per-Paycheck Accrual</w:t>
            </w:r>
          </w:p>
        </w:tc>
        <w:tc>
          <w:tcPr>
            <w:tcW w:w="324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Maximum Annual Accrual</w:t>
            </w:r>
          </w:p>
        </w:tc>
      </w:tr>
      <w:tr>
        <w:trPr>
          <w:trHeight w:val="192"/>
        </w:trPr>
        <w:tc>
          <w:tcPr>
            <w:tcW w:w="3060" w:type="dxa"/>
            <w:vAlign w:val="bottom"/>
            <w:tcBorders>
              <w:left w:val="single" w:sz="8" w:color="auto"/>
              <w:bottom w:val="single" w:sz="8" w:color="auto"/>
              <w:right w:val="single" w:sz="8" w:color="auto"/>
            </w:tcBorders>
          </w:tcPr>
          <w:p>
            <w:pPr>
              <w:ind w:left="180"/>
              <w:spacing w:after="0" w:line="192" w:lineRule="exact"/>
              <w:rPr>
                <w:sz w:val="20"/>
                <w:szCs w:val="20"/>
                <w:color w:val="auto"/>
              </w:rPr>
            </w:pPr>
            <w:r>
              <w:rPr>
                <w:rFonts w:ascii="Times New Roman" w:cs="Times New Roman" w:eastAsia="Times New Roman" w:hAnsi="Times New Roman"/>
                <w:sz w:val="14"/>
                <w:szCs w:val="14"/>
                <w:color w:val="auto"/>
              </w:rPr>
              <w:t>Beginning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4"/>
                <w:szCs w:val="14"/>
                <w:color w:val="auto"/>
              </w:rPr>
              <w:t xml:space="preserve"> Year</w:t>
            </w:r>
          </w:p>
        </w:tc>
        <w:tc>
          <w:tcPr>
            <w:tcW w:w="2920" w:type="dxa"/>
            <w:vAlign w:val="bottom"/>
            <w:tcBorders>
              <w:bottom w:val="single" w:sz="8" w:color="auto"/>
              <w:right w:val="single" w:sz="8" w:color="auto"/>
            </w:tcBorders>
          </w:tcPr>
          <w:p>
            <w:pPr>
              <w:ind w:left="140"/>
              <w:spacing w:after="0" w:line="192" w:lineRule="exact"/>
              <w:rPr>
                <w:sz w:val="20"/>
                <w:szCs w:val="20"/>
                <w:color w:val="auto"/>
              </w:rPr>
            </w:pPr>
            <w:r>
              <w:rPr>
                <w:rFonts w:ascii="Times New Roman" w:cs="Times New Roman" w:eastAsia="Times New Roman" w:hAnsi="Times New Roman"/>
                <w:sz w:val="18"/>
                <w:szCs w:val="18"/>
                <w:color w:val="auto"/>
              </w:rPr>
              <w:t>.961 Days</w:t>
            </w:r>
          </w:p>
        </w:tc>
        <w:tc>
          <w:tcPr>
            <w:tcW w:w="3240" w:type="dxa"/>
            <w:vAlign w:val="bottom"/>
            <w:tcBorders>
              <w:bottom w:val="single" w:sz="8" w:color="auto"/>
              <w:right w:val="single" w:sz="8" w:color="auto"/>
            </w:tcBorders>
          </w:tcPr>
          <w:p>
            <w:pPr>
              <w:ind w:left="160"/>
              <w:spacing w:after="0" w:line="192" w:lineRule="exact"/>
              <w:rPr>
                <w:sz w:val="20"/>
                <w:szCs w:val="20"/>
                <w:color w:val="auto"/>
              </w:rPr>
            </w:pPr>
            <w:r>
              <w:rPr>
                <w:rFonts w:ascii="Times New Roman" w:cs="Times New Roman" w:eastAsia="Times New Roman" w:hAnsi="Times New Roman"/>
                <w:sz w:val="18"/>
                <w:szCs w:val="18"/>
                <w:color w:val="auto"/>
              </w:rPr>
              <w:t>25 Days</w:t>
            </w:r>
          </w:p>
        </w:tc>
      </w:tr>
    </w:tbl>
    <w:p>
      <w:pPr>
        <w:spacing w:after="0" w:line="200" w:lineRule="exact"/>
        <w:rPr>
          <w:sz w:val="20"/>
          <w:szCs w:val="20"/>
          <w:color w:val="auto"/>
        </w:rPr>
      </w:pP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PTO includes sick days in excess of three sick days per calendar year provided by the Company’s current sick leave policy, as well as leaves of absences and vacations. PTO will be scheduled after taking into account the Employee’s duties and obligations at the Company. PTO and sick leave and all other leaves of absence will be taken in accordance with the Company’s stated personnel policies and upon agreement with the CEO or the Board. Upon termination or expiration of the Employee’s employment, Employee shall be entitled to compensation for any accrued, unused PTO time in accordance with the Company’s PTO policy as of date of termination.</w:t>
      </w:r>
    </w:p>
    <w:p>
      <w:pPr>
        <w:spacing w:after="0" w:line="17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5"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6.01 The Company may terminate Employee’s employment at any time, with or without Cause (as defined in Section 6.04), upon written notice to Employee.</w:t>
      </w:r>
    </w:p>
    <w:p>
      <w:pPr>
        <w:spacing w:after="0" w:line="159" w:lineRule="exact"/>
        <w:rPr>
          <w:sz w:val="20"/>
          <w:szCs w:val="20"/>
          <w:color w:val="auto"/>
        </w:rPr>
      </w:pPr>
    </w:p>
    <w:p>
      <w:pPr>
        <w:jc w:val="both"/>
        <w:ind w:firstLine="646"/>
        <w:spacing w:after="0" w:line="256" w:lineRule="auto"/>
        <w:rPr>
          <w:sz w:val="20"/>
          <w:szCs w:val="20"/>
          <w:color w:val="auto"/>
        </w:rPr>
      </w:pPr>
      <w:r>
        <w:rPr>
          <w:rFonts w:ascii="Times New Roman" w:cs="Times New Roman" w:eastAsia="Times New Roman" w:hAnsi="Times New Roman"/>
          <w:sz w:val="18"/>
          <w:szCs w:val="18"/>
          <w:color w:val="auto"/>
        </w:rPr>
        <w:t>6.02 Employee’s employment will terminate as of the date of the death or Disability of the Employee.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shall mean a determination by the Board that Employee is unable to perform the essential functions of Employee’s job under this Agreement due to illness, injury, or other condition of a physical or psychological nature, with or without a reasonable accommodation for a period aggregating to 90 days in any 12-month period. Such determination shall be made in good faith by the Board, the decision of which shall be conclusive and binding. For clarity, the essential function of Employee’s job specifically include, but are not limited to, Employee’s consistent performance of Employee’s obligations under Sections 1.02, 2.01, and 2.02 of this Agreement.</w:t>
      </w:r>
    </w:p>
    <w:p>
      <w:pPr>
        <w:spacing w:after="0" w:line="18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6.03</w:t>
      </w:r>
      <w:r>
        <w:rPr>
          <w:sz w:val="20"/>
          <w:szCs w:val="20"/>
          <w:color w:val="auto"/>
        </w:rPr>
        <w:tab/>
      </w:r>
      <w:r>
        <w:rPr>
          <w:rFonts w:ascii="Times New Roman" w:cs="Times New Roman" w:eastAsia="Times New Roman" w:hAnsi="Times New Roman"/>
          <w:sz w:val="17"/>
          <w:szCs w:val="17"/>
          <w:color w:val="auto"/>
        </w:rPr>
        <w:t>On any termination of employment, Employee will be entitled to receive:</w:t>
      </w:r>
    </w:p>
    <w:p>
      <w:pPr>
        <w:spacing w:after="0" w:line="223" w:lineRule="exact"/>
        <w:rPr>
          <w:sz w:val="20"/>
          <w:szCs w:val="20"/>
          <w:color w:val="auto"/>
        </w:rPr>
      </w:pPr>
    </w:p>
    <w:p>
      <w:pPr>
        <w:ind w:left="1620" w:hanging="321"/>
        <w:spacing w:after="0"/>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for services performed through the date of such termination, payable on a pro-rated basis;</w:t>
      </w:r>
    </w:p>
    <w:p>
      <w:pPr>
        <w:spacing w:after="0" w:line="223" w:lineRule="exact"/>
        <w:rPr>
          <w:rFonts w:ascii="Times New Roman" w:cs="Times New Roman" w:eastAsia="Times New Roman" w:hAnsi="Times New Roman"/>
          <w:sz w:val="18"/>
          <w:szCs w:val="18"/>
          <w:color w:val="auto"/>
        </w:rPr>
      </w:pPr>
    </w:p>
    <w:p>
      <w:pPr>
        <w:ind w:left="1620" w:hanging="321"/>
        <w:spacing w:after="0"/>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PTO in accordance with Section 5.01; and</w:t>
      </w:r>
    </w:p>
    <w:p>
      <w:pPr>
        <w:spacing w:after="0" w:line="223" w:lineRule="exact"/>
        <w:rPr>
          <w:rFonts w:ascii="Times New Roman" w:cs="Times New Roman" w:eastAsia="Times New Roman" w:hAnsi="Times New Roman"/>
          <w:sz w:val="18"/>
          <w:szCs w:val="18"/>
          <w:color w:val="auto"/>
        </w:rPr>
      </w:pPr>
    </w:p>
    <w:p>
      <w:pPr>
        <w:ind w:left="1620" w:hanging="321"/>
        <w:spacing w:after="0" w:line="280"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that Employee may have as a terminated employee in the Company’s 401(k) plan or other plans in which Employee participated, but only as required or permitted under the terms of such plans.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98" w:name="page99"/>
    <w:bookmarkEnd w:id="98"/>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If (x) the Company terminates Employee’s employment without Cause, or (y) Employee is an active and full-time employee at the time of a Change in Control and Employee’s employment is terminated within 12 months after the Change in Control for any reason other than death, Disability or Cause, then, in addition to the amounts set forth in (a), (b), and (c) above, Employee will be paid an amount equal to six months of Employee’s Base Salary, less customary withholdings (the “</w:t>
      </w:r>
      <w:r>
        <w:rPr>
          <w:rFonts w:ascii="Times New Roman" w:cs="Times New Roman" w:eastAsia="Times New Roman" w:hAnsi="Times New Roman"/>
          <w:sz w:val="18"/>
          <w:szCs w:val="18"/>
          <w:b w:val="1"/>
          <w:bCs w:val="1"/>
          <w:color w:val="auto"/>
        </w:rPr>
        <w:t>Severance</w:t>
      </w:r>
      <w:r>
        <w:rPr>
          <w:rFonts w:ascii="Times New Roman" w:cs="Times New Roman" w:eastAsia="Times New Roman" w:hAnsi="Times New Roman"/>
          <w:sz w:val="18"/>
          <w:szCs w:val="18"/>
          <w:color w:val="auto"/>
        </w:rPr>
        <w:t>”). The Severance will be paid in a number of equal monthly installments equal to the number of months of Base Salary that comprises the Severance, subject to Article 7 of this Agreement. Employee acknowledges that all payments related to the Severance are contingent upon Employee’s continued compliance with all Employee’s post-termination obligations under this Agreement, including without limitation Employee’s duties and obligations under Articles 6, 8, and 9 of this Agreement. In addition, if Employee is eligible to and elects to continue medical coverage from the Company as provided by law (commonly referred to as COBRA), and continues to pay Employee’s portion of the monthly medical insurance premiums, the Company will continue to pay the Company’s portion of the monthly medical insurance premiums paid at the time of termination for COBRA coverage for Employee and Employee’s eligible dependents for a period of six months after termination of employment.</w:t>
      </w:r>
    </w:p>
    <w:p>
      <w:pPr>
        <w:spacing w:after="0" w:line="186" w:lineRule="exact"/>
        <w:rPr>
          <w:sz w:val="20"/>
          <w:szCs w:val="20"/>
          <w:color w:val="auto"/>
        </w:rPr>
      </w:pPr>
    </w:p>
    <w:p>
      <w:pPr>
        <w:jc w:val="both"/>
        <w:ind w:right="20" w:firstLine="646"/>
        <w:spacing w:after="0" w:line="280" w:lineRule="auto"/>
        <w:rPr>
          <w:sz w:val="20"/>
          <w:szCs w:val="20"/>
          <w:color w:val="auto"/>
        </w:rPr>
      </w:pPr>
      <w:r>
        <w:rPr>
          <w:rFonts w:ascii="Times New Roman" w:cs="Times New Roman" w:eastAsia="Times New Roman" w:hAnsi="Times New Roman"/>
          <w:sz w:val="18"/>
          <w:szCs w:val="18"/>
          <w:color w:val="auto"/>
        </w:rPr>
        <w:t>Upon a termination for any other reason, including a voluntary resignation or a termination for Cause, Employee will receive only the amounts set forth in paragraphs (a), (b) and (c) above.</w:t>
      </w:r>
    </w:p>
    <w:p>
      <w:pPr>
        <w:spacing w:after="0" w:line="163" w:lineRule="exact"/>
        <w:rPr>
          <w:sz w:val="20"/>
          <w:szCs w:val="20"/>
          <w:color w:val="auto"/>
        </w:rPr>
      </w:pPr>
    </w:p>
    <w:p>
      <w:pPr>
        <w:jc w:val="both"/>
        <w:ind w:firstLine="646"/>
        <w:spacing w:after="0" w:line="276" w:lineRule="auto"/>
        <w:rPr>
          <w:sz w:val="20"/>
          <w:szCs w:val="20"/>
          <w:color w:val="auto"/>
        </w:rPr>
      </w:pPr>
      <w:r>
        <w:rPr>
          <w:rFonts w:ascii="Times New Roman" w:cs="Times New Roman" w:eastAsia="Times New Roman" w:hAnsi="Times New Roman"/>
          <w:sz w:val="17"/>
          <w:szCs w:val="17"/>
          <w:color w:val="auto"/>
        </w:rPr>
        <w:t>Notwithstanding the foregoing, all pay and benefits to Employee upon termination that exceed the amounts set forth in paragraphs (a), (b), and (c) above will be conditioned on Employee signing and not rescinding a customary separation agreement and mutual release in form and substance acceptable to the Company, which agreement shall include, at a minimum, a full and general release of all claims (including employment-related claims) to the greatest extent allowed by applicable law, a covenant not to sue, and an agreement to be reasonably available for consultation and assistance to the Company during any period in which severance is paid, and an agreement to return to the Company all Company property and copies thereof in any form or media.</w:t>
      </w:r>
    </w:p>
    <w:p>
      <w:pPr>
        <w:spacing w:after="0" w:line="16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6.04</w:t>
      </w:r>
      <w:r>
        <w:rPr>
          <w:sz w:val="20"/>
          <w:szCs w:val="20"/>
          <w:color w:val="auto"/>
        </w:rPr>
        <w:tab/>
      </w:r>
      <w:r>
        <w:rPr>
          <w:rFonts w:ascii="Times New Roman" w:cs="Times New Roman" w:eastAsia="Times New Roman" w:hAnsi="Times New Roman"/>
          <w:sz w:val="17"/>
          <w:szCs w:val="17"/>
          <w:color w:val="auto"/>
        </w:rPr>
        <w:t>Any of the following events shall constitute “</w:t>
      </w:r>
      <w:r>
        <w:rPr>
          <w:rFonts w:ascii="Times New Roman" w:cs="Times New Roman" w:eastAsia="Times New Roman" w:hAnsi="Times New Roman"/>
          <w:sz w:val="17"/>
          <w:szCs w:val="17"/>
          <w:b w:val="1"/>
          <w:bCs w:val="1"/>
          <w:color w:val="auto"/>
        </w:rPr>
        <w:t>Cause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left="1620" w:hanging="321"/>
        <w:spacing w:after="0" w:line="265"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conviction or nolo contendere plea by Employee to a felony, gross misdemeanor, a misdemeanor involving moral turpitude, or any conduct by Employee that has or can reasonably be expected to have a detrimental effect on the Company or its image, or the image or reputation of its management, the Company’s customers, or its employees;</w:t>
      </w:r>
    </w:p>
    <w:p>
      <w:pPr>
        <w:spacing w:after="0" w:line="175" w:lineRule="exact"/>
        <w:rPr>
          <w:rFonts w:ascii="Times New Roman" w:cs="Times New Roman" w:eastAsia="Times New Roman" w:hAnsi="Times New Roman"/>
          <w:sz w:val="18"/>
          <w:szCs w:val="18"/>
          <w:color w:val="auto"/>
        </w:rPr>
      </w:pPr>
    </w:p>
    <w:p>
      <w:pPr>
        <w:ind w:left="1620" w:hanging="321"/>
        <w:spacing w:after="0" w:line="280"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of misconduct involving dishonesty which is injurious to the Company, any willful or gross negligence in the performance of duties, or any breach of fiduciary or other duty with respect to the Company;</w:t>
      </w:r>
    </w:p>
    <w:p>
      <w:pPr>
        <w:spacing w:after="0" w:line="162" w:lineRule="exact"/>
        <w:rPr>
          <w:rFonts w:ascii="Times New Roman" w:cs="Times New Roman" w:eastAsia="Times New Roman" w:hAnsi="Times New Roman"/>
          <w:sz w:val="18"/>
          <w:szCs w:val="18"/>
          <w:color w:val="auto"/>
        </w:rPr>
      </w:pPr>
    </w:p>
    <w:p>
      <w:pPr>
        <w:jc w:val="both"/>
        <w:ind w:left="1620" w:hanging="321"/>
        <w:spacing w:after="0" w:line="255"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of this Agreement or of the Company’s published or written rules, codes or polices; provided, however, that such breach shall not constitute Cause if Employee cures or remedies such breach within 15 days after written notice to Employee, without material harm or loss to the Company, unless (i) such breach is part of a pattern of chronic breaches of the same, which may (but shall not be required to) be evidenced by a report or warning letter given by the Company to Employee; or (ii) such breach is of a nature that it is reasonably deemed by the Board not to be curable, including situations where the Board reasonably determines that harm or loss to the Company has already occurred or can reasonably be expected to occur and cannot be eliminated by such cure;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99" w:name="page100"/>
    <w:bookmarkEnd w:id="99"/>
    <w:p>
      <w:pPr>
        <w:jc w:val="both"/>
        <w:ind w:left="1620" w:hanging="321"/>
        <w:spacing w:after="0" w:line="255"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of insubordination by Employee; provided, however, an act of insubordination by Employee shall not constitute Cause if Employee cures or remedies such insubordination within 15 days after written notice to Employee, without material harm or loss to the Company, unless (i) such insubordination is a part of a pattern of chronic insubordination, which may be evidenced by a report or warning letter given by the Company to Employee; or (ii) such insubordination is of a nature that it is reasonably deemed by the Board not to be curable, including situations where the Board reasonably determines that harm or loss to the Company has already occurred or can reasonably be expected to occur and cannot be eliminated by such cure;</w:t>
      </w:r>
    </w:p>
    <w:p>
      <w:pPr>
        <w:spacing w:after="0" w:line="187" w:lineRule="exact"/>
        <w:rPr>
          <w:rFonts w:ascii="Times New Roman" w:cs="Times New Roman" w:eastAsia="Times New Roman" w:hAnsi="Times New Roman"/>
          <w:sz w:val="18"/>
          <w:szCs w:val="18"/>
          <w:color w:val="auto"/>
        </w:rPr>
      </w:pPr>
    </w:p>
    <w:p>
      <w:pPr>
        <w:jc w:val="both"/>
        <w:ind w:left="1620" w:hanging="321"/>
        <w:spacing w:after="0" w:line="265"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disclosure of any Company trade secret or Confidential Information other than for the legitimate business purposes of the Company or as required by law, or conduct constituting unfair competition with respect to the Company, including intentionally inducing a party to breach a contract with the Company;</w:t>
      </w:r>
    </w:p>
    <w:p>
      <w:pPr>
        <w:spacing w:after="0" w:line="175" w:lineRule="exact"/>
        <w:rPr>
          <w:rFonts w:ascii="Times New Roman" w:cs="Times New Roman" w:eastAsia="Times New Roman" w:hAnsi="Times New Roman"/>
          <w:sz w:val="18"/>
          <w:szCs w:val="18"/>
          <w:color w:val="auto"/>
        </w:rPr>
      </w:pPr>
    </w:p>
    <w:p>
      <w:pPr>
        <w:ind w:left="1620" w:hanging="321"/>
        <w:spacing w:after="0" w:line="280"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relocation to a state or country that would result in a change to the Company’s rights or Employee’s obligations under this Agreement, including but not limited to the rights and obligations contained in Article 9; or</w:t>
      </w:r>
    </w:p>
    <w:p>
      <w:pPr>
        <w:spacing w:after="0" w:line="162" w:lineRule="exact"/>
        <w:rPr>
          <w:rFonts w:ascii="Times New Roman" w:cs="Times New Roman" w:eastAsia="Times New Roman" w:hAnsi="Times New Roman"/>
          <w:sz w:val="18"/>
          <w:szCs w:val="18"/>
          <w:color w:val="auto"/>
        </w:rPr>
      </w:pPr>
    </w:p>
    <w:p>
      <w:pPr>
        <w:ind w:left="1620" w:hanging="321"/>
        <w:spacing w:after="0"/>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willful violation of federal or state securities laws or employment laws.</w:t>
      </w:r>
    </w:p>
    <w:p>
      <w:pPr>
        <w:spacing w:after="0" w:line="223"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color w:val="auto"/>
        </w:rPr>
        <w:t>In making such determination of Cause, the Board shall act in good faith and give Employee a reasonably detailed written notice in advance of the termination. For purposes of this Agreement, no act or failure by the Employee shall be considered “willful” if such act is done by Employee in good faith in the belief that such act is or was lawful and in the best interest of the Company or one or more of its businesses.</w:t>
      </w:r>
    </w:p>
    <w:p>
      <w:pPr>
        <w:spacing w:after="0" w:line="17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6.05</w:t>
      </w:r>
      <w:r>
        <w:rPr>
          <w:sz w:val="20"/>
          <w:szCs w:val="20"/>
          <w:color w:val="auto"/>
        </w:rPr>
        <w:tab/>
      </w:r>
      <w:r>
        <w:rPr>
          <w:rFonts w:ascii="Times New Roman" w:cs="Times New Roman" w:eastAsia="Times New Roman" w:hAnsi="Times New Roman"/>
          <w:sz w:val="17"/>
          <w:szCs w:val="17"/>
          <w:color w:val="auto"/>
        </w:rPr>
        <w:t>For purposes of this Agreement, “</w:t>
      </w:r>
      <w:r>
        <w:rPr>
          <w:rFonts w:ascii="Times New Roman" w:cs="Times New Roman" w:eastAsia="Times New Roman" w:hAnsi="Times New Roman"/>
          <w:sz w:val="17"/>
          <w:szCs w:val="17"/>
          <w:b w:val="1"/>
          <w:bCs w:val="1"/>
          <w:color w:val="auto"/>
        </w:rPr>
        <w:t>Change of Control</w:t>
      </w:r>
      <w:r>
        <w:rPr>
          <w:rFonts w:ascii="Times New Roman" w:cs="Times New Roman" w:eastAsia="Times New Roman" w:hAnsi="Times New Roman"/>
          <w:sz w:val="17"/>
          <w:szCs w:val="17"/>
          <w:color w:val="auto"/>
        </w:rPr>
        <w:t>” shall mean any one of the following:</w:t>
      </w:r>
    </w:p>
    <w:p>
      <w:pPr>
        <w:spacing w:after="0" w:line="227" w:lineRule="exact"/>
        <w:rPr>
          <w:sz w:val="20"/>
          <w:szCs w:val="20"/>
          <w:color w:val="auto"/>
        </w:rPr>
      </w:pPr>
    </w:p>
    <w:p>
      <w:pPr>
        <w:jc w:val="both"/>
        <w:ind w:left="1620" w:hanging="321"/>
        <w:spacing w:after="0" w:line="252"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by any individual, entity or group, within the meaning of Section 13(d)(3) or 14(d)(2) of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of 50% or more of the combined voting power of the Company’s outstanding voting securities, immediately after such acquisition, entitled to vote generally in the election of directors; provided, however, that the following acquisitions shall not constitute a Change of Control and shall be disregarded in determining whether any Change of Control shall have occurred: (i) any acquisition of common stock of the Company (the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or other securities directly from the Company; (ii) any acquisition of Stock or other securities by the Company or any subsidiary; (iii) any acquisition of Stock or other securities by the trustee or other fiduciary of any employee benefit plan or trust sponsored by the Company or any subsidiary; or (iv) any acquisition of Stock or other securities by any corporation with respect to which, immediately after such acquisition, more than 50% of the Stock or other securities is beneficially owned by substantially all of the individuals and entities who were beneficial owners of Stock and other securities of the Company immediately prior to such acquisition in substantially similar proportions immediately before and after such acquisition;</w:t>
      </w:r>
    </w:p>
    <w:p>
      <w:pPr>
        <w:spacing w:after="0" w:line="192" w:lineRule="exact"/>
        <w:rPr>
          <w:rFonts w:ascii="Times New Roman" w:cs="Times New Roman" w:eastAsia="Times New Roman" w:hAnsi="Times New Roman"/>
          <w:sz w:val="18"/>
          <w:szCs w:val="18"/>
          <w:color w:val="auto"/>
        </w:rPr>
      </w:pPr>
    </w:p>
    <w:p>
      <w:pPr>
        <w:jc w:val="both"/>
        <w:ind w:left="1620" w:hanging="321"/>
        <w:spacing w:after="0" w:line="259"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shareholders of the Company of a reorganization, merger, consolidation, liquidation, dissolution, sale or statutory exchange of Stock which changes the beneficial ownership of Stock and other securities so that after the immediately previous owners of 50% of the Stock and other voting securities do not own 50% of the Stock and other voting securities either legally or beneficially;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00" w:name="page101"/>
    <w:bookmarkEnd w:id="100"/>
    <w:p>
      <w:pPr>
        <w:ind w:left="1620" w:hanging="321"/>
        <w:spacing w:after="0" w:line="280"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Company’s assets in a transaction with a third party, other than in connection with a joint venture or similar transaction, as reasonably determined by the Board; or</w:t>
      </w:r>
    </w:p>
    <w:p>
      <w:pPr>
        <w:spacing w:after="0" w:line="162" w:lineRule="exact"/>
        <w:rPr>
          <w:rFonts w:ascii="Times New Roman" w:cs="Times New Roman" w:eastAsia="Times New Roman" w:hAnsi="Times New Roman"/>
          <w:sz w:val="18"/>
          <w:szCs w:val="18"/>
          <w:color w:val="auto"/>
        </w:rPr>
      </w:pPr>
    </w:p>
    <w:p>
      <w:pPr>
        <w:ind w:left="1620" w:right="20" w:hanging="321"/>
        <w:spacing w:after="0" w:line="280"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of the Company with another entity after which the pre-merger shareholders of the Company own less than 50% of the issued and outstanding voting securities of the surviving corporation.</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Notwithstanding the foregoing, a “Change of Control” shall not be deemed to occur with respect to Employee if the acquisition of a 50% or greater interest is by a group that includes Employee, nor shall it be deemed to occur if at least 50% of the voting securities of the Company owned before the occurrence are beneficially owned subsequent to the occurrence by a group that includes Employee.</w:t>
      </w:r>
    </w:p>
    <w:p>
      <w:pPr>
        <w:spacing w:after="0" w:line="175"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6.06 Upon any termination of Employee’s employment with the Company, Employee will immediately return to the Company all equipment, property and documents of the Company, including, specifically all property and documents containing any Confidential Information (as defined in Section 8.01).</w:t>
      </w:r>
    </w:p>
    <w:p>
      <w:pPr>
        <w:spacing w:after="0" w:line="175"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6.07 Upon any termination of Employee’s employment with the Company, Employee shall be deemed to have resigned from all other positions Employee then holds as an officer, employee or director or other independent contractor of the Company or any of its subsidiaries or affiliates, unless otherwise agreed by the Company and Employee in writing, and Employee will execute all documents reasonably requested of him to confirm such resignations.</w:t>
      </w:r>
    </w:p>
    <w:p>
      <w:pPr>
        <w:spacing w:after="0" w:line="183"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6.08 Throughout the duration of Employee’s employment and for 12 months after the date of Employee’s termination of employment, Employee shall not, directly or indirectly, make or publish any disparaging statements (whether written or oral) regarding the Company or any of its then-affiliated companies or businesses, or the affiliates, directors, officers, agents, principal shareholders or customers of any of them. Information that Employee is required to make or disclose to comply with laws or regulations, or makes in a pleading on the advice of litigation counsel, shall not constitute a disparaging statement.</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LIMITATIONS UNDER CODE SECTIONS 409A AND 280G</w:t>
      </w:r>
    </w:p>
    <w:p>
      <w:pPr>
        <w:spacing w:after="0" w:line="205"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7.01 Notwithstanding any other provision of this Agreement, the Company and Employee intend that any payments, benefits or other provisions applicable to this Agreement comply with the payout and other limitations and restrictions imposed under Section 409A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of the Internal Revenue Code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as clarified or modified by guidance from the U.S. Department of Treasury or the Internal Revenue Service—in each case if and to the extent Section 409A is otherwise applicable to this Agreement and such compliance is necessary to avoid the penalties otherwise imposed under Section 409A. In this regard, the Company and Employee agree that the payments, benefits and other provisions applicable to this Agreement, and the terms of any deferral and other rights regarding this Agreement, shall be deemed modified if and to the extent necessary to comply with the payout and other limitations and restrictions imposed under Section 409A, as clarified or supplemented by guidance from the U.S. Department of Treasury or the Internal Revenue Service—in each case if and to the extent Section 409A is otherwise applicable to this Agreement and such compliance is necessary to avoid the penalties otherwise imposed under Section 409A.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01" w:name="page102"/>
    <w:bookmarkEnd w:id="101"/>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7.02 The Company may withhold from any amounts payable under this Agreement all federal, state, city or other taxes, and other amounts required by applicable law to be withheld by the Company.</w:t>
      </w:r>
    </w:p>
    <w:p>
      <w:pPr>
        <w:spacing w:after="0" w:line="163"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7.03 Notwithstanding any provision in this Agreement to the contrary, the total severance benefit payable to the Employee during the first six months following the Employee’s termination of employment, if any, shall not exceed the lesser of two times the Employee’s annual compensation or the amount specified in Section 409A. Any amounts that cannot be paid because of this limitation shall be paid in a lump sum on the first day of the seventh month following the Employee’s termination of employment.</w:t>
      </w:r>
    </w:p>
    <w:p>
      <w:pPr>
        <w:spacing w:after="0" w:line="183"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7.04 Notwithstanding anything to the contrary contained herein, if any payments or benefits provided under this Agreement constitute “parachute payments” within the meaning of Section 280G of the Code (the “</w:t>
      </w:r>
      <w:r>
        <w:rPr>
          <w:rFonts w:ascii="Times New Roman" w:cs="Times New Roman" w:eastAsia="Times New Roman" w:hAnsi="Times New Roman"/>
          <w:sz w:val="18"/>
          <w:szCs w:val="18"/>
          <w:b w:val="1"/>
          <w:bCs w:val="1"/>
          <w:color w:val="auto"/>
        </w:rPr>
        <w:t>Parachute Payments</w:t>
      </w:r>
      <w:r>
        <w:rPr>
          <w:rFonts w:ascii="Times New Roman" w:cs="Times New Roman" w:eastAsia="Times New Roman" w:hAnsi="Times New Roman"/>
          <w:sz w:val="18"/>
          <w:szCs w:val="18"/>
          <w:color w:val="auto"/>
        </w:rPr>
        <w:t>”) and such Parachute Payments are subject to the excise tax imposed by Section 4999 of the Code or nondeductible under Code Section 280G (“</w:t>
      </w:r>
      <w:r>
        <w:rPr>
          <w:rFonts w:ascii="Times New Roman" w:cs="Times New Roman" w:eastAsia="Times New Roman" w:hAnsi="Times New Roman"/>
          <w:sz w:val="18"/>
          <w:szCs w:val="18"/>
          <w:b w:val="1"/>
          <w:bCs w:val="1"/>
          <w:color w:val="auto"/>
        </w:rPr>
        <w:t>Section 280G</w:t>
      </w:r>
      <w:r>
        <w:rPr>
          <w:rFonts w:ascii="Times New Roman" w:cs="Times New Roman" w:eastAsia="Times New Roman" w:hAnsi="Times New Roman"/>
          <w:sz w:val="18"/>
          <w:szCs w:val="18"/>
          <w:color w:val="auto"/>
        </w:rPr>
        <w:t>”), then the Parachute Payments shall be reduced to an amount such that the aggregate of the Parachute Payments does not exceed 2.99 times the “base amount,” as defined in Section 280G, provided that the foregoing reduction shall not take place if, prior to the date of the change in ownership or control of the Company, the Parachute Payments shall have been approved in a vote satisfying the requirements of Section 280G(b)(5) of the Code by persons who, immediately before the change in ownership or control, own more than seventy-five (75%) of the voting power of all outstanding stock of the Company.</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NONDISCLOSURE AND INVENTIONS</w:t>
      </w:r>
    </w:p>
    <w:p>
      <w:pPr>
        <w:spacing w:after="0" w:line="205" w:lineRule="exact"/>
        <w:rPr>
          <w:sz w:val="20"/>
          <w:szCs w:val="20"/>
          <w:color w:val="auto"/>
        </w:rPr>
      </w:pPr>
    </w:p>
    <w:p>
      <w:pPr>
        <w:jc w:val="both"/>
        <w:ind w:firstLine="646"/>
        <w:spacing w:after="0" w:line="251" w:lineRule="auto"/>
        <w:rPr>
          <w:sz w:val="20"/>
          <w:szCs w:val="20"/>
          <w:color w:val="auto"/>
        </w:rPr>
      </w:pPr>
      <w:r>
        <w:rPr>
          <w:rFonts w:ascii="Times New Roman" w:cs="Times New Roman" w:eastAsia="Times New Roman" w:hAnsi="Times New Roman"/>
          <w:sz w:val="18"/>
          <w:szCs w:val="18"/>
          <w:color w:val="auto"/>
        </w:rPr>
        <w:t>8.01 Except as permitted or directed by the Company or as may be required in the proper discharge of Employee’s employment hereunder, Employee shall not, during Employee’s employment or at any time thereafter, divulge, furnish or make accessible to anyone or use in any way any Confidential Information.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any proprietary information or compilation of proprietary information regarding the Company or its subsidiaries or affiliates, that the Employee learns or develops during the course of his/her engagement with the Company (as an employee, contractor or otherwise, whether or not conceived, originated, discovered, or developed in whole or in part by Employee).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includes but is not limited to the following types of information and other information of a similar nature (whether or not reduced to writing), all of which Employee agrees constitutes the valuable trade secrets: research, designs, development, know how, computer programs and processes, marketing plans and techniques, existing and contemplated products and services, potential and actual customers, vendors, investors, acquisition targets, strategic partners, and product names and related information, prices, sales, inventory, personnel, computer programs and related documentation, technical and strategic plans, and finances. “Confidential Information” also includes any information of the foregoing nature that the Company treats as proprietary, whether or not designated as Confidential Information, and whether or not owned or developed by the Company. “Confidential Information” does not include information that (a) is or becomes generally available to the public through no fault of Employee, (b) was known to Employee prior to its disclosure by the Company, as demonstrated by files in existence at the time of the disclosure, (c) becomes known to Employee, without restriction, from a source other than the Company, without breach of this Agreement by Employee and otherwise not in violation of the Company’s rights, or (d) is explicitly approved for release by written authorization of the Company.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02" w:name="page103"/>
    <w:bookmarkEnd w:id="102"/>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8.02 Employee acknowledges and agrees that all inventions, innovations, improvements, developments, methods, designs, trade secrets, analyses, drawings, reports and all similar related information (whether or not patentable) which relate to the Company’s or any of its subsidiaries’ actual or anticipated business, research and development or existing products or services and which are conceived, developed or made by Employee while employed by the Company or any of its subsidiaries (“</w:t>
      </w:r>
      <w:r>
        <w:rPr>
          <w:rFonts w:ascii="Times New Roman" w:cs="Times New Roman" w:eastAsia="Times New Roman" w:hAnsi="Times New Roman"/>
          <w:sz w:val="18"/>
          <w:szCs w:val="18"/>
          <w:b w:val="1"/>
          <w:bCs w:val="1"/>
          <w:color w:val="auto"/>
        </w:rPr>
        <w:t>Work Product</w:t>
      </w:r>
      <w:r>
        <w:rPr>
          <w:rFonts w:ascii="Times New Roman" w:cs="Times New Roman" w:eastAsia="Times New Roman" w:hAnsi="Times New Roman"/>
          <w:sz w:val="18"/>
          <w:szCs w:val="18"/>
          <w:color w:val="auto"/>
        </w:rPr>
        <w:t>”) belong to the Company or such subsidiary. Employee shall promptly disclose such Work Product to the CEO and, at the Company’s expense, perform all actions reasonably requested by the CEO (whether during or after employment by the Company) to establish and confirm such ownership (including, without limitation, assignments, consents, powers of attorney and other instruments). For purposes of this Agreement, any Work Product or other discoveries relating to the business of the Company or any subsidiaries on which Employee files or claims a copyright or files a patent application, during the Term of this Agreement, shall be presumed to be Work Product conceived or developed by Employee in whole or in part during the term of Employee’s employment with the Company, subject to proof to the contrary by good faith, written and duly corroborated records establishing that such Work Product was conceived and made following termination of employment.</w:t>
      </w:r>
    </w:p>
    <w:p>
      <w:pPr>
        <w:spacing w:after="0" w:line="186"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Notwithstanding the foregoing, the Company advises Employee, and Employee understands and agrees, that the foregoing does not apply to inventions or other discoveries for which no equipment, supplies, facility or trade secret information of the Company was used and that was developed entirely on Employee’s own time, and (a) that does not relate (i) directly to the Company’s business or (ii) to the Company’s actual or demonstrably anticipated business research or development, or (b) that does not result from any work performed by Employee for the Company.</w:t>
      </w:r>
    </w:p>
    <w:p>
      <w:pPr>
        <w:spacing w:after="0" w:line="183"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8.03 In the event of a breach or threatened breach by Employee of the provisions of this Article 8, the Company shall be entitled to an injunction restraining Employee from directly or indirectly disclosing, disseminating, publishing or using such confidential, trade secret or proprietary information (whether in whole or in part) and restraining Employee from rendering any services or participating with any person, firm, corporation, association or other entity to whom such knowledge or information (whether in whole or in part) has been disclosed, without the posting of a bond or other security. Nothing herein shall be construed as prohibiting the Company from pursuing any other equitable or legal remedies available to it for such breach or threatened breach, including the recovery of damages from Employee.</w:t>
      </w:r>
    </w:p>
    <w:p>
      <w:pPr>
        <w:spacing w:after="0" w:line="187"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8.04 Employee agrees that all notes, data, reference materials, documents, business plans, business and financial records, computer programs, and other materials that in any way incorporate, embody, or reflect any of the Confidential Information, whether prepared by Employee or others, are the exclusive property of the Company, and Employee agrees to forthwith deliver to the Company all such materials, including all copies or memorializations thereof, in Employee’s possession or control, whenever requested to do so by the Company, and in any event, upon termination of Employee’s employment with the Company.</w:t>
      </w:r>
    </w:p>
    <w:p>
      <w:pPr>
        <w:spacing w:after="0" w:line="183"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8.05 The Employee understands and agrees that any violation of this Article 8 while employed by the Company may result in immediate disciplinary action by the Company, including termination of employment for Cause. Further, Employee may be liable to the Company under the Defend Trade Secrets Act of 2016 (“</w:t>
      </w:r>
      <w:r>
        <w:rPr>
          <w:rFonts w:ascii="Times New Roman" w:cs="Times New Roman" w:eastAsia="Times New Roman" w:hAnsi="Times New Roman"/>
          <w:sz w:val="18"/>
          <w:szCs w:val="18"/>
          <w:b w:val="1"/>
          <w:bCs w:val="1"/>
          <w:color w:val="auto"/>
        </w:rPr>
        <w:t>DTSA</w:t>
      </w:r>
      <w:r>
        <w:rPr>
          <w:rFonts w:ascii="Times New Roman" w:cs="Times New Roman" w:eastAsia="Times New Roman" w:hAnsi="Times New Roman"/>
          <w:sz w:val="18"/>
          <w:szCs w:val="18"/>
          <w:color w:val="auto"/>
        </w:rPr>
        <w:t>”). Employee further understands that by providing Employee with the following notice, the Company may recover from Employee its attorney fees and exemplary damages if it brings a successful claim against Employee under the DTSA: Under the federal Defend Trade Secrets Act of 2016, Employee shall not be held criminally or civilly liable under any federal or state trade secret law for the disclosure of a trade secret that is made: (a)(i) in confidence to a federal, state, or local governmental official, either directly or indirectly, or to an attorney and (ii) solely for the purpose of reporting or investigating a suspected violation of law or (b) in a complaint or other document filed in a lawsuit or other proceeding, if such filing is made under seal. Without limiting the foregoing, if Employee files a lawsuit for retaliation by the Company for reporting a suspected violation of law, Employee may disclose the trade secret to Employee’s attorney and use the trade secret information in the court proceeding, if Employee (i) files any document containing the trade secret under seal and (ii) does not disclose the trade secret, except pursuant to court order.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03" w:name="page104"/>
    <w:bookmarkEnd w:id="103"/>
    <w:p>
      <w:pPr>
        <w:jc w:val="both"/>
        <w:ind w:right="20" w:firstLine="646"/>
        <w:spacing w:after="0" w:line="280" w:lineRule="auto"/>
        <w:rPr>
          <w:sz w:val="20"/>
          <w:szCs w:val="20"/>
          <w:color w:val="auto"/>
        </w:rPr>
      </w:pPr>
      <w:r>
        <w:rPr>
          <w:rFonts w:ascii="Times New Roman" w:cs="Times New Roman" w:eastAsia="Times New Roman" w:hAnsi="Times New Roman"/>
          <w:sz w:val="18"/>
          <w:szCs w:val="18"/>
          <w:color w:val="auto"/>
        </w:rPr>
        <w:t>8.06 The Employee understands and agrees that any violation of this Article 8 while employed by the Company may result in immediate disciplinary action by the Company, including termination of employment for Cause.</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NON-INTERFERENCE AND NON-SOLICITATION</w:t>
      </w:r>
    </w:p>
    <w:p>
      <w:pPr>
        <w:spacing w:after="0" w:line="205"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9.01 Employee agrees that throughout the duration of Employee’s employment and for a period of one year after the termination of Employee’s employment Employee will not directly or indirectly (i) in any way interfere or attempt to interfere with the Company’s relationships with any of its current or potential customers, vendors, investors, business partners, or (ii) employ or attempt to employ any of the Company’s employees, including those who were employees at the Company during the 12 months prior to Employee’s termination at the Company, on behalf of any other entity, whether or not such entity competes with the Company.</w:t>
      </w:r>
    </w:p>
    <w:p>
      <w:pPr>
        <w:spacing w:after="0" w:line="183"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9.02 Employee agrees that breach by Employee of the provisions of this Article 9 will cause the Company irreparable harm that is not fully remedied by monetary damages. In the event of a breach or threatened breach by Employee of the provisions of this Article 9, the Company shall be entitled to an injunction restraining Employee from directly or indirectly competing or recruiting as prohibited herein, without posting a bond or other security, and, if the Company is successful in establishing a breach, to its reasonable attorneys’ fees and costs. Nothing herein shall be construed as prohibiting the Company from pursuing any other equitable or legal remedies available to it for such breach or threatened breach, including the recovery of damages from Employee.</w:t>
      </w:r>
    </w:p>
    <w:p>
      <w:pPr>
        <w:spacing w:after="0" w:line="187"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9.03 Employee understands and agrees that any violation of this Article 9 while employed by the Company may result in immediate disciplinary action by the Company, including termination of employment for Cause.</w:t>
      </w:r>
    </w:p>
    <w:p>
      <w:pPr>
        <w:spacing w:after="0" w:line="163"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9.04 Employee acknowledges that the covenants in this Article 9 have been conditions of, and were incidents to, Employee’s employment, and that these covenants are supported by adequate consideration and are fully enforceable in accordance with their terms.</w:t>
      </w:r>
    </w:p>
    <w:p>
      <w:pPr>
        <w:spacing w:after="0" w:line="163"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9.05 Employee represents and warrants that the Employee is not a party to any non-compete restrictive covenant or related contractual limitation that would interfere with or hinder the Employee's ability to undertake the obligations and expectations of employment with the Company.</w:t>
      </w:r>
    </w:p>
    <w:p>
      <w:pPr>
        <w:spacing w:after="0" w:line="15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5" w:lineRule="exact"/>
        <w:rPr>
          <w:sz w:val="20"/>
          <w:szCs w:val="20"/>
          <w:color w:val="auto"/>
        </w:rPr>
      </w:pPr>
    </w:p>
    <w:p>
      <w:pPr>
        <w:jc w:val="both"/>
        <w:ind w:firstLine="646"/>
        <w:spacing w:after="0" w:line="252" w:lineRule="auto"/>
        <w:rPr>
          <w:sz w:val="20"/>
          <w:szCs w:val="20"/>
          <w:color w:val="auto"/>
        </w:rPr>
      </w:pPr>
      <w:r>
        <w:rPr>
          <w:rFonts w:ascii="Times New Roman" w:cs="Times New Roman" w:eastAsia="Times New Roman" w:hAnsi="Times New Roman"/>
          <w:sz w:val="18"/>
          <w:szCs w:val="18"/>
          <w:color w:val="auto"/>
        </w:rPr>
        <w:t>10.01 Governing Law. This Agreement shall be governed and construed according to the laws of the Commonwealth of Kentucky without regard to conflicts-of-law provisions. The Company and Employee agree that if any action is brought pursuant to this Agreement that is not otherwise required to be resolved by arbitration pursuant to Section 10.06, such dispute shall be resolved only in the District Court of Jefferson County, Kentucky, or the United States District Court for the Western District of Kentucky, and each party hereto unconditionally (a) submits for itself in any proceeding relating to this Agreement, or for recognition and enforcement of any judgment in respect thereof, to the exclusive jurisdiction of the Jefferson County, Kentucky District Courts or the United States Federal District Court for the Western District of Kentucky, and agrees that all claims in respect to any such proceeding shall be heard and determined in Jefferson County, Kentucky District Court or, to the extent permitted by law, in such federal court, (b) consents that any such proceeding may and shall be brought in such courts and waives any objection that it may now or thereafter have to the venue or jurisdiction of any such proceeding in any such court or that such proceeding was brought in an inconvenient court and agrees not to plead or claim the same; (c) waives all right to trial by jury in any proceeding (whether based on contract, tort or otherwise) arising out of or relating to this Agreement, or its performance under or the enforcement of this Agreement; (d) agrees that service of process in any such proceeding may be effected by mailing a copy of such process by registered or certified mail (or any substantially similar form of mail), postage prepaid, to such party at its address as provided in Section 10.08; and (e) agrees that nothing in this Agreement shall affect the right to effect service of process in any other manner permitted by the laws of the Commonwealth of Kentucky.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04" w:name="page105"/>
    <w:bookmarkEnd w:id="104"/>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10.02 Successors. This Agreement is personal to Employee and Employee may not assign or transfer any part of Employee’s rights or duties hereunder, or any compensation due to Employee hereunder, to any other person or entity. This Agreement may be assigned by the Company. In such event, the term “Company,” as used in this Agreement, shall mean the Company as defined above and any successor or assignee to its business or assets that by reason hereof becomes bound by the terms and provisions of this Agreement.</w:t>
      </w:r>
    </w:p>
    <w:p>
      <w:pPr>
        <w:spacing w:after="0" w:line="183"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10.03 Waiver. The waiver by the Company of the breach or nonperformance of any provision of this Agreement by Employee will not operate or be construed as a waiver of any future breach or nonperformance under any such provision or any other provision of this Agreement or any similar agreement with any other Employee.</w:t>
      </w:r>
    </w:p>
    <w:p>
      <w:pPr>
        <w:spacing w:after="0" w:line="175"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10.04 Entire Agreement; Modification. Effective upon the Effective Date, this Agreement supersedes, revokes and replaces any and all prior oral or written understandings, if any, between the parties relating to the subject matter of this Agreement. The parties agree that this Agreement: (a) is the entire understanding and agreement between the parties; and (b) is the complete and exclusive statement of the terms and conditions thereof, and there are no other written or oral agreements in regard to the subject matter of this Agreement. Except for modifications described in Section 1.02, 3.01 and 4.01, this Agreement shall not be changed or modified except by a written document signed by the parties hereto.</w:t>
      </w:r>
    </w:p>
    <w:p>
      <w:pPr>
        <w:spacing w:after="0" w:line="183"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10.05 Severability and Blue Penciling. To the extent that any provision of this Agreement shall be determined to be invalid or unenforceable as written, the validity and enforceability of the remainder of such provision and of this Agreement shall be unaffected. If any particular provision of this Agreement shall be adjudicated to be invalid or unenforceable, the Company and Employee specifically authorize the tribunal making such determination to edit the invalid or unenforceable provision to allow this Agreement, and the provisions thereof, to be valid and enforceable to the fullest extent allowed by law or public policy.</w:t>
      </w:r>
    </w:p>
    <w:p>
      <w:pPr>
        <w:spacing w:after="0" w:line="183"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10.06 Arbitration. Any dispute, claim or controversy arising under this Agreement shall, at the request of any party hereto be resolved by binding arbitration in Jefferson County, Kentucky by a single arbitrator selected by the Company and Employee, with arbitration governed by The United States Arbitration Act (Title 9, U.S. Code); provided, however, that a dispute, claim or controversy shall be subject to adjudication by a court in any proceeding against the Company or Employee involving third parties (in addition to the Company or Employee). Such arbitrator shall be a disinterested person who is either an attorney, retired judge or labor relations arbitrator. In the event the Company and Employee are unable to agree upon such arbitrator, the arbitrator shall, upon petition by either the Company or Employee, be designated by a judge of the Jefferson County District Court. The arbitrator shall have the authority to make awards of damages as would any court in Kentucky having jurisdiction over a dispute between the Company and Employee, except that the arbitrator may not make an award of exemplary damages or consequential damages. In addition, the Company and Employee agree that all other matters arising out of Employee’s employment relationship with the Company shall be arbitrable, unless otherwise restricted by law.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05" w:name="page106"/>
    <w:bookmarkEnd w:id="105"/>
    <w:p>
      <w:pPr>
        <w:jc w:val="both"/>
        <w:spacing w:after="0" w:line="265" w:lineRule="auto"/>
        <w:rPr>
          <w:sz w:val="20"/>
          <w:szCs w:val="20"/>
          <w:color w:val="auto"/>
        </w:rPr>
      </w:pPr>
      <w:r>
        <w:rPr>
          <w:rFonts w:ascii="Times New Roman" w:cs="Times New Roman" w:eastAsia="Times New Roman" w:hAnsi="Times New Roman"/>
          <w:sz w:val="18"/>
          <w:szCs w:val="18"/>
          <w:color w:val="auto"/>
        </w:rPr>
        <w:t>In any arbitration proceeding, each party shall pay the fees and expenses of its or Employee’s own legal counsel; provided that the arbitrator, in his or her discretion, shall award legal fees and expenses and costs of the arbitration, including the arbitrator’s fee, to a party who substantially prevails in its claims in such proceeding.</w:t>
      </w:r>
    </w:p>
    <w:p>
      <w:pPr>
        <w:spacing w:after="0" w:line="1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Notwithstanding this Section 10.06, in the event of alleged noncompliance or violation, as the case may be, of Article 8 or Article 9 of this Agreement, the Company may, at its discretion, alternatively apply to a court of competent jurisdiction for a temporary restraining order, injunctive and/or such other legal and equitable remedies as may be appropriate.</w:t>
      </w:r>
    </w:p>
    <w:p>
      <w:pPr>
        <w:spacing w:after="0" w:line="175" w:lineRule="exact"/>
        <w:rPr>
          <w:sz w:val="20"/>
          <w:szCs w:val="20"/>
          <w:color w:val="auto"/>
        </w:rPr>
      </w:pPr>
    </w:p>
    <w:p>
      <w:pPr>
        <w:jc w:val="both"/>
        <w:ind w:firstLine="646"/>
        <w:spacing w:after="0" w:line="259" w:lineRule="auto"/>
        <w:rPr>
          <w:sz w:val="20"/>
          <w:szCs w:val="20"/>
          <w:color w:val="auto"/>
        </w:rPr>
      </w:pPr>
      <w:r>
        <w:rPr>
          <w:rFonts w:ascii="Times New Roman" w:cs="Times New Roman" w:eastAsia="Times New Roman" w:hAnsi="Times New Roman"/>
          <w:sz w:val="18"/>
          <w:szCs w:val="18"/>
          <w:color w:val="auto"/>
        </w:rPr>
        <w:t>10.07 Legal Fees. If any contest or dispute shall arise between the Company and Employee regarding any provision of this Agreement, and such dispute results in court proceedings or arbitration, a party that prevails with respect to a claim brought and pursued in connection with such dispute shall be entitled to recover its legal fees and expenses reasonably incurred in connection with such dispute. Such reimbursement shall be made as soon as practicable following the resolution of the dispute (whether or not appealed) to the extent a party receives documented evidence of such fees and expenses.</w:t>
      </w:r>
    </w:p>
    <w:p>
      <w:pPr>
        <w:spacing w:after="0" w:line="183"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10.08 Notices. For purposes of this Agreement, notices and all other communications provided for herein shall be in writing and shall be deemed to have been duly given when personally delivered or sent by certified mail, return receipt requested, postage prepaid, addressed to Employee at Employee’s residence address appearing on the records of the Company and to the Company at its then-current Employee offices to the attention of the CEO or Chairman of the Board. All notices and communications shall be deemed to have been received on the date of delivery thereof or on the third business day after the mailing thereof, except that notice of change of address shall be effective only upon actual receipt. No objection to the method of delivery may be made if the written notice or other communication is actually received.</w:t>
      </w:r>
    </w:p>
    <w:p>
      <w:pPr>
        <w:spacing w:after="0" w:line="187"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10.09 Survival. The provisions of Sections 6.06, 6.07, and 6.08, Article 7, Article 8, Article 9 and this Article 10 shall survive the termination of this Agreement, indefinitely.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Employment Agreement to be effective as of the date first set forth above.</w:t>
      </w:r>
    </w:p>
    <w:p>
      <w:pPr>
        <w:spacing w:after="0" w:line="200" w:lineRule="exact"/>
        <w:rPr>
          <w:sz w:val="20"/>
          <w:szCs w:val="20"/>
          <w:color w:val="auto"/>
        </w:rPr>
      </w:pPr>
    </w:p>
    <w:p>
      <w:pPr>
        <w:spacing w:after="0" w:line="23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18415</wp:posOffset>
            </wp:positionV>
            <wp:extent cx="27076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2707640"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 xml:space="preserve">Richard Mills, </w:t>
      </w: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/s/ Tamra Koshewa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18415</wp:posOffset>
            </wp:positionV>
            <wp:extent cx="27076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2707640"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Tamra Koshewa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 xml:space="preserve">Signature Page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Employment Agreement</w:t>
      </w:r>
    </w:p>
    <w:p>
      <w:pPr>
        <w:sectPr>
          <w:pgSz w:w="11900" w:h="16838" w:orient="portrait"/>
          <w:cols w:equalWidth="0" w:num="1">
            <w:col w:w="10580"/>
          </w:cols>
          <w:pgMar w:left="980" w:top="821"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Our significant subsidiaries are as follows:</w:t>
            </w:r>
          </w:p>
        </w:tc>
        <w:tc>
          <w:tcPr>
            <w:tcW w:w="200" w:type="dxa"/>
            <w:vAlign w:val="bottom"/>
          </w:tcPr>
          <w:p>
            <w:pPr>
              <w:spacing w:after="0"/>
              <w:rPr>
                <w:sz w:val="20"/>
                <w:szCs w:val="20"/>
                <w:color w:val="auto"/>
              </w:rPr>
            </w:pPr>
          </w:p>
        </w:tc>
        <w:tc>
          <w:tcPr>
            <w:tcW w:w="5520" w:type="dxa"/>
            <w:vAlign w:val="bottom"/>
          </w:tcPr>
          <w:p>
            <w:pPr>
              <w:spacing w:after="0"/>
              <w:rPr>
                <w:sz w:val="20"/>
                <w:szCs w:val="20"/>
                <w:color w:val="auto"/>
              </w:rPr>
            </w:pPr>
          </w:p>
        </w:tc>
      </w:tr>
      <w:tr>
        <w:trPr>
          <w:trHeight w:val="43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7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190"/>
        </w:trPr>
        <w:tc>
          <w:tcPr>
            <w:tcW w:w="552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8"/>
                <w:szCs w:val="18"/>
                <w:color w:val="auto"/>
              </w:rPr>
              <w:t>Cineplex Digital Media, Inc.</w:t>
            </w:r>
          </w:p>
        </w:tc>
        <w:tc>
          <w:tcPr>
            <w:tcW w:w="200" w:type="dxa"/>
            <w:vAlign w:val="bottom"/>
          </w:tcPr>
          <w:p>
            <w:pPr>
              <w:spacing w:after="0"/>
              <w:rPr>
                <w:sz w:val="16"/>
                <w:szCs w:val="16"/>
                <w:color w:val="auto"/>
              </w:rPr>
            </w:pPr>
          </w:p>
        </w:tc>
        <w:tc>
          <w:tcPr>
            <w:tcW w:w="552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8"/>
                <w:szCs w:val="18"/>
                <w:color w:val="auto"/>
              </w:rPr>
              <w:t>Ontario</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Cineplex Digital Media US, Inc.</w:t>
            </w:r>
          </w:p>
        </w:tc>
        <w:tc>
          <w:tcPr>
            <w:tcW w:w="5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1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issued our report dated April 15, 2026, with respect to the consolidated financial statements included in the Annual Report of Creative Realities, Inc. on Form 10-K for the year ended December 31, 2025. We consent to the incorporation by reference of said report in the Registration Statements of Creative Realities, Inc. on Forms S-3 (File No. 333-272202, File No. 333-265699, File No. 333-262516, File No. 333-239108, and File No. 333-292278) and on Forms S-8 (File No. 333-257288 and File No. 333-285644).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2026</w:t>
      </w:r>
    </w:p>
    <w:p>
      <w:pPr>
        <w:sectPr>
          <w:pgSz w:w="11900" w:h="16838" w:orient="portrait"/>
          <w:cols w:equalWidth="0" w:num="1">
            <w:col w:w="11240"/>
          </w:cols>
          <w:pgMar w:left="320" w:top="117" w:right="339" w:bottom="1440" w:gutter="0" w:footer="0" w:header="0"/>
        </w:sectPr>
      </w:pPr>
    </w:p>
    <w:bookmarkStart w:id="109" w:name="page110"/>
    <w:bookmarkEnd w:id="109"/>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Mills, certify that:</w:t>
      </w:r>
    </w:p>
    <w:p>
      <w:pPr>
        <w:spacing w:after="0" w:line="223" w:lineRule="exact"/>
        <w:rPr>
          <w:sz w:val="20"/>
          <w:szCs w:val="20"/>
          <w:color w:val="auto"/>
        </w:rPr>
      </w:pPr>
    </w:p>
    <w:p>
      <w:pPr>
        <w:ind w:left="500" w:hanging="170"/>
        <w:spacing w:after="0"/>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Creative Realities, Inc.;</w:t>
      </w:r>
    </w:p>
    <w:p>
      <w:pPr>
        <w:spacing w:after="0" w:line="223" w:lineRule="exact"/>
        <w:rPr>
          <w:rFonts w:ascii="Times New Roman" w:cs="Times New Roman" w:eastAsia="Times New Roman" w:hAnsi="Times New Roman"/>
          <w:sz w:val="18"/>
          <w:szCs w:val="18"/>
          <w:color w:val="auto"/>
        </w:rPr>
      </w:pPr>
    </w:p>
    <w:p>
      <w:pPr>
        <w:jc w:val="both"/>
        <w:ind w:right="300" w:firstLine="330"/>
        <w:spacing w:after="0" w:line="311" w:lineRule="auto"/>
        <w:tabs>
          <w:tab w:leader="none" w:pos="502"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260" w:firstLine="330"/>
        <w:spacing w:after="0" w:line="280" w:lineRule="auto"/>
        <w:tabs>
          <w:tab w:leader="none" w:pos="50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120" w:firstLine="330"/>
        <w:spacing w:after="0" w:line="265" w:lineRule="auto"/>
        <w:tabs>
          <w:tab w:leader="none" w:pos="50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sz w:val="20"/>
          <w:szCs w:val="20"/>
          <w:color w:val="auto"/>
        </w:rPr>
      </w:pPr>
    </w:p>
    <w:p>
      <w:pPr>
        <w:ind w:right="40" w:firstLine="330"/>
        <w:spacing w:after="0" w:line="265" w:lineRule="auto"/>
        <w:tabs>
          <w:tab w:leader="none" w:pos="50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 w:firstLine="330"/>
        <w:spacing w:after="0" w:line="265" w:lineRule="auto"/>
        <w:tabs>
          <w:tab w:leader="none" w:pos="51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80" w:firstLine="330"/>
        <w:spacing w:after="0" w:line="280" w:lineRule="auto"/>
        <w:tabs>
          <w:tab w:leader="none" w:pos="50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right="100" w:firstLine="330"/>
        <w:spacing w:after="0" w:line="265" w:lineRule="auto"/>
        <w:tabs>
          <w:tab w:leader="none" w:pos="51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sz w:val="20"/>
          <w:szCs w:val="20"/>
          <w:color w:val="auto"/>
        </w:rPr>
      </w:pPr>
    </w:p>
    <w:p>
      <w:pPr>
        <w:ind w:firstLine="330"/>
        <w:spacing w:after="0" w:line="280" w:lineRule="auto"/>
        <w:tabs>
          <w:tab w:leader="none" w:pos="50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firstLine="330"/>
        <w:spacing w:after="0" w:line="280" w:lineRule="auto"/>
        <w:tabs>
          <w:tab w:leader="none" w:pos="50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right="40" w:firstLine="330"/>
        <w:spacing w:after="0" w:line="280" w:lineRule="auto"/>
        <w:tabs>
          <w:tab w:leader="none" w:pos="51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15,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17145</wp:posOffset>
            </wp:positionV>
            <wp:extent cx="26308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2630805"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Richard Mills</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110" w:name="page111"/>
    <w:bookmarkEnd w:id="110"/>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Tamra Koshewa, certify that:</w:t>
      </w:r>
    </w:p>
    <w:p>
      <w:pPr>
        <w:spacing w:after="0" w:line="223" w:lineRule="exact"/>
        <w:rPr>
          <w:sz w:val="20"/>
          <w:szCs w:val="20"/>
          <w:color w:val="auto"/>
        </w:rPr>
      </w:pPr>
    </w:p>
    <w:p>
      <w:pPr>
        <w:ind w:left="500" w:hanging="170"/>
        <w:spacing w:after="0"/>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Creative Realities, Inc.;</w:t>
      </w:r>
    </w:p>
    <w:p>
      <w:pPr>
        <w:spacing w:after="0" w:line="223" w:lineRule="exact"/>
        <w:rPr>
          <w:rFonts w:ascii="Times New Roman" w:cs="Times New Roman" w:eastAsia="Times New Roman" w:hAnsi="Times New Roman"/>
          <w:sz w:val="18"/>
          <w:szCs w:val="18"/>
          <w:color w:val="auto"/>
        </w:rPr>
      </w:pPr>
    </w:p>
    <w:p>
      <w:pPr>
        <w:jc w:val="both"/>
        <w:ind w:right="300" w:firstLine="330"/>
        <w:spacing w:after="0" w:line="311" w:lineRule="auto"/>
        <w:tabs>
          <w:tab w:leader="none" w:pos="502"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260" w:firstLine="330"/>
        <w:spacing w:after="0" w:line="280" w:lineRule="auto"/>
        <w:tabs>
          <w:tab w:leader="none" w:pos="50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120" w:firstLine="330"/>
        <w:spacing w:after="0" w:line="265" w:lineRule="auto"/>
        <w:tabs>
          <w:tab w:leader="none" w:pos="50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sz w:val="20"/>
          <w:szCs w:val="20"/>
          <w:color w:val="auto"/>
        </w:rPr>
      </w:pPr>
    </w:p>
    <w:p>
      <w:pPr>
        <w:ind w:right="40" w:firstLine="330"/>
        <w:spacing w:after="0" w:line="265" w:lineRule="auto"/>
        <w:tabs>
          <w:tab w:leader="none" w:pos="50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 w:firstLine="330"/>
        <w:spacing w:after="0" w:line="265" w:lineRule="auto"/>
        <w:tabs>
          <w:tab w:leader="none" w:pos="51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80" w:firstLine="330"/>
        <w:spacing w:after="0" w:line="280" w:lineRule="auto"/>
        <w:tabs>
          <w:tab w:leader="none" w:pos="50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right="100" w:firstLine="330"/>
        <w:spacing w:after="0" w:line="265" w:lineRule="auto"/>
        <w:tabs>
          <w:tab w:leader="none" w:pos="51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sz w:val="20"/>
          <w:szCs w:val="20"/>
          <w:color w:val="auto"/>
        </w:rPr>
      </w:pPr>
    </w:p>
    <w:p>
      <w:pPr>
        <w:ind w:firstLine="330"/>
        <w:spacing w:after="0" w:line="280" w:lineRule="auto"/>
        <w:tabs>
          <w:tab w:leader="none" w:pos="50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firstLine="330"/>
        <w:spacing w:after="0" w:line="280" w:lineRule="auto"/>
        <w:tabs>
          <w:tab w:leader="none" w:pos="50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right="40" w:firstLine="330"/>
        <w:spacing w:after="0" w:line="280" w:lineRule="auto"/>
        <w:tabs>
          <w:tab w:leader="none" w:pos="51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15,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Tamra Koshewa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17145</wp:posOffset>
            </wp:positionV>
            <wp:extent cx="26308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2630805"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Tamra Koshewa</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Creative Realities, Inc. (the “Company”) on Form 10-K for the year ended December 31, 2025, as filed with the Securities and Exchange Commission on the date hereof (the “Report”), I, Richard Mills, certify, pursuant to 18 U.S.C. Section 1350, as adopted pursuant to Section 906 of the Sarbanes-Oxley Act of 2002, that:</w:t>
      </w:r>
    </w:p>
    <w:p>
      <w:pPr>
        <w:spacing w:after="0" w:line="175" w:lineRule="exact"/>
        <w:rPr>
          <w:sz w:val="20"/>
          <w:szCs w:val="20"/>
          <w:color w:val="auto"/>
        </w:rPr>
      </w:pPr>
    </w:p>
    <w:p>
      <w:pPr>
        <w:ind w:left="500" w:hanging="170"/>
        <w:spacing w:after="0"/>
        <w:tabs>
          <w:tab w:leader="none" w:pos="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3" w:lineRule="exact"/>
        <w:rPr>
          <w:rFonts w:ascii="Times New Roman" w:cs="Times New Roman" w:eastAsia="Times New Roman" w:hAnsi="Times New Roman"/>
          <w:sz w:val="18"/>
          <w:szCs w:val="18"/>
          <w:color w:val="auto"/>
        </w:rPr>
      </w:pPr>
    </w:p>
    <w:p>
      <w:pPr>
        <w:ind w:left="500" w:hanging="170"/>
        <w:spacing w:after="0"/>
        <w:tabs>
          <w:tab w:leader="none" w:pos="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ind w:right="580" w:firstLine="323"/>
        <w:spacing w:after="0" w:line="28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15, 2026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r>
      <w:tr>
        <w:trPr>
          <w:trHeight w:val="190"/>
        </w:trPr>
        <w:tc>
          <w:tcPr>
            <w:tcW w:w="580" w:type="dxa"/>
            <w:vAlign w:val="bottom"/>
          </w:tcPr>
          <w:p>
            <w:pPr>
              <w:spacing w:after="0"/>
              <w:rPr>
                <w:sz w:val="16"/>
                <w:szCs w:val="16"/>
                <w:color w:val="auto"/>
              </w:rPr>
            </w:pPr>
          </w:p>
        </w:tc>
        <w:tc>
          <w:tcPr>
            <w:tcW w:w="404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Richard Mills</w:t>
            </w:r>
          </w:p>
        </w:tc>
      </w:tr>
      <w:tr>
        <w:trPr>
          <w:trHeight w:val="234"/>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 PURSUANT TO</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Creative Realities, Inc. (the “Company”) on Form 10-K for the year ended December 31, 2025, as filed with the Securities and Exchange Commission on the date hereof (the “Report”), I, Tamra Koshewa, certify, pursuant to 18 U.S.C. Section 1350, as adopted pursuant to Section 906 of the Sarbanes-Oxley Act of 2002, that:</w:t>
      </w:r>
    </w:p>
    <w:p>
      <w:pPr>
        <w:spacing w:after="0" w:line="175" w:lineRule="exact"/>
        <w:rPr>
          <w:sz w:val="20"/>
          <w:szCs w:val="20"/>
          <w:color w:val="auto"/>
        </w:rPr>
      </w:pPr>
    </w:p>
    <w:p>
      <w:pPr>
        <w:ind w:left="500" w:hanging="170"/>
        <w:spacing w:after="0"/>
        <w:tabs>
          <w:tab w:leader="none" w:pos="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3" w:lineRule="exact"/>
        <w:rPr>
          <w:rFonts w:ascii="Times New Roman" w:cs="Times New Roman" w:eastAsia="Times New Roman" w:hAnsi="Times New Roman"/>
          <w:sz w:val="18"/>
          <w:szCs w:val="18"/>
          <w:color w:val="auto"/>
        </w:rPr>
      </w:pPr>
    </w:p>
    <w:p>
      <w:pPr>
        <w:ind w:left="500" w:hanging="170"/>
        <w:spacing w:after="0"/>
        <w:tabs>
          <w:tab w:leader="none" w:pos="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ind w:right="580" w:firstLine="323"/>
        <w:spacing w:after="0" w:line="28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15, 2026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Tamra Koshewa</w:t>
            </w:r>
          </w:p>
        </w:tc>
      </w:tr>
      <w:tr>
        <w:trPr>
          <w:trHeight w:val="190"/>
        </w:trPr>
        <w:tc>
          <w:tcPr>
            <w:tcW w:w="580" w:type="dxa"/>
            <w:vAlign w:val="bottom"/>
          </w:tcPr>
          <w:p>
            <w:pPr>
              <w:spacing w:after="0"/>
              <w:rPr>
                <w:sz w:val="16"/>
                <w:szCs w:val="16"/>
                <w:color w:val="auto"/>
              </w:rPr>
            </w:pPr>
          </w:p>
        </w:tc>
        <w:tc>
          <w:tcPr>
            <w:tcW w:w="404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Tamra Koshewa</w:t>
            </w:r>
          </w:p>
        </w:tc>
      </w:tr>
      <w:tr>
        <w:trPr>
          <w:trHeight w:val="234"/>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lvl w:ilvl="1">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lvl w:ilvl="1">
      <w:lvlJc w:val="left"/>
      <w:lvlText w:val="○"/>
      <w:numFmt w:val="bullet"/>
      <w:start w:val="1"/>
    </w:lvl>
  </w:abstractNum>
  <w:abstractNum w:abstractNumId="12">
    <w:nsid w:val="7A6D8D3C"/>
    <w:multiLevelType w:val="hybridMultilevel"/>
    <w:lvl w:ilvl="0">
      <w:lvlJc w:val="left"/>
      <w:lvlText w:val="●"/>
      <w:numFmt w:val="bullet"/>
      <w:start w:val="1"/>
    </w:lvl>
    <w:lvl w:ilvl="1">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1)"/>
      <w:numFmt w:val="decimal"/>
      <w:start w:val="502"/>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lvl w:ilvl="1">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1)"/>
      <w:numFmt w:val="lowerLetter"/>
      <w:start w:val="1"/>
    </w:lvl>
  </w:abstractNum>
  <w:abstractNum w:abstractNumId="37">
    <w:nsid w:val="235BA861"/>
    <w:multiLevelType w:val="hybridMultilevel"/>
    <w:lvl w:ilvl="0">
      <w:lvlJc w:val="left"/>
      <w:lvlText w:val="(%1)"/>
      <w:numFmt w:val="lowerLetter"/>
      <w:start w:val="3"/>
    </w:lvl>
  </w:abstractNum>
  <w:abstractNum w:abstractNumId="38">
    <w:nsid w:val="47398C89"/>
    <w:multiLevelType w:val="hybridMultilevel"/>
    <w:lvl w:ilvl="0">
      <w:lvlJc w:val="left"/>
      <w:lvlText w:val="(%1)"/>
      <w:numFmt w:val="lowerLetter"/>
      <w:start w:val="1"/>
    </w:lvl>
  </w:abstractNum>
  <w:abstractNum w:abstractNumId="39">
    <w:nsid w:val="354FE9F9"/>
    <w:multiLevelType w:val="hybridMultilevel"/>
    <w:lvl w:ilvl="0">
      <w:lvlJc w:val="left"/>
      <w:lvlText w:val="(%1)"/>
      <w:numFmt w:val="lowerLetter"/>
      <w:start w:val="1"/>
    </w:lvl>
  </w:abstractNum>
  <w:abstractNum w:abstractNumId="40">
    <w:nsid w:val="15B5AF5C"/>
    <w:multiLevelType w:val="hybridMultilevel"/>
    <w:lvl w:ilvl="0">
      <w:lvlJc w:val="left"/>
      <w:lvlText w:val="%1"/>
      <w:numFmt w:val="lowerLetter"/>
      <w:start w:val="1"/>
    </w:lvl>
    <w:lvl w:ilvl="1">
      <w:lvlJc w:val="left"/>
      <w:lvlText w:val="(%2)"/>
      <w:numFmt w:val="lowerLetter"/>
      <w:start w:val="2"/>
    </w:lvl>
  </w:abstractNum>
  <w:abstractNum w:abstractNumId="41">
    <w:nsid w:val="741226BB"/>
    <w:multiLevelType w:val="hybridMultilevel"/>
    <w:lvl w:ilvl="0">
      <w:lvlJc w:val="left"/>
      <w:lvlText w:val="(%1)"/>
      <w:numFmt w:val="lowerLetter"/>
      <w:start w:val="35"/>
    </w:lvl>
    <w:lvl w:ilvl="1">
      <w:lvlJc w:val="left"/>
      <w:lvlText w:val="%2"/>
      <w:numFmt w:val="lowerLetter"/>
      <w:start w:val="1"/>
    </w:lvl>
  </w:abstractNum>
  <w:abstractNum w:abstractNumId="42">
    <w:nsid w:val="D34B6A8"/>
    <w:multiLevelType w:val="hybridMultilevel"/>
    <w:lvl w:ilvl="0">
      <w:lvlJc w:val="left"/>
      <w:lvlText w:val="(%1)"/>
      <w:numFmt w:val="lowerLetter"/>
      <w:start w:val="4"/>
    </w:lvl>
  </w:abstractNum>
  <w:abstractNum w:abstractNumId="43">
    <w:nsid w:val="10233C99"/>
    <w:multiLevelType w:val="hybridMultilevel"/>
    <w:lvl w:ilvl="0">
      <w:lvlJc w:val="left"/>
      <w:lvlText w:val="(%1)"/>
      <w:numFmt w:val="lowerLetter"/>
      <w:start w:val="5"/>
    </w:lvl>
  </w:abstractNum>
  <w:abstractNum w:abstractNumId="44">
    <w:nsid w:val="3F6AB60F"/>
    <w:multiLevelType w:val="hybridMultilevel"/>
    <w:lvl w:ilvl="0">
      <w:lvlJc w:val="left"/>
      <w:lvlText w:val="(%1)"/>
      <w:numFmt w:val="decimal"/>
      <w:start w:val="1"/>
    </w:lvl>
  </w:abstractNum>
  <w:abstractNum w:abstractNumId="45">
    <w:nsid w:val="61574095"/>
    <w:multiLevelType w:val="hybridMultilevel"/>
    <w:lvl w:ilvl="0">
      <w:lvlJc w:val="left"/>
      <w:lvlText w:val="(%1)"/>
      <w:numFmt w:val="lowerLetter"/>
      <w:start w:val="1"/>
    </w:lvl>
  </w:abstractNum>
  <w:abstractNum w:abstractNumId="46">
    <w:nsid w:val="7E0C57B1"/>
    <w:multiLevelType w:val="hybridMultilevel"/>
    <w:lvl w:ilvl="0">
      <w:lvlJc w:val="left"/>
      <w:lvlText w:val="(%1)"/>
      <w:numFmt w:val="decimal"/>
      <w:start w:val="3"/>
    </w:lvl>
  </w:abstractNum>
  <w:abstractNum w:abstractNumId="47">
    <w:nsid w:val="77AE35EB"/>
    <w:multiLevelType w:val="hybridMultilevel"/>
    <w:lvl w:ilvl="0">
      <w:lvlJc w:val="left"/>
      <w:lvlText w:val="(%1)"/>
      <w:numFmt w:val="lowerLetter"/>
      <w:start w:val="1"/>
    </w:lvl>
  </w:abstractNum>
  <w:abstractNum w:abstractNumId="48">
    <w:nsid w:val="579BE4F1"/>
    <w:multiLevelType w:val="hybridMultilevel"/>
    <w:lvl w:ilvl="0">
      <w:lvlJc w:val="left"/>
      <w:lvlText w:val="(%1)"/>
      <w:numFmt w:val="decimal"/>
      <w:start w:val="5"/>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1)"/>
      <w:numFmt w:val="decimal"/>
      <w:start w:val="1"/>
    </w:lvl>
  </w:abstractNum>
  <w:abstractNum w:abstractNumId="52">
    <w:nsid w:val="25A70BF7"/>
    <w:multiLevelType w:val="hybridMultilevel"/>
    <w:lvl w:ilvl="0">
      <w:lvlJc w:val="left"/>
      <w:lvlText w:val="(%1)"/>
      <w:numFmt w:val="decimal"/>
      <w:start w:val="2"/>
    </w:lvl>
  </w:abstractNum>
  <w:abstractNum w:abstractNumId="53">
    <w:nsid w:val="1DBABF00"/>
    <w:multiLevelType w:val="hybridMultilevel"/>
    <w:lvl w:ilvl="0">
      <w:lvlJc w:val="left"/>
      <w:lvlText w:val="(%1)"/>
      <w:numFmt w:val="decimal"/>
      <w:start w:val="11"/>
    </w:lvl>
  </w:abstractNum>
  <w:abstractNum w:abstractNumId="54">
    <w:nsid w:val="4AD084E9"/>
    <w:multiLevelType w:val="hybridMultilevel"/>
    <w:lvl w:ilvl="0">
      <w:lvlJc w:val="left"/>
      <w:lvlText w:val="(%1)"/>
      <w:numFmt w:val="decimal"/>
      <w:start w:val="1"/>
    </w:lvl>
  </w:abstractNum>
  <w:abstractNum w:abstractNumId="55">
    <w:nsid w:val="1F48EAA1"/>
    <w:multiLevelType w:val="hybridMultilevel"/>
    <w:lvl w:ilvl="0">
      <w:lvlJc w:val="left"/>
      <w:lvlText w:val="(%1)"/>
      <w:numFmt w:val="lowerLetter"/>
      <w:start w:val="1"/>
    </w:lvl>
  </w:abstractNum>
  <w:abstractNum w:abstractNumId="56">
    <w:nsid w:val="1381823A"/>
    <w:multiLevelType w:val="hybridMultilevel"/>
    <w:lvl w:ilvl="0">
      <w:lvlJc w:val="left"/>
      <w:lvlText w:val="(%1)"/>
      <w:numFmt w:val="lowerLetter"/>
      <w:start w:val="1"/>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
      <w:numFmt w:val="bullet"/>
      <w:start w:val="1"/>
    </w:lvl>
  </w:abstractNum>
  <w:abstractNum w:abstractNumId="61">
    <w:nsid w:val="5F5E7FD0"/>
    <w:multiLevelType w:val="hybridMultilevel"/>
    <w:lvl w:ilvl="0">
      <w:lvlJc w:val="left"/>
      <w:lvlText w:val="$"/>
      <w:numFmt w:val="bullet"/>
      <w:start w:val="1"/>
    </w:lvl>
  </w:abstractNum>
  <w:abstractNum w:abstractNumId="62">
    <w:nsid w:val="98A3148"/>
    <w:multiLevelType w:val="hybridMultilevel"/>
    <w:lvl w:ilvl="0">
      <w:lvlJc w:val="left"/>
      <w:lvlText w:val="%1."/>
      <w:numFmt w:val="upperLetter"/>
      <w:start w:val="1"/>
    </w:lvl>
  </w:abstractNum>
  <w:abstractNum w:abstractNumId="63">
    <w:nsid w:val="799D0247"/>
    <w:multiLevelType w:val="hybridMultilevel"/>
    <w:lvl w:ilvl="0">
      <w:lvlJc w:val="left"/>
      <w:lvlText w:val="(%1)"/>
      <w:numFmt w:val="lowerLetter"/>
      <w:start w:val="1"/>
    </w:lvl>
  </w:abstractNum>
  <w:abstractNum w:abstractNumId="64">
    <w:nsid w:val="6B94764"/>
    <w:multiLevelType w:val="hybridMultilevel"/>
    <w:lvl w:ilvl="0">
      <w:lvlJc w:val="left"/>
      <w:lvlText w:val="(%1)"/>
      <w:numFmt w:val="lowerLetter"/>
      <w:start w:val="1"/>
    </w:lvl>
  </w:abstractNum>
  <w:abstractNum w:abstractNumId="65">
    <w:nsid w:val="42C296BD"/>
    <w:multiLevelType w:val="hybridMultilevel"/>
    <w:lvl w:ilvl="0">
      <w:lvlJc w:val="left"/>
      <w:lvlText w:val="(%1)"/>
      <w:numFmt w:val="lowerLetter"/>
      <w:start w:val="4"/>
    </w:lvl>
  </w:abstractNum>
  <w:abstractNum w:abstractNumId="66">
    <w:nsid w:val="168E121F"/>
    <w:multiLevelType w:val="hybridMultilevel"/>
    <w:lvl w:ilvl="0">
      <w:lvlJc w:val="left"/>
      <w:lvlText w:val="(%1)"/>
      <w:numFmt w:val="lowerLetter"/>
      <w:start w:val="1"/>
    </w:lvl>
  </w:abstractNum>
  <w:abstractNum w:abstractNumId="67">
    <w:nsid w:val="1EBA5D23"/>
    <w:multiLevelType w:val="hybridMultilevel"/>
    <w:lvl w:ilvl="0">
      <w:lvlJc w:val="left"/>
      <w:lvlText w:val="(%1)"/>
      <w:numFmt w:val="lowerLetter"/>
      <w:start w:val="3"/>
    </w:lvl>
  </w:abstractNum>
  <w:abstractNum w:abstractNumId="68">
    <w:nsid w:val="661E3F1E"/>
    <w:multiLevelType w:val="hybridMultilevel"/>
    <w:lvl w:ilvl="0">
      <w:lvlJc w:val="left"/>
      <w:lvlText w:val="%1."/>
      <w:numFmt w:val="decimal"/>
      <w:start w:val="1"/>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decimal"/>
      <w:start w:val="5"/>
    </w:lvl>
  </w:abstractNum>
  <w:abstractNum w:abstractNumId="71">
    <w:nsid w:val="7BD3EE7B"/>
    <w:multiLevelType w:val="hybridMultilevel"/>
    <w:lvl w:ilvl="0">
      <w:lvlJc w:val="left"/>
      <w:lvlText w:val="%1)"/>
      <w:numFmt w:val="lowerLetter"/>
      <w:start w:val="1"/>
    </w:lvl>
  </w:abstractNum>
  <w:abstractNum w:abstractNumId="72">
    <w:nsid w:val="51D9C564"/>
    <w:multiLevelType w:val="hybridMultilevel"/>
    <w:lvl w:ilvl="0">
      <w:lvlJc w:val="left"/>
      <w:lvlText w:val="%1."/>
      <w:numFmt w:val="decimal"/>
      <w:start w:val="1"/>
    </w:lvl>
  </w:abstractNum>
  <w:abstractNum w:abstractNumId="73">
    <w:nsid w:val="613EFDC5"/>
    <w:multiLevelType w:val="hybridMultilevel"/>
    <w:lvl w:ilvl="0">
      <w:lvlJc w:val="left"/>
      <w:lvlText w:val="%1)"/>
      <w:numFmt w:val="lowerLetter"/>
      <w:start w:val="1"/>
    </w:lvl>
  </w:abstractNum>
  <w:abstractNum w:abstractNumId="74">
    <w:nsid w:val="BF72B14"/>
    <w:multiLevelType w:val="hybridMultilevel"/>
    <w:lvl w:ilvl="0">
      <w:lvlJc w:val="left"/>
      <w:lvlText w:val="%1."/>
      <w:numFmt w:val="decimal"/>
      <w:start w:val="5"/>
    </w:lvl>
  </w:abstractNum>
  <w:abstractNum w:abstractNumId="75">
    <w:nsid w:val="11447B73"/>
    <w:multiLevelType w:val="hybridMultilevel"/>
    <w:lvl w:ilvl="0">
      <w:lvlJc w:val="left"/>
      <w:lvlText w:val="%1)"/>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105" Type="http://schemas.openxmlformats.org/officeDocument/2006/relationships/image" Target="media/image63.png"/><Relationship Id="rId110" Type="http://schemas.openxmlformats.org/officeDocument/2006/relationships/image" Target="media/image64.png"/><Relationship Id="rId111" Type="http://schemas.openxmlformats.org/officeDocument/2006/relationships/image" Target="media/image65.png"/><Relationship Id="rId112" Type="http://schemas.openxmlformats.org/officeDocument/2006/relationships/image" Target="media/image66.png"/><Relationship Id="rId113" Type="http://schemas.openxmlformats.org/officeDocument/2006/relationships/image" Target="media/image67.png"/><Relationship Id="rId114" Type="http://schemas.openxmlformats.org/officeDocument/2006/relationships/image" Target="media/image68.png"/><Relationship Id="rId115" Type="http://schemas.openxmlformats.org/officeDocument/2006/relationships/image" Target="media/image69.png"/><Relationship Id="rId116" Type="http://schemas.openxmlformats.org/officeDocument/2006/relationships/image" Target="media/image70.png"/><Relationship Id="rId117" Type="http://schemas.openxmlformats.org/officeDocument/2006/relationships/image" Target="media/image71.png"/><Relationship Id="rId118" Type="http://schemas.openxmlformats.org/officeDocument/2006/relationships/image" Target="media/image72.png"/><Relationship Id="rId119" Type="http://schemas.openxmlformats.org/officeDocument/2006/relationships/image" Target="media/image73.png"/><Relationship Id="rId120" Type="http://schemas.openxmlformats.org/officeDocument/2006/relationships/image" Target="media/image74.png"/><Relationship Id="rId121" Type="http://schemas.openxmlformats.org/officeDocument/2006/relationships/image" Target="media/image75.png"/><Relationship Id="rId122" Type="http://schemas.openxmlformats.org/officeDocument/2006/relationships/image" Target="media/image76.png"/><Relationship Id="rId123" Type="http://schemas.openxmlformats.org/officeDocument/2006/relationships/image" Target="media/image77.png"/><Relationship Id="rId124" Type="http://schemas.openxmlformats.org/officeDocument/2006/relationships/image" Target="media/image78.png"/><Relationship Id="rId125" Type="http://schemas.openxmlformats.org/officeDocument/2006/relationships/image" Target="media/image79.png"/><Relationship Id="rId126" Type="http://schemas.openxmlformats.org/officeDocument/2006/relationships/image" Target="media/image80.png"/><Relationship Id="rId127" Type="http://schemas.openxmlformats.org/officeDocument/2006/relationships/image" Target="media/image81.png"/><Relationship Id="rId128" Type="http://schemas.openxmlformats.org/officeDocument/2006/relationships/image" Target="media/image82.png"/><Relationship Id="rId129" Type="http://schemas.openxmlformats.org/officeDocument/2006/relationships/image" Target="media/image83.png"/><Relationship Id="rId130" Type="http://schemas.openxmlformats.org/officeDocument/2006/relationships/image" Target="media/image84.png"/><Relationship Id="rId131" Type="http://schemas.openxmlformats.org/officeDocument/2006/relationships/image" Target="media/image85.png"/><Relationship Id="rId132" Type="http://schemas.openxmlformats.org/officeDocument/2006/relationships/image" Target="media/image86.png"/><Relationship Id="rId133" Type="http://schemas.openxmlformats.org/officeDocument/2006/relationships/image" Target="media/image87.png"/><Relationship Id="rId134" Type="http://schemas.openxmlformats.org/officeDocument/2006/relationships/image" Target="media/image88.png"/><Relationship Id="rId135" Type="http://schemas.openxmlformats.org/officeDocument/2006/relationships/image" Target="media/image89.png"/><Relationship Id="rId136" Type="http://schemas.openxmlformats.org/officeDocument/2006/relationships/image" Target="media/image90.png"/><Relationship Id="rId137" Type="http://schemas.openxmlformats.org/officeDocument/2006/relationships/image" Target="media/image91.png"/><Relationship Id="rId138" Type="http://schemas.openxmlformats.org/officeDocument/2006/relationships/image" Target="media/image92.png"/><Relationship Id="rId139" Type="http://schemas.openxmlformats.org/officeDocument/2006/relationships/image" Target="media/image93.png"/><Relationship Id="rId140" Type="http://schemas.openxmlformats.org/officeDocument/2006/relationships/image" Target="media/image94.png"/><Relationship Id="rId141" Type="http://schemas.openxmlformats.org/officeDocument/2006/relationships/image" Target="media/image95.png"/><Relationship Id="rId142" Type="http://schemas.openxmlformats.org/officeDocument/2006/relationships/image" Target="media/image96.png"/><Relationship Id="rId143" Type="http://schemas.openxmlformats.org/officeDocument/2006/relationships/image" Target="media/image97.png"/><Relationship Id="rId144" Type="http://schemas.openxmlformats.org/officeDocument/2006/relationships/image" Target="media/image98.png"/><Relationship Id="rId145" Type="http://schemas.openxmlformats.org/officeDocument/2006/relationships/image" Target="media/image99.png"/><Relationship Id="rId146" Type="http://schemas.openxmlformats.org/officeDocument/2006/relationships/image" Target="media/image100.png"/><Relationship Id="rId147" Type="http://schemas.openxmlformats.org/officeDocument/2006/relationships/image" Target="media/image101.png"/><Relationship Id="rId148" Type="http://schemas.openxmlformats.org/officeDocument/2006/relationships/image" Target="media/image102.png"/><Relationship Id="rId149" Type="http://schemas.openxmlformats.org/officeDocument/2006/relationships/image" Target="media/image103.png"/><Relationship Id="rId150" Type="http://schemas.openxmlformats.org/officeDocument/2006/relationships/image" Target="media/image104.png"/><Relationship Id="rId151" Type="http://schemas.openxmlformats.org/officeDocument/2006/relationships/image" Target="media/image105.png"/><Relationship Id="rId152"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70" Type="http://schemas.openxmlformats.org/officeDocument/2006/relationships/hyperlink" Target="http://www.sec.gov/Archives/edgar/data/1356093/000121390021059463/ea150536ex2-1_creativereal.htm" TargetMode="External"/><Relationship Id="rId71" Type="http://schemas.openxmlformats.org/officeDocument/2006/relationships/hyperlink" Target="http://www.sec.gov/Archives/edgar/data/1356093/000121390022006040/ea155158ex2-1_creativereal.htm" TargetMode="External"/><Relationship Id="rId72" Type="http://schemas.openxmlformats.org/officeDocument/2006/relationships/hyperlink" Target="http://www.sec.gov/Archives/edgar/data/1356093/000143774923003464/ex_475912.htm" TargetMode="External"/><Relationship Id="rId73" Type="http://schemas.openxmlformats.org/officeDocument/2006/relationships/hyperlink" Target="http://www.sec.gov/Archives/edgar/data/1356093/000143774925004128/ex_779450.htm" TargetMode="External"/><Relationship Id="rId74" Type="http://schemas.openxmlformats.org/officeDocument/2006/relationships/hyperlink" Target="http://www.sec.gov/Archives/edgar/data/1356093/000143774925004829/ex_781385.htm" TargetMode="External"/><Relationship Id="rId75" Type="http://schemas.openxmlformats.org/officeDocument/2006/relationships/hyperlink" Target="http://www.sec.gov/Archives/edgar/data/1356093/000143774925007826/ex_790530.htm" TargetMode="External"/><Relationship Id="rId76" Type="http://schemas.openxmlformats.org/officeDocument/2006/relationships/hyperlink" Target="http://www.sec.gov/Archives/edgar/data/1356093/000143774924008777/ex_636996.htm" TargetMode="External"/><Relationship Id="rId77" Type="http://schemas.openxmlformats.org/officeDocument/2006/relationships/hyperlink" Target="http://www.sec.gov/Archives/edgar/data/1356093/000143774925034248/ex_885596.htm" TargetMode="External"/><Relationship Id="rId78" Type="http://schemas.openxmlformats.org/officeDocument/2006/relationships/hyperlink" Target="http://www.sec.gov/Archives/edgar/data/1356093/000095012311094400/c24019exv3.htm" TargetMode="External"/><Relationship Id="rId79" Type="http://schemas.openxmlformats.org/officeDocument/2006/relationships/hyperlink" Target="http://www.sec.gov/Archives/edgar/data/1356093/000095013406016951/c04558sbexv4w2.htm" TargetMode="External"/><Relationship Id="rId80" Type="http://schemas.openxmlformats.org/officeDocument/2006/relationships/hyperlink" Target="http://www.sec.gov/Archives/edgar/data/1356093/000143774924008777/ex_636997.htm" TargetMode="External"/><Relationship Id="rId81" Type="http://schemas.openxmlformats.org/officeDocument/2006/relationships/hyperlink" Target="http://www.sec.gov/Archives/edgar/data/1356093/000121390022037700/ea162551ex10-2_creative.htm" TargetMode="External"/><Relationship Id="rId82" Type="http://schemas.openxmlformats.org/officeDocument/2006/relationships/hyperlink" Target="http://www.sec.gov/Archives/edgar/data/1356093/000121390022037700/ea162551ex10-3_creative.htm" TargetMode="External"/><Relationship Id="rId83" Type="http://schemas.openxmlformats.org/officeDocument/2006/relationships/hyperlink" Target="http://www.sec.gov/Archives/edgar/data/1356093/000121390021059463/ea150536ex10-1_creativereal.htm" TargetMode="External"/><Relationship Id="rId84" Type="http://schemas.openxmlformats.org/officeDocument/2006/relationships/hyperlink" Target="http://www.sec.gov/Archives/edgar/data/1356093/000121390020014877/def14a0620_creative.htm" TargetMode="External"/><Relationship Id="rId85" Type="http://schemas.openxmlformats.org/officeDocument/2006/relationships/hyperlink" Target="http://www.sec.gov/Archives/edgar/data/1356093/000143774924027849/crex20240321_def14a.htm" TargetMode="External"/><Relationship Id="rId86" Type="http://schemas.openxmlformats.org/officeDocument/2006/relationships/hyperlink" Target="http://www.sec.gov/Archives/edgar/data/1356093/000121390022033599/ea161551ex10-1_creativereal.htm" TargetMode="External"/><Relationship Id="rId87" Type="http://schemas.openxmlformats.org/officeDocument/2006/relationships/hyperlink" Target="http://www.sec.gov/Archives/edgar/data/1356093/000121390022033599/ea161551ex10-3_creativereal.htm" TargetMode="External"/><Relationship Id="rId88" Type="http://schemas.openxmlformats.org/officeDocument/2006/relationships/hyperlink" Target="http://protect.checkpoint.com/v2/r01/___http:/www.sec.gov/Archives/edgar/data/1356093/000143774925004750/ex_780764.htm___.YXAzOnBoYXJvc2Fkdmlzb3JzOmM6bzo1MzY0YWZkY2UyMjNhZTZhNWQxNzliNTNiMjVhZTQ5Nzo3OjAzMTk6ZDc1OWZlNzBhZDEwM2ZkYzFmODc0N2VlY2U2ZWUxZGYzYjFhOTcxYmE1ZmZiYmYzYzExM2VhNjkxOTA2ZjM1YzpwOkY6Rg" TargetMode="External"/><Relationship Id="rId89" Type="http://schemas.openxmlformats.org/officeDocument/2006/relationships/hyperlink" Target="http://www.sec.gov/Archives/edgar/data/1356093/000143774925007826/ex_790531.htm" TargetMode="External"/><Relationship Id="rId90" Type="http://schemas.openxmlformats.org/officeDocument/2006/relationships/hyperlink" Target="http://www.sec.gov/Archives/edgar/data/1356093/000143774925007826/ex_790532.htm" TargetMode="External"/><Relationship Id="rId91" Type="http://schemas.openxmlformats.org/officeDocument/2006/relationships/hyperlink" Target="http://www.sec.gov/Archives/edgar/data/1356093/000143774925007826/ex_790533.htm" TargetMode="External"/><Relationship Id="rId92" Type="http://schemas.openxmlformats.org/officeDocument/2006/relationships/hyperlink" Target="http://protect.checkpoint.com/v2/r01/___http:/www.sec.gov/Archives/edgar/data/1356093/000143774925019438/ex_826716.htm___.YXAzOnBoYXJvc2Fkdmlzb3JzOmM6bzo1MzY0YWZkY2UyMjNhZTZhNWQxNzliNTNiMjVhZTQ5Nzo3OjIzZjY6NzZhODQ2OTFmZjI3ZDdkNmNjYTY5ZTk2ZTA5ZDVlYjExMGJiMGZhYzc5MDEzZDNhNGM5YjU3NDMzZTkzYTI5MjpwOkY6Rg" TargetMode="External"/><Relationship Id="rId93" Type="http://schemas.openxmlformats.org/officeDocument/2006/relationships/hyperlink" Target="http://www.sec.gov/Archives/edgar/data/1356093/000143774925019438/ex_826717.htm" TargetMode="External"/><Relationship Id="rId94" Type="http://schemas.openxmlformats.org/officeDocument/2006/relationships/hyperlink" Target="http://www.sec.gov/Archives/edgar/data/1356093/000143774925022158/ex_836251.htm" TargetMode="External"/><Relationship Id="rId95" Type="http://schemas.openxmlformats.org/officeDocument/2006/relationships/hyperlink" Target="http://www.sec.gov/Archives/edgar/data/1356093/000143774925022158/ex_836252.htm" TargetMode="External"/><Relationship Id="rId96" Type="http://schemas.openxmlformats.org/officeDocument/2006/relationships/hyperlink" Target="http://www.sec.gov/Archives/edgar/data/1356093/000143774925031111/ex_871044.htm" TargetMode="External"/><Relationship Id="rId97" Type="http://schemas.openxmlformats.org/officeDocument/2006/relationships/hyperlink" Target="http://www.sec.gov/Archives/edgar/data/1356093/000143774925031111/ex_871031.htm" TargetMode="External"/><Relationship Id="rId98" Type="http://schemas.openxmlformats.org/officeDocument/2006/relationships/hyperlink" Target="http://www.sec.gov/Archives/edgar/data/1356093/000143774925034248/ex_885604.htm" TargetMode="External"/><Relationship Id="rId99" Type="http://schemas.openxmlformats.org/officeDocument/2006/relationships/hyperlink" Target="http://www.sec.gov/Archives/edgar/data/1356093/000143774925034248/ex_885597.htm" TargetMode="External"/><Relationship Id="rId100" Type="http://schemas.openxmlformats.org/officeDocument/2006/relationships/hyperlink" Target="http://www.sec.gov/Archives/edgar/data/1356093/000143774925034248/ex_885598.htm" TargetMode="External"/><Relationship Id="rId101" Type="http://schemas.openxmlformats.org/officeDocument/2006/relationships/hyperlink" Target="http://www.sec.gov/Archives/edgar/data/1356093/000143774925034248/ex_885599.htm" TargetMode="External"/><Relationship Id="rId102" Type="http://schemas.openxmlformats.org/officeDocument/2006/relationships/hyperlink" Target="http://www.sec.gov/Archives/edgar/data/1356093/000143774925034248/ex_885600.htm" TargetMode="External"/><Relationship Id="rId103" Type="http://schemas.openxmlformats.org/officeDocument/2006/relationships/hyperlink" Target="http://www.sec.gov/Archives/edgar/data/1356093/000143774925034248/ex_885601.htm" TargetMode="External"/><Relationship Id="rId104" Type="http://schemas.openxmlformats.org/officeDocument/2006/relationships/hyperlink" Target="http://www.sec.gov/Archives/edgar/data/1356093/000143774925034248/ex_885602.htm" TargetMode="External"/><Relationship Id="rId106" Type="http://schemas.openxmlformats.org/officeDocument/2006/relationships/hyperlink" Target="http://www.sec.gov/Archives/edgar/data/1356093/000143774925034248/ex_885603.htm" TargetMode="External"/><Relationship Id="rId107" Type="http://schemas.openxmlformats.org/officeDocument/2006/relationships/hyperlink" Target="http://www.sec.gov/Archives/edgar/data/1356093/000121390019005126/f10k2018ex14-1_creativereal.htm" TargetMode="External"/><Relationship Id="rId108" Type="http://schemas.openxmlformats.org/officeDocument/2006/relationships/hyperlink" Target="http://www.sec.gov/Archives/edgar/data/1356093/000143774924008777/ex_636998.htm" TargetMode="External"/><Relationship Id="rId109" Type="http://schemas.openxmlformats.org/officeDocument/2006/relationships/hyperlink" Target="http://www.sec.gov/Archives/edgar/data/1356093/000143774925007738/ex_7847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2026-04-15T06:35:15Z</dcterms:created>
  <dcterms:modified xsi:type="dcterms:W3CDTF">2026-04-15T06:35:15Z</dcterms:modified>
</cp:coreProperties>
</file>