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4000" w:right="940" w:hanging="3052"/>
        <w:spacing w:after="0" w:line="495" w:lineRule="auto"/>
        <w:tabs>
          <w:tab w:leader="none" w:pos="11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2021</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1" w:lineRule="exact"/>
        <w:rPr>
          <w:rFonts w:ascii="MS PGothic" w:cs="MS PGothic" w:eastAsia="MS PGothic" w:hAnsi="MS PGothic"/>
          <w:sz w:val="18"/>
          <w:szCs w:val="18"/>
          <w:color w:val="auto"/>
        </w:rPr>
      </w:pPr>
    </w:p>
    <w:p>
      <w:pPr>
        <w:jc w:val="center"/>
        <w:ind w:left="3420" w:right="940" w:hanging="2479"/>
        <w:spacing w:after="0" w:line="503" w:lineRule="auto"/>
        <w:tabs>
          <w:tab w:leader="none" w:pos="11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151765</wp:posOffset>
            </wp:positionV>
            <wp:extent cx="277749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89"/>
              </w:rPr>
              <w:t>Minnesota</w:t>
            </w: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202"/>
        </w:trPr>
        <w:tc>
          <w:tcPr>
            <w:tcW w:w="55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0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3540" w:type="dxa"/>
            <w:vAlign w:val="bottom"/>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30"/>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3"/>
              </w:rPr>
              <w:t>Zip Code</w:t>
            </w:r>
          </w:p>
        </w:tc>
      </w:tr>
      <w:tr>
        <w:trPr>
          <w:trHeight w:val="377"/>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(502) 791-8800</w:t>
            </w:r>
          </w:p>
        </w:tc>
        <w:tc>
          <w:tcPr>
            <w:tcW w:w="15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7"/>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34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6"/>
              </w:rPr>
              <w:t>Title of each class</w:t>
            </w:r>
          </w:p>
        </w:tc>
        <w:tc>
          <w:tcPr>
            <w:tcW w:w="294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5"/>
              </w:rPr>
              <w:t>CREX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700" w:type="dxa"/>
            <w:vAlign w:val="bottom"/>
            <w:gridSpan w:val="3"/>
          </w:tcPr>
          <w:p>
            <w:pPr>
              <w:jc w:val="center"/>
              <w:ind w:right="1080"/>
              <w:spacing w:after="0"/>
              <w:rPr>
                <w:sz w:val="20"/>
                <w:szCs w:val="20"/>
                <w:color w:val="auto"/>
              </w:rPr>
            </w:pPr>
            <w:r>
              <w:rPr>
                <w:rFonts w:ascii="Arial" w:cs="Arial" w:eastAsia="Arial" w:hAnsi="Arial"/>
                <w:sz w:val="18"/>
                <w:szCs w:val="18"/>
                <w:color w:val="auto"/>
                <w:w w:val="89"/>
              </w:rPr>
              <w:t>Warrants to purchase Common Stock</w:t>
            </w:r>
          </w:p>
        </w:tc>
        <w:tc>
          <w:tcPr>
            <w:tcW w:w="294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CREXW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794" w:gutter="0" w:footer="0" w:header="0"/>
        </w:sectPr>
      </w:pPr>
    </w:p>
    <w:p>
      <w:pPr>
        <w:spacing w:after="0" w:line="151"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700" w:space="720"/>
            <w:col w:w="4820"/>
          </w:cols>
          <w:pgMar w:left="320" w:top="513" w:right="339" w:bottom="794" w:gutter="0" w:footer="0" w:header="0"/>
          <w:type w:val="continuous"/>
        </w:sectPr>
      </w:pPr>
    </w:p>
    <w:p>
      <w:pPr>
        <w:spacing w:after="0" w:line="3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16, 2021, the registrant had 11,896,995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79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CREATIVE REALITIES,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$600 and $1,230,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Work-in-process and inventories,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8,637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seller note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Current maturities of operating and finance leases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Payroll Protection Program note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loans payable, net of $200 and $168 discount,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convertible loans payable,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Long-term accrued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200,000 shares authorized; 11,877 and 10,924 shares issued and outstanding,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59,777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56,712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(50,189)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9,706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19"/>
                <w:szCs w:val="19"/>
                <w:color w:val="auto"/>
              </w:rPr>
            </w:pPr>
          </w:p>
        </w:tc>
        <w:tc>
          <w:tcPr>
            <w:tcW w:w="240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1,981</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2,055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4,169</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sales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60"/>
              <w:spacing w:after="0" w:line="203" w:lineRule="exact"/>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1,875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1,817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4,109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3,424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1,666</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3,775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(recovery) /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2,286</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3,461</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4,733</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 (expense)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1,443</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2,929</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Benefit/(provision) for income taxes</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Basic earnings/(loss)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 earnings/(loss)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w:t>
            </w:r>
          </w:p>
        </w:tc>
        <w:tc>
          <w:tcPr>
            <w:tcW w:w="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9,837</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2,297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Shares issued for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Paycheck Protection Program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settlement of Seller Note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(1,538)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provision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notes due to in-kind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to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and unbilled receivables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(1,128)</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third-party labor for software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Capitalization of internal labor for software development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 warrant exercise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Seller Note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shares via registered direct offering,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1,849</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1,745</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1,826</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3,004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320" w:type="dxa"/>
            <w:vAlign w:val="bottom"/>
            <w:gridSpan w:val="3"/>
            <w:vMerge w:val="restart"/>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Three months ended June 30, 2021</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11,840,811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(51,214)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22,204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13,664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11,876,679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59,777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(50,189</w:t>
            </w:r>
          </w:p>
        </w:tc>
        <w:tc>
          <w:tcPr>
            <w:tcW w:w="22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Six months ended June 30, 2021</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10,924,287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(52,486)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22,204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Disbursed Escrow Loan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Gain on Extinguishment of Special Loan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Sales of Shares via registered direct offering, net of offering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2,297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11,876,679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(50,189</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3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Three months ended June 30, 2020</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9,794,971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(48,825)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32,052</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27,600</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(2,459)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2020</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9,854,623</w:t>
            </w:r>
          </w:p>
        </w:tc>
        <w:tc>
          <w:tcPr>
            <w:tcW w:w="24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54,342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(51,284</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3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Six months ended June 30, 2020</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9,774,546</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(35,642)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52,477</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27,600</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(15,642)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2020</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9,854,623</w:t>
            </w:r>
          </w:p>
        </w:tc>
        <w:tc>
          <w:tcPr>
            <w:tcW w:w="24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54,342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(51,284</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 currency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Unless the context otherwise indicates, references in these Notes to the accompanying condensed consolidated financial statements to “we,” “us,” “our” and “the Company” refer to Creative Realities, Inc.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the Company’s Business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Our main operations are conducted directly through Creative Realities, Inc., and under our wholly owned subsidiaries Allure Global Solutions, Inc., a Georgia corporation (“Allure”), and Creative Realities Canada, Inc., a Canadian corporation. Our other wholly owned subsidiaries, Creative Realities, LLC, a Delaware limited liability company, and ConeXus World Global, LLC, a Kentucky limited liability company, are effectively dormant.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three months ended June 30, 2021 and 2020 we have recognized/(incurred) net income/(losses) of $1,025 and ($2,459), respectively. For the six months ended June 30, 2021 and 2020, we recognized/(incurred) net income/(losses) of $2,297 and ($15,642), respectively. As of June 30, 2021, we had cash and cash equivalents of $3,004 and a working capital surplus of $4,014.</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January 11, 2021, we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87" w:lineRule="exact"/>
        <w:rPr>
          <w:sz w:val="20"/>
          <w:szCs w:val="20"/>
          <w:color w:val="auto"/>
        </w:rPr>
      </w:pPr>
    </w:p>
    <w:p>
      <w:pPr>
        <w:jc w:val="both"/>
        <w:ind w:right="20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$1,849, which the Company intends to use for general corporate purposes. The closing of the Offering occurred on February 22, 2021.</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On March 7, 2021, the Company and Slipstream entered into an agreement to refinance the Company’s Loan and Security Agreement, including</w:t>
      </w:r>
    </w:p>
    <w:p>
      <w:pPr>
        <w:spacing w:after="0" w:line="46" w:lineRule="exact"/>
        <w:rPr>
          <w:sz w:val="20"/>
          <w:szCs w:val="20"/>
          <w:color w:val="auto"/>
        </w:rPr>
      </w:pPr>
    </w:p>
    <w:p>
      <w:pPr>
        <w:ind w:right="10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extension of all maturity dates therein to March 31, 2023, (2) the conversion of the Disbursed Escrow Promissory Note into equity, (3) access to an additional $1,000 via a multi-advance line of credit facility, and (4) the removal of the three times liquidation preference with respect to the Company’s Secured Convertible Special Loan Promissory Note.</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13, 2021, the Company and Christie Digital Systems, Inc. (“Seller”) entered into a settlement agreement with respect to the Amended and Restated Seller Note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Seller Note and sale transaction under the Allure Purchase Agreement and all related agreements. The settlement resulted in the Company recording a gain on settlement of obligations of $1,624, representing $1,538 related to the Seller Note and $86 of related interest thereon, during the three months ended June 30, 2021.</w:t>
      </w:r>
    </w:p>
    <w:p>
      <w:pPr>
        <w:spacing w:after="0" w:line="19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6"/>
          <w:szCs w:val="16"/>
          <w:color w:val="auto"/>
        </w:rPr>
        <w:t>Management believes that, based on (i) the forgiveness of our PPP Loan, (ii) the execution of the Offering and remaining availability for incremental offerings under our previously registered Form S-3 (including our current at-the-market offering), (iii) the refinancing of our debt, including extension of the maturity date on our term and convertible loans, as well as access to incremental borrowings under the new multi-advance line of credit,</w:t>
      </w:r>
    </w:p>
    <w:p>
      <w:pPr>
        <w:spacing w:after="0" w:line="2" w:lineRule="exact"/>
        <w:rPr>
          <w:sz w:val="20"/>
          <w:szCs w:val="20"/>
          <w:color w:val="auto"/>
        </w:rPr>
      </w:pPr>
    </w:p>
    <w:p>
      <w:pPr>
        <w:jc w:val="both"/>
        <w:ind w:right="120" w:firstLine="8"/>
        <w:spacing w:after="0" w:line="253"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settlement of the Seller Note, and (v) our operational forecast through 2022, we can continue as a going concern through at least August 16, 2022. However, given our history of net losses and cash used in operating activities, we obtained a continued support letter from Slipstream through August 16, 2022. We can provide no assurance that our ongoing operational efforts will be successful, which could have a material adverse effect on our results of operations and cash flows.</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during the three and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Condensed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applicable instructions to Form 10-Q and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2020, included in the Company’s Annual Report on Form 10-K filed with the Securities and Exchange Commission on March 10, 2021.</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2. Revenue Recognition</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typically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Company recognizes contract assets or unbilled receivables related to revenue recognized for services completed but not yet invoiced to the clients. Unbilled receivables are recorded as accounts receivable when the Company has an unconditional right to contract consideration.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5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net realizable value, determined by the first-in, first-out (FIFO) method, and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net of reserve of $131 and $104, respectively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 on consignment with distributors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Impairment of Long-Lived Assets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in accordance with ASC 360,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Impairment or Disposal of Long-Lived Assets</w:t>
      </w:r>
      <w:r>
        <w:rPr>
          <w:rFonts w:ascii="Arial" w:cs="Arial" w:eastAsia="Arial" w:hAnsi="Arial"/>
          <w:sz w:val="18"/>
          <w:szCs w:val="18"/>
          <w:color w:val="auto"/>
        </w:rPr>
        <w:t>. Under ASC 360, impairment losses are recorded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the carrying value of an asset may not be recoverable. We evaluated whether there were any triggering events for consideration of impairment of long-lived assets as of June 30, 2021 and concluded there were none.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ind w:right="40"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Basic and Diluted Income/(Loss) per Common Share</w:t>
      </w:r>
    </w:p>
    <w:p>
      <w:pPr>
        <w:spacing w:after="0" w:line="225"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Basic and diluted income/(loss)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6,964,517 at June 30, 2021 were excluded from the computation of income/(loss) per share as the strike price on the options and warrants were higher than the Company’s market price and therefore anti-dilutive. Diluted weighted average shares outstanding for the three and six-months ended June 30, 2021 included 8,333 options which were both exercisable and in-the-money as of June 30, 2021. Those options were included in the calculation of diluted earnings per share as of the beginning of the calculation period. Shares reserved for outstanding stock options, including stock options with performance restricted vesting, and warrants totaling approximately 7,309,998 at June 30, 2020 were excluded from the computation of income/(loss) per share due to the net loss in the period.</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In calculating diluted earnings per share for the three and six months ended June 30, 2021 and 2020, in accordance with ASC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r>
        <w:rPr>
          <w:rFonts w:ascii="Arial" w:cs="Arial" w:eastAsia="Arial" w:hAnsi="Arial"/>
          <w:sz w:val="18"/>
          <w:szCs w:val="18"/>
          <w:color w:val="auto"/>
        </w:rPr>
        <w:t>, we excluded the dilutive effect of the potential issuance of common stock upon an assumed conversion of the Convertible Loan as we have the intent</w:t>
      </w:r>
      <w:r>
        <w:rPr>
          <w:rFonts w:ascii="Arial" w:cs="Arial" w:eastAsia="Arial" w:hAnsi="Arial"/>
          <w:sz w:val="18"/>
          <w:szCs w:val="18"/>
          <w:i w:val="1"/>
          <w:iCs w:val="1"/>
          <w:color w:val="auto"/>
        </w:rPr>
        <w:t xml:space="preserve"> </w:t>
      </w:r>
      <w:r>
        <w:rPr>
          <w:rFonts w:ascii="Arial" w:cs="Arial" w:eastAsia="Arial" w:hAnsi="Arial"/>
          <w:sz w:val="18"/>
          <w:szCs w:val="18"/>
          <w:color w:val="auto"/>
        </w:rPr>
        <w:t>and ability to settle the debt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June 30, 2021 and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Goodwill</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We follow the provisions of ASC 350, </w:t>
      </w:r>
      <w:r>
        <w:rPr>
          <w:rFonts w:ascii="Arial" w:cs="Arial" w:eastAsia="Arial" w:hAnsi="Arial"/>
          <w:sz w:val="18"/>
          <w:szCs w:val="18"/>
          <w:i w:val="1"/>
          <w:iCs w:val="1"/>
          <w:color w:val="auto"/>
        </w:rPr>
        <w:t>Intangibles –</w:t>
      </w:r>
      <w:r>
        <w:rPr>
          <w:rFonts w:ascii="Arial" w:cs="Arial" w:eastAsia="Arial" w:hAnsi="Arial"/>
          <w:sz w:val="18"/>
          <w:szCs w:val="18"/>
          <w:color w:val="auto"/>
        </w:rPr>
        <w:t xml:space="preserve"> Goodwill and Other. Pursuant to ASC 350, goodwill acquired in a purchase business combination is not amortized, but instead tested for impairment at least annually. The Company uses a measurement date of September 30 (see Note 7 </w:t>
      </w:r>
      <w:r>
        <w:rPr>
          <w:rFonts w:ascii="Arial" w:cs="Arial" w:eastAsia="Arial" w:hAnsi="Arial"/>
          <w:sz w:val="18"/>
          <w:szCs w:val="18"/>
          <w:i w:val="1"/>
          <w:iCs w:val="1"/>
          <w:color w:val="auto"/>
        </w:rPr>
        <w:t>Intangible Assets and Goodwill</w:t>
      </w:r>
      <w:r>
        <w:rPr>
          <w:rFonts w:ascii="Arial" w:cs="Arial" w:eastAsia="Arial" w:hAnsi="Arial"/>
          <w:sz w:val="18"/>
          <w:szCs w:val="18"/>
          <w:color w:val="auto"/>
        </w:rPr>
        <w:t>). We evaluated whether there were any triggering events for consideration of impairment of our goodwill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concluded there were none.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9.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account for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as amended.</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64"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Operating leases are included in operating lease right-of-use assets, current maturities of operating leases, and long-term obligations under operating leases on our condensed consolidated balance sheets. Finance leases are included in property and equipment, net, current maturities of finance leases, and long-term obligations under financing leases on our condensed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 August 2020, the FASB issued Accounting Standards Update No.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Hedging—Contracts in Entity’s Own Equity (Subtopic 815-40): Accounting for Convertible Instruments and Contracts in an Entity’s Own Equity (ASU 2020-06)</w:t>
      </w:r>
      <w:r>
        <w:rPr>
          <w:rFonts w:ascii="Arial" w:cs="Arial" w:eastAsia="Arial" w:hAnsi="Arial"/>
          <w:sz w:val="16"/>
          <w:szCs w:val="16"/>
          <w:color w:val="auto"/>
        </w:rPr>
        <w:t>, which simplifies the accounting for convertible instruments by reducing the number of accounting models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do not expect the adoption of this guidance to have a material impact on our consolidated financial statements.</w:t>
      </w:r>
    </w:p>
    <w:p>
      <w:pPr>
        <w:spacing w:after="0" w:line="16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requirements related to adopting this guidance.</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three and six months ended June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Hardware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4,112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Installation Services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Services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Services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4,169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Hardware and Services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3,277</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7,360</w:t>
            </w: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aggregate amount of the transaction price allocated to installation service performance obligations that are partially unsatisfied as of June 30, 2021 and 2020 were $0.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Software and software license sales are recognized as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revenues are classified as “Managed Services” within our disaggregated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The Company sells maintenance and support services which include access to technical support personnel for software and hardware troubleshooting and monitoring of the health of a customer’s network, access to a sophisticated web-portal for managing the end-to-end hardware and software digital ecosystem, and hosting support services through our network operations center, or NOC. These services provide either physical or automated remote monitoring which support customer networks 7 days a week, 24 hours a day.</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contracts are generally 12-36 months in length and generally automatically renew for additional 12-month periods unless cancelled by the customer. Rates for maintenance and support contracts are typically established based upon a fee per location or fee per device structure, with total fees subject to the number of services selected. Revenue is recognized ratably and evenly over the term of the agreement. Maintenance and Support revenues are classified as “Managed Services” within our disaggregated revenue.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FAIR VALUE MEASUREMENT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As discussed in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the Convertible Loan is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Convertible Loan. As of June 30, 2021, we utilized a discounted cash flow analysis in updating our fair value analysis of the Convertible Loan, resulting in recognition of a $0 and $166 gain during the three and six-months ended June 30, 2021, respectively, from the change in fair value of the liability and a corresponding increase in the debt balance recorded in the Condensed Consolidated Balance Sheet. The Company recorded a $551 and $702 loss during the same periods in 2020, respectively, related to the fair value of the Special Loan.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NOTE 6: SUPPLEMENTAL CASH FLOW STATEMENT INFORMATION</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92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2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w w:val="97"/>
              </w:rPr>
              <w:t>June 30,</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w w:val="91"/>
              </w:rPr>
              <w:t>Supplemental Cash Flow Information</w:t>
            </w:r>
          </w:p>
        </w:tc>
        <w:tc>
          <w:tcPr>
            <w:tcW w:w="5760" w:type="dxa"/>
            <w:vAlign w:val="bottom"/>
            <w:gridSpan w:val="2"/>
            <w:vMerge w:val="restart"/>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920" w:type="dxa"/>
            <w:vAlign w:val="bottom"/>
            <w:tcBorders>
              <w:bottom w:val="single" w:sz="8" w:color="auto"/>
            </w:tcBorders>
            <w:vMerge w:val="continue"/>
          </w:tcPr>
          <w:p>
            <w:pPr>
              <w:spacing w:after="0"/>
              <w:rPr>
                <w:sz w:val="14"/>
                <w:szCs w:val="14"/>
                <w:color w:val="auto"/>
              </w:rPr>
            </w:pPr>
          </w:p>
        </w:tc>
        <w:tc>
          <w:tcPr>
            <w:tcW w:w="57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80" w:type="dxa"/>
            <w:vAlign w:val="bottom"/>
            <w:gridSpan w:val="3"/>
          </w:tcPr>
          <w:p>
            <w:pPr>
              <w:spacing w:after="0"/>
              <w:rPr>
                <w:sz w:val="20"/>
                <w:szCs w:val="20"/>
                <w:color w:val="auto"/>
              </w:rPr>
            </w:pPr>
            <w:r>
              <w:rPr>
                <w:rFonts w:ascii="Arial" w:cs="Arial" w:eastAsia="Arial" w:hAnsi="Arial"/>
                <w:sz w:val="18"/>
                <w:szCs w:val="18"/>
                <w:color w:val="auto"/>
              </w:rPr>
              <w:t>Cash paid during the period for:</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Income taxes, net</w:t>
            </w:r>
          </w:p>
        </w:tc>
        <w:tc>
          <w:tcPr>
            <w:tcW w:w="820" w:type="dxa"/>
            <w:vAlign w:val="bottom"/>
          </w:tcPr>
          <w:p>
            <w:pPr>
              <w:jc w:val="right"/>
              <w:ind w:right="658"/>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INTANGIBLE ASSETS, INCLUDING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June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240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9"/>
                <w:szCs w:val="19"/>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4,635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3,960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5,330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2,870</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80"/>
              <w:spacing w:after="0" w:line="203" w:lineRule="exact"/>
              <w:rPr>
                <w:sz w:val="20"/>
                <w:szCs w:val="20"/>
                <w:color w:val="auto"/>
              </w:rPr>
            </w:pPr>
            <w:r>
              <w:rPr>
                <w:rFonts w:ascii="Arial" w:cs="Arial" w:eastAsia="Arial" w:hAnsi="Arial"/>
                <w:sz w:val="18"/>
                <w:szCs w:val="18"/>
                <w:color w:val="auto"/>
                <w:w w:val="84"/>
              </w:rPr>
              <w:t>9,235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5,724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10,985</w:t>
            </w:r>
          </w:p>
        </w:tc>
        <w:tc>
          <w:tcPr>
            <w:tcW w:w="220" w:type="dxa"/>
            <w:vAlign w:val="bottom"/>
            <w:tcBorders>
              <w:top w:val="single" w:sz="8" w:color="CCEEFF"/>
              <w:bottom w:val="single" w:sz="8" w:color="CCEEFF"/>
            </w:tcBorders>
            <w:gridSpan w:val="2"/>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7,195</w:t>
            </w:r>
          </w:p>
        </w:tc>
        <w:tc>
          <w:tcPr>
            <w:tcW w:w="100" w:type="dxa"/>
            <w:vAlign w:val="bottom"/>
            <w:tcBorders>
              <w:top w:val="single" w:sz="8" w:color="CCEEFF"/>
              <w:bottom w:val="single" w:sz="8" w:color="CCEEFF"/>
            </w:tcBorders>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5,724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Net book value of amortizable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3,511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3,790</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For the three months ended June 30, 2021 and 2020, amortization of intangible assets charged to operations was $139 and $158, respectively. For the six months ended June 30, 2021 and 2020 amortization of intangible assets charged to operations was $279 and $317,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The Company has only one reporting unit, and therefore the entire goodwill is allocated to that reporting unit. There were no indicators of impairment as of or during the three and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Impairment Assessment – March 31, 2020</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Despite the excess fair value identified in our 2019 annual impairment assessment, we determined that the reduced cash flow projections and the significant decline in our market capitalization as a result of the COVID-19 pandemic during the three months ended March 31, 2020 indicated that an impairment loss may have been incurred during the first quarter. As a result of our qualitative assessment, we concluded that indicators of impairment were present and that a quantitative interim impairment assessment of our goodwill was necessary, resulting in us recording a non-cash impairment loss</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of $10,646 as of March 31, 2020. We recorded the estimated impairment losses in the caption “Goodwill impairment” in our Consolidated Statement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NOTE 8: LOANS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debt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5"/>
              </w:rPr>
              <w:t>Issuance</w:t>
            </w:r>
          </w:p>
        </w:tc>
        <w:tc>
          <w:tcPr>
            <w:tcW w:w="1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4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Debt Type</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Principal</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Warrants</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0" w:type="dxa"/>
            <w:vAlign w:val="bottom"/>
          </w:tcPr>
          <w:p>
            <w:pPr>
              <w:spacing w:after="0"/>
              <w:rPr>
                <w:sz w:val="1"/>
                <w:szCs w:val="1"/>
                <w:color w:val="auto"/>
              </w:rPr>
            </w:pPr>
          </w:p>
        </w:tc>
      </w:tr>
      <w:tr>
        <w:trPr>
          <w:trHeight w:val="256"/>
        </w:trPr>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G</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3/7/2021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4,670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649,965</w:t>
            </w:r>
          </w:p>
        </w:tc>
        <w:tc>
          <w:tcPr>
            <w:tcW w:w="16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8.0% interest</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70"/>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H</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3/7/2021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2,356</w:t>
            </w:r>
          </w:p>
        </w:tc>
        <w:tc>
          <w:tcPr>
            <w:tcW w:w="22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tcPr>
          <w:p>
            <w:pPr>
              <w:spacing w:after="0"/>
              <w:rPr>
                <w:sz w:val="23"/>
                <w:szCs w:val="2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line="270" w:lineRule="exact"/>
              <w:rPr>
                <w:sz w:val="20"/>
                <w:szCs w:val="20"/>
                <w:color w:val="auto"/>
              </w:rPr>
            </w:pPr>
            <w:r>
              <w:rPr>
                <w:rFonts w:ascii="Arial" w:cs="Arial" w:eastAsia="Arial" w:hAnsi="Arial"/>
                <w:sz w:val="18"/>
                <w:szCs w:val="18"/>
                <w:color w:val="auto"/>
                <w:w w:val="87"/>
              </w:rPr>
              <w:t>10.0% interest</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1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gridSpan w:val="2"/>
            <w:vMerge w:val="continue"/>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7,026</w:t>
            </w:r>
          </w:p>
        </w:tc>
        <w:tc>
          <w:tcPr>
            <w:tcW w:w="220" w:type="dxa"/>
            <w:vAlign w:val="bottom"/>
            <w:vMerge w:val="continue"/>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649,965</w:t>
            </w: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8"/>
                <w:szCs w:val="18"/>
                <w:color w:val="auto"/>
                <w:w w:val="93"/>
              </w:rPr>
              <w:t>Fair value (H)</w:t>
            </w:r>
          </w:p>
        </w:tc>
        <w:tc>
          <w:tcPr>
            <w:tcW w:w="1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(166)</w:t>
            </w: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6,860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Debt discount</w:t>
            </w:r>
          </w:p>
        </w:tc>
        <w:tc>
          <w:tcPr>
            <w:tcW w:w="12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Total debt, net</w:t>
            </w: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6,660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Less current maturities</w:t>
            </w:r>
          </w:p>
        </w:tc>
        <w:tc>
          <w:tcPr>
            <w:tcW w:w="1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Long term debt</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6,660</w:t>
            </w: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5"/>
              </w:rPr>
              <w:t>Issuance</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41"/>
        </w:trPr>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Debt Type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300" w:type="dxa"/>
            <w:vAlign w:val="bottom"/>
          </w:tcPr>
          <w:p>
            <w:pPr>
              <w:spacing w:after="0"/>
              <w:rPr>
                <w:sz w:val="20"/>
                <w:szCs w:val="20"/>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Principal</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Warrants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 interest</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61,729</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8/17/2016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588,236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D</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11/19/2018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2/15/2020</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3.5% interest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3/31/2023</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30"/>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4/27/2020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4/27/2022</w:t>
            </w:r>
          </w:p>
        </w:tc>
        <w:tc>
          <w:tcPr>
            <w:tcW w:w="12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1.0% interest</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3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gridSpan w:val="2"/>
            <w:vMerge w:val="continue"/>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220" w:type="dxa"/>
            <w:vAlign w:val="bottom"/>
            <w:vMerge w:val="continue"/>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649,965</w:t>
            </w: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92"/>
              </w:rPr>
              <w:t>Fair value (E)</w:t>
            </w:r>
          </w:p>
        </w:tc>
        <w:tc>
          <w:tcPr>
            <w:tcW w:w="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8"/>
                <w:szCs w:val="18"/>
                <w:color w:val="auto"/>
              </w:rPr>
              <w:t>93</w:t>
            </w: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Debt discount</w:t>
            </w:r>
          </w:p>
        </w:tc>
        <w:tc>
          <w:tcPr>
            <w:tcW w:w="3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Total debt,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Less current maturities</w:t>
            </w:r>
          </w:p>
        </w:tc>
        <w:tc>
          <w:tcPr>
            <w:tcW w:w="3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(1,637)</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CCEEFF"/>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Long term debt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Secured Disbursed Escrow Promissory Note with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Secured Revolving Promissory Note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Amended and Restated Seller Note from acquisition of Allure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 Secured Convertible Special Loan Promissory Note,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 – Paycheck Protection Program Loan from Small Business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 – New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 Convertible Loan with related party, at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Interest is paid-in-kind (“PIK”) through October 2021, at which point interest becomes payable in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Paycheck Protection Program Loan</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On April 27, 2020, the Company entered into a Promissory Note with Old National Bank (the “Promissory Note”), which provided for an unsecured loan of $1,552 (the “PPP Loan”) pursuant to the Paycheck Protection Program under the Coronavirus Aid, Relief, and Economic Security Act and applicable regulations (the “CARES Act”). The Promissory Note had a term of two years with a 1% per annum interest rate.</w:t>
      </w:r>
    </w:p>
    <w:p>
      <w:pPr>
        <w:spacing w:after="0" w:line="1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January 11, 2021, the Company received a notice from Old National Bank that the full principal amount of the PPP Loan and the accrued interest have been forgiven, resulting in a gain of $1,552 during the six months ended June 30,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March 7, 2021, the Company refinanced their current debt facilities with Slipstream Communications, LLC (“Slipstream”), pursuant to an Amended and Restated Credit and Security Agreement (the “Credit Agreement”). The debt facilities continue to be fully secured by all assets of the Company. The maturity date (“Maturity Date”) on the outstanding debt and new debt was extended to March 31, 2023. The Credit Agreement (i) provides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of the New Term Loan only.</w:t>
      </w:r>
    </w:p>
    <w:p>
      <w:pPr>
        <w:spacing w:after="0" w:line="18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Company’s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188"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The Credit Agreement limits the Company’s ability to issue Shares as follows (the “Exchange Limitations”): (1) The total number of Shares that may be issued under the Credit Agreement will be limited to 19.99% of the Company’s outstanding shares of common stock on the date the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 19.99% of the then issued and outstanding shares of Company common stock unless (A) such ownership would not be the largest ownership position in the Company, or</w:t>
      </w:r>
    </w:p>
    <w:p>
      <w:pPr>
        <w:spacing w:after="0" w:line="5" w:lineRule="exact"/>
        <w:rPr>
          <w:sz w:val="20"/>
          <w:szCs w:val="20"/>
          <w:color w:val="auto"/>
        </w:rPr>
      </w:pPr>
    </w:p>
    <w:p>
      <w:pPr>
        <w:ind w:right="40" w:firstLine="8"/>
        <w:spacing w:after="0" w:line="260"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 approval is obtained for ownership in excess of 19.99%. On May 17, 2021, the Company’s stockholders approved the issuance of Shares in excess of the Exchange Limitations.</w:t>
      </w:r>
    </w:p>
    <w:p>
      <w:pPr>
        <w:spacing w:after="0" w:line="18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We evaluated the instruments within the Credit Agreement separately for purposes of concluding on whether the amendment represented a modification or extinguishment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 xml:space="preserve">The Convertible Loan was deemed to have had a substantive conversion feature both added and removed via the Credit Agreement, one which the holder is reasonably willing and able to exercise their rights under the agreement, resulting in extinguishment accounting for the Convertible Loan during the three months ended March 31, 2021. Pursuant to ASC 825-10-25-1, </w:t>
      </w:r>
      <w:r>
        <w:rPr>
          <w:rFonts w:ascii="Arial" w:cs="Arial" w:eastAsia="Arial" w:hAnsi="Arial"/>
          <w:sz w:val="16"/>
          <w:szCs w:val="16"/>
          <w:i w:val="1"/>
          <w:iCs w:val="1"/>
          <w:color w:val="auto"/>
        </w:rPr>
        <w:t>Fair Value Option</w:t>
      </w:r>
      <w:r>
        <w:rPr>
          <w:rFonts w:ascii="Arial" w:cs="Arial" w:eastAsia="Arial" w:hAnsi="Arial"/>
          <w:sz w:val="16"/>
          <w:szCs w:val="16"/>
          <w:color w:val="auto"/>
        </w:rPr>
        <w:t>, we made an irrevocable election to report the Convertible Loan at fair value, with changes in fair value recorded through the Company’s Condensed Consolidated Statement of Operations in each reporting period.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 xml:space="preserve">We evaluated the Credit Agreement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The New Term Loan was accounted for as a modification, resulting in recording of $133 of incremental debt discount which will be amortized straight-line over the remaining life of the debt. We recorded a net gain of $26 via the extinguishment of the Special Loan, which was recorded as additional paid in capital in the Statement of Shareholders Equity given the transaction was with a related party, Slipstream. We expensed $69 of costs incurred with third parties as a result of extinguishment of the Special Loan, modification of the New Term Loan, and extinguishment of the Disbursed Escrow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History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Ninth, Tenth, Eleventh, Twelfth, and Thirteenth Amendment; Modification of Conversion Date of Special Loan under Loan and Security Agreement</w:t>
      </w:r>
    </w:p>
    <w:p>
      <w:pPr>
        <w:spacing w:after="0" w:line="248" w:lineRule="exact"/>
        <w:rPr>
          <w:sz w:val="20"/>
          <w:szCs w:val="20"/>
          <w:color w:val="auto"/>
        </w:rPr>
      </w:pPr>
    </w:p>
    <w:p>
      <w:pPr>
        <w:ind w:right="520" w:firstLine="648"/>
        <w:spacing w:after="0" w:line="311" w:lineRule="auto"/>
        <w:rPr>
          <w:sz w:val="20"/>
          <w:szCs w:val="20"/>
          <w:color w:val="auto"/>
        </w:rPr>
      </w:pPr>
      <w:r>
        <w:rPr>
          <w:rFonts w:ascii="Arial" w:cs="Arial" w:eastAsia="Arial" w:hAnsi="Arial"/>
          <w:sz w:val="16"/>
          <w:szCs w:val="16"/>
          <w:color w:val="auto"/>
        </w:rPr>
        <w:t>On February 28, 2021, January 31, 2021, December 31, 2020, November 30, 2020, and September 29, 2020, the Company entered into amendments to Loan and Security Agreement with its subsidiaries and Slipstream to amend the automatic conversion date of the Special Loan. Each amendment extended the automatic conversion date of the Special Loan. The Company paid no fees in exchange for these extensions.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Disbursed Escrow Promissory Note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bears no interest. Upon entry into the Credit Agreement on March 7, 2021, this note was converted into Disbursed Escrow Conversion Shares, with elimination of the debt recorded as an equity issuance with the Statement of Shareholders Equity during the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Seller Note from acquisition of Allure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Amended and Restated Seller Note represented a note payable due from Allure to Seller, under a pre-existing Seller Note which was amended and restated to a reduced amount of $1,637 through the Stock Purchase Agreement and a subsequent net working capital adjustment. That debt accrued interest at 3.5% per annum, and required us to make quarterly payments of interest only through February 19, 2020, on which date the promissory note matured and all remaining amounts owing thereunder became due.</w:t>
      </w:r>
    </w:p>
    <w:p>
      <w:pPr>
        <w:spacing w:after="0" w:line="187"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On February 20, 2020, Creative Realities, Inc. and Allure made a demand for arbitration against Seller for (1) breach of contract, (2) indemnification, and (3) fraudulent misrepresentation under the Allure Purchase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Seller Note and the accrued interest have been eliminated, resulting in a gain in the Condensed Consolidated Financial statements of $1,624, representing $1,538 related to the Seller Note and $86 of related interest thereon, during the three months ended June 30,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These suits remain in the early stages of litigation and, as a result, the outcome of the suit and the allocation of liability, if any, remain unclear, so the Company is unable to reasonably estimate the possible liability, recovery, or range of magnitude for either the liability or recover, if any, at the time of this filing.</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notified its insurance company on notice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noted above, the Company is not party to any other material legal proceedings, other than ordinary routine litigation incidental to the business, as of August 16, 2021, and there were no other such proceedings pending during the period covered by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obligations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six months ended June 30, 2021, (i) the full principal amount of the PPP Loan and the accrued interest of $1,552 were forgiven and recorded as a gain on settlement, and (ii) the Company settled the Amended and Restated Seller Note and related accrued interest for $100, recording a gain on settlement of $1,624, representing $1,538 related to the Amended and Restated Seller Note and $86 of related interest thereon, during the three months ended June 30, 2021.</w:t>
      </w:r>
    </w:p>
    <w:p>
      <w:pPr>
        <w:spacing w:after="0" w:line="18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During the three and six months ended June 30, 2021 and 2020, the Company settled and/or wrote off obligations of $15 and $59, respectively, for aggregate cash payments of $2 and $19, respectively, resulting in recognition of a gain on settlement of $13 and $40,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Employee-related Expenses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three months ended March 31, 2020, we completed a reduction-in-force and accrued one-time termination benefits related to severance to the affected employees of $135, the total of which was paid during the three months ended June 30, 2020. There were no comparable activities during the three or six months ended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In addition to the financing transactions with Slipstream, a related party,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we have the following related party transactions.</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33 Degrees Convenience Connect, Inc., a related party that is approximately 17.5% owned by a member of our senior management (“33 Degrees”), is a customer of both equipment and services from the Company. For the three and six months ended June 30, 2021, the Company had sales to 33 Degrees of $171, or 5.2%, and $282, or 3.4%, respectively, of consolidated revenue. For the three and six months ended June 30, 2020, the Company had sales to 33 Degrees of $291, or 8.0%, and $791, or 10.7%, respectively, of consolidated revenue.</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Accounts receivable due from 33 Degrees was $21, or 0.9%, and $40, or 1.2% of consolidated accounts receivable at June 30, 2021 and December 31, 2020,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229"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three and six-months ended June 30, 2021, we reported tax expense of $7 and $8, respectively. As of June 30, 2021, the net deferred tax assets totaled $0 after valuation allowance, consistent with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outstanding warrants is included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Warrants (Equity)</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4,426,900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Warrants issued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(67,859)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Balance June 30, 2021</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3"/>
            <w:vMerge w:val="continue"/>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4,359,041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w w:val="98"/>
              </w:rPr>
              <w:t>NOTE 13: STOCK-BASED COMPENSATION</w:t>
            </w:r>
          </w:p>
        </w:tc>
        <w:tc>
          <w:tcPr>
            <w:tcW w:w="960" w:type="dxa"/>
            <w:vAlign w:val="bottom"/>
            <w:gridSpan w:val="2"/>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3660" w:type="dxa"/>
            <w:vAlign w:val="bottom"/>
            <w:tcBorders>
              <w:bottom w:val="single" w:sz="8" w:color="auto"/>
            </w:tcBorders>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gridSpan w:val="3"/>
          </w:tcPr>
          <w:p>
            <w:pPr>
              <w:ind w:left="660"/>
              <w:spacing w:after="0"/>
              <w:rPr>
                <w:sz w:val="20"/>
                <w:szCs w:val="20"/>
                <w:color w:val="auto"/>
              </w:rPr>
            </w:pPr>
            <w:r>
              <w:rPr>
                <w:rFonts w:ascii="Arial" w:cs="Arial" w:eastAsia="Arial" w:hAnsi="Arial"/>
                <w:sz w:val="18"/>
                <w:szCs w:val="18"/>
                <w:color w:val="auto"/>
                <w:w w:val="93"/>
              </w:rPr>
              <w:t>A summary of outstanding options is included below:</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Time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$3.00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$3.01 - $7.50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184,830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168,163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$7.51+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1,813,809</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775,683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Performance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bottom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$3.00</w:t>
            </w: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8"/>
                <w:szCs w:val="18"/>
                <w:b w:val="1"/>
                <w:bCs w:val="1"/>
                <w:i w:val="1"/>
                <w:iCs w:val="1"/>
                <w:color w:val="auto"/>
              </w:rPr>
              <w:t>Time Vesting Options</w:t>
            </w:r>
          </w:p>
        </w:tc>
        <w:tc>
          <w:tcPr>
            <w:tcW w:w="254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w w:val="94"/>
              </w:rPr>
              <w:t>Performance Vesting Options</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Date/Activity</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1,813,809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1,813,809</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7.5 years as of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On June 1, 2020 the Board of Directors of the Company granted 10-year options to purchase an aggregate of 2,380,000 shares of its common stock to employees of the Company subject to shareholder approval of an increase in the reserve of shares authorized for issuance under the Company’s 2014 Stock Incentive Plan (as amended, the “Plan”). On July 10, 2020, the Company held a special meeting of the Company’s shareholders at which the shareholders approved the amendment to the Plan, which increased the reserve of shares authorized for issuance thereunder to 6,000,000 shares.</w:t>
      </w:r>
    </w:p>
    <w:p>
      <w:pPr>
        <w:spacing w:after="0" w:line="15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Of the 2,380,000 options awarded, 1,580,000 vest over 3 years and have an exercise price of $2.53, the market value of the Company’s common stock on the grant date. The fair value of the options on the grant date was $1.87 and was determined using the Black-Scholes model. These values were calculated using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w:t>
            </w:r>
          </w:p>
        </w:tc>
        <w:tc>
          <w:tcPr>
            <w:tcW w:w="5180" w:type="dxa"/>
            <w:vAlign w:val="bottom"/>
          </w:tcPr>
          <w:p>
            <w:pPr>
              <w:jc w:val="right"/>
              <w:ind w:right="70"/>
              <w:spacing w:after="0"/>
              <w:rPr>
                <w:sz w:val="20"/>
                <w:szCs w:val="20"/>
                <w:color w:val="auto"/>
              </w:rPr>
            </w:pPr>
            <w:r>
              <w:rPr>
                <w:rFonts w:ascii="Arial" w:cs="Arial" w:eastAsia="Arial" w:hAnsi="Arial"/>
                <w:sz w:val="18"/>
                <w:szCs w:val="18"/>
                <w:color w:val="auto"/>
              </w:rPr>
              <w:t>6.25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remaining 800,000 options awarded vest in equal installments over a three-year period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following three years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Calendar Year</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Revenue Target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7"/>
              </w:rPr>
              <w:t>EBITDA Target</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$32 million</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3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$35 million</w:t>
            </w: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$38 million</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02" w:lineRule="exact"/>
        <w:rPr>
          <w:sz w:val="20"/>
          <w:szCs w:val="20"/>
          <w:color w:val="auto"/>
        </w:rPr>
      </w:pPr>
    </w:p>
    <w:p>
      <w:pPr>
        <w:jc w:val="both"/>
        <w:ind w:right="300" w:firstLine="648"/>
        <w:spacing w:after="0" w:line="301" w:lineRule="auto"/>
        <w:rPr>
          <w:sz w:val="20"/>
          <w:szCs w:val="20"/>
          <w:color w:val="auto"/>
        </w:rPr>
      </w:pPr>
      <w:r>
        <w:rPr>
          <w:rFonts w:ascii="Arial" w:cs="Arial" w:eastAsia="Arial" w:hAnsi="Arial"/>
          <w:sz w:val="16"/>
          <w:szCs w:val="16"/>
          <w:color w:val="auto"/>
        </w:rPr>
        <w:t>The exercise price of the foregoing options is $2.53 per share, the closing price of the Company’s common stock on the date of issuance. The options were issued from the Plan. The fair value of the options on the grant date was $1.87 and was determined using the Black-Scholes model. These values were calculated using the same weighted average assumptions as the time vesting options issued. Performance against the identified revenue and EBITDA targets will be assessed quarterly by the Company in order to determine whether any compensation expense should be recorded.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60" w:firstLine="648"/>
        <w:spacing w:after="0" w:line="255" w:lineRule="auto"/>
        <w:rPr>
          <w:sz w:val="20"/>
          <w:szCs w:val="20"/>
          <w:color w:val="auto"/>
        </w:rPr>
      </w:pPr>
      <w:r>
        <w:rPr>
          <w:rFonts w:ascii="Arial" w:cs="Arial" w:eastAsia="Arial" w:hAnsi="Arial"/>
          <w:sz w:val="18"/>
          <w:szCs w:val="18"/>
          <w:color w:val="auto"/>
        </w:rPr>
        <w:t>During the three months ended March 31, 2021, the Company deemed it probable that the Company would achieve the EBITDA target for Calendar Year 2021 and recorded catch-up compensation expense in the Consolidated Statement of Operations with respect to these awards of $263 during the three months ended March 31, 2021. These awards have not yet vested and are subject to actual results for the full fiscal year 2021. Should this target not be achieved, amounts recorded as expense in the Condensed Consolidated Statement of Operations would be reversed. The Company recorded $79 during the three months ended June 30, 2021 and anticipates recording $79 in each subsequent quarter of 2021 related to the EBITDA target for Calendar Year 2020 and 2021 portion of these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12,135 options outstanding under the 2006 Equity Incentive Plan.</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Compensation expense recognized for the issuance of stock options, inclusive of performance-restricted stock options, for the three and six months ended June 30, 2021 of $356 and $895, respectively, was included in general and administrative expense in the Condensed Consolidated Financial Statements. Compensation expense recognized for the issuance of stock options for the three and six months ended June 30, 2020 of $19 and $119, respectively, was included in general and administrative expense in the Condensed Consolidated Financial Statements. Amounts recorded include stock compensation expense for awards granted to directors of the Company in exchange for services at fair value.</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2021, there was approximately $1,861 and $1,157 of total unrecognized compensation expense related to unvested share-based awards with time vesting and performance vesting criteria, respectively. As of June 30, 2020, there was approximately $3,014 and $1,499 of total unrecognized compensation expense related to unvested share-based awards with time vesting and performance vesting criteria, respectively. 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Awards</w:t>
      </w:r>
    </w:p>
    <w:p>
      <w:pPr>
        <w:spacing w:after="0" w:line="225"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During the three months ended June 30, 2021, the Company engaged certain consultants to perform services in exchange for Company common stock. Shares issued for services were calculated based on the ten (10) day volume weighted average price (“VWAP”) for the last ten (10) days during the month of service provided. The Company recorded $40 in compensation expense during the period in exchange for issuance of 22,204 shares.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NOTE 14: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had two (2) customers that in the aggregate accounted for 32.9% and 42.6% of accounts receivable as of June 30, 2021 and December 31, 2020, respectively.</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had three (3) and two (2) customers that accounted for 44.0% and 27.0% of revenue for the three months ended June 30, 2021 and 2020, respectively. We had two (2) customers that accounted for 37.4% and 22.5% of revenue for the six months ended June 30, 2021 and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We had two (2) vendors that accounted for 22.7% and 47.0% of outstanding accounts payable at June 30, 2021 and December 31,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LEASES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entered into various non-cancelable operating lease agreements for certain of our offices and office equipment. Our leases have original lease periods expiring between 2021 and 2025.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ectPr>
          <w:pgSz w:w="11900" w:h="16838" w:orient="portrait"/>
          <w:cols w:equalWidth="0" w:num="1">
            <w:col w:w="11240"/>
          </w:cols>
          <w:pgMar w:left="320" w:top="877" w:right="339" w:bottom="1440" w:gutter="0" w:footer="0" w:header="0"/>
        </w:sectPr>
      </w:pPr>
    </w:p>
    <w:p>
      <w:pPr>
        <w:spacing w:after="0" w:line="187" w:lineRule="exact"/>
        <w:rPr>
          <w:sz w:val="20"/>
          <w:szCs w:val="20"/>
          <w:color w:val="auto"/>
        </w:rPr>
      </w:pPr>
    </w:p>
    <w:p>
      <w:pPr>
        <w:jc w:val="right"/>
        <w:ind w:right="1834"/>
        <w:spacing w:after="0"/>
        <w:rPr>
          <w:sz w:val="20"/>
          <w:szCs w:val="20"/>
          <w:color w:val="auto"/>
        </w:rPr>
      </w:pPr>
      <w:r>
        <w:rPr>
          <w:rFonts w:ascii="Arial" w:cs="Arial" w:eastAsia="Arial" w:hAnsi="Arial"/>
          <w:sz w:val="17"/>
          <w:szCs w:val="17"/>
          <w:color w:val="auto"/>
        </w:rPr>
        <w:t>The components of lease costs, lease term and discount rate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83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29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1026" w:hanging="1026"/>
        <w:spacing w:after="0"/>
        <w:tabs>
          <w:tab w:leader="none" w:pos="1026" w:val="left"/>
        </w:tabs>
        <w:numPr>
          <w:ilvl w:val="0"/>
          <w:numId w:val="5"/>
        </w:numPr>
        <w:rPr>
          <w:rFonts w:ascii="Arial" w:cs="Arial" w:eastAsia="Arial" w:hAnsi="Arial"/>
          <w:sz w:val="13"/>
          <w:szCs w:val="13"/>
          <w:color w:val="auto"/>
        </w:rPr>
      </w:pPr>
      <w:r>
        <w:rPr>
          <w:rFonts w:ascii="Arial" w:cs="Arial" w:eastAsia="Arial" w:hAnsi="Arial"/>
          <w:sz w:val="13"/>
          <w:szCs w:val="13"/>
          <w:color w:val="auto"/>
        </w:rPr>
        <w:t>4</w:t>
      </w:r>
    </w:p>
    <w:p>
      <w:pPr>
        <w:spacing w:after="0" w:line="80" w:lineRule="exact"/>
        <w:rPr>
          <w:rFonts w:ascii="Arial" w:cs="Arial" w:eastAsia="Arial" w:hAnsi="Arial"/>
          <w:sz w:val="13"/>
          <w:szCs w:val="13"/>
          <w:color w:val="auto"/>
        </w:rPr>
      </w:pPr>
    </w:p>
    <w:p>
      <w:pPr>
        <w:ind w:left="1046"/>
        <w:spacing w:after="0"/>
        <w:rPr>
          <w:rFonts w:ascii="Arial" w:cs="Arial" w:eastAsia="Arial" w:hAnsi="Arial"/>
          <w:sz w:val="13"/>
          <w:szCs w:val="13"/>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w:t>
      </w:r>
    </w:p>
    <w:p>
      <w:pPr>
        <w:spacing w:after="0" w:line="62" w:lineRule="exact"/>
        <w:rPr>
          <w:sz w:val="20"/>
          <w:szCs w:val="20"/>
          <w:color w:val="auto"/>
        </w:rPr>
      </w:pPr>
    </w:p>
    <w:p>
      <w:pPr>
        <w:ind w:left="846" w:hanging="846"/>
        <w:spacing w:after="0"/>
        <w:tabs>
          <w:tab w:leader="none" w:pos="846" w:val="left"/>
        </w:tabs>
        <w:numPr>
          <w:ilvl w:val="0"/>
          <w:numId w:val="6"/>
        </w:numPr>
        <w:rPr>
          <w:rFonts w:ascii="Arial" w:cs="Arial" w:eastAsia="Arial" w:hAnsi="Arial"/>
          <w:sz w:val="15"/>
          <w:szCs w:val="15"/>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left="109" w:right="171"/>
        <w:spacing w:after="0" w:line="303" w:lineRule="auto"/>
        <w:rPr>
          <w:sz w:val="20"/>
          <w:szCs w:val="20"/>
          <w:color w:val="auto"/>
        </w:rPr>
      </w:pPr>
      <w:r>
        <w:rPr>
          <w:rFonts w:ascii="Arial" w:cs="Arial" w:eastAsia="Arial" w:hAnsi="Arial"/>
          <w:sz w:val="16"/>
          <w:szCs w:val="16"/>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029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2" w:lineRule="exact"/>
        <w:rPr>
          <w:sz w:val="20"/>
          <w:szCs w:val="20"/>
          <w:color w:val="auto"/>
        </w:rPr>
      </w:pPr>
    </w:p>
    <w:p>
      <w:pPr>
        <w:ind w:left="929" w:hanging="929"/>
        <w:spacing w:after="0"/>
        <w:tabs>
          <w:tab w:leader="none" w:pos="929" w:val="left"/>
        </w:tabs>
        <w:numPr>
          <w:ilvl w:val="0"/>
          <w:numId w:val="7"/>
        </w:numPr>
        <w:rPr>
          <w:rFonts w:ascii="Arial" w:cs="Arial" w:eastAsia="Arial" w:hAnsi="Arial"/>
          <w:sz w:val="16"/>
          <w:szCs w:val="16"/>
          <w:color w:val="auto"/>
        </w:rPr>
      </w:pPr>
      <w:r>
        <w:rPr>
          <w:rFonts w:ascii="Arial" w:cs="Arial" w:eastAsia="Arial" w:hAnsi="Arial"/>
          <w:sz w:val="16"/>
          <w:szCs w:val="16"/>
          <w:color w:val="auto"/>
        </w:rPr>
        <w:t>12</w:t>
      </w:r>
    </w:p>
    <w:p>
      <w:pPr>
        <w:spacing w:after="0" w:line="46"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7"/>
          <w:szCs w:val="17"/>
          <w:color w:val="auto"/>
        </w:rPr>
        <w:t>1</w:t>
      </w:r>
    </w:p>
    <w:p>
      <w:pPr>
        <w:spacing w:after="0" w:line="21"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343</w:t>
      </w:r>
    </w:p>
    <w:p>
      <w:pPr>
        <w:spacing w:after="0" w:line="62" w:lineRule="exact"/>
        <w:rPr>
          <w:sz w:val="20"/>
          <w:szCs w:val="20"/>
          <w:color w:val="auto"/>
        </w:rPr>
      </w:pPr>
    </w:p>
    <w:p>
      <w:pPr>
        <w:ind w:left="829" w:hanging="829"/>
        <w:spacing w:after="0"/>
        <w:tabs>
          <w:tab w:leader="none" w:pos="829" w:val="left"/>
        </w:tabs>
        <w:numPr>
          <w:ilvl w:val="0"/>
          <w:numId w:val="8"/>
        </w:numPr>
        <w:rPr>
          <w:rFonts w:ascii="Arial" w:cs="Arial" w:eastAsia="Arial" w:hAnsi="Arial"/>
          <w:sz w:val="16"/>
          <w:szCs w:val="16"/>
          <w:color w:val="auto"/>
        </w:rPr>
      </w:pPr>
      <w:r>
        <w:rPr>
          <w:rFonts w:ascii="Arial" w:cs="Arial" w:eastAsia="Arial" w:hAnsi="Arial"/>
          <w:sz w:val="16"/>
          <w:szCs w:val="16"/>
          <w:color w:val="auto"/>
        </w:rPr>
        <w:t>356</w:t>
      </w:r>
    </w:p>
    <w:p>
      <w:pPr>
        <w:spacing w:after="0" w:line="46" w:lineRule="exact"/>
        <w:rPr>
          <w:sz w:val="20"/>
          <w:szCs w:val="20"/>
          <w:color w:val="auto"/>
        </w:rPr>
      </w:pPr>
    </w:p>
    <w:p>
      <w:pPr>
        <w:sectPr>
          <w:pgSz w:w="11900" w:h="16838" w:orient="portrait"/>
          <w:cols w:equalWidth="0" w:num="3">
            <w:col w:w="7874" w:space="720"/>
            <w:col w:w="1106" w:space="271"/>
            <w:col w:w="1269"/>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6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1540" w:type="dxa"/>
            <w:vAlign w:val="bottom"/>
            <w:gridSpan w:val="5"/>
            <w:shd w:val="clear" w:color="auto" w:fill="CCEEFF"/>
          </w:tcPr>
          <w:p>
            <w:pPr>
              <w:jc w:val="right"/>
              <w:ind w:right="350"/>
              <w:spacing w:after="0"/>
              <w:rPr>
                <w:sz w:val="20"/>
                <w:szCs w:val="20"/>
                <w:color w:val="auto"/>
              </w:rPr>
            </w:pPr>
            <w:r>
              <w:rPr>
                <w:rFonts w:ascii="Arial" w:cs="Arial" w:eastAsia="Arial" w:hAnsi="Arial"/>
                <w:sz w:val="18"/>
                <w:szCs w:val="18"/>
                <w:color w:val="auto"/>
              </w:rPr>
              <w:t>3.3 years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 years</w:t>
            </w:r>
          </w:p>
        </w:tc>
      </w:tr>
      <w:tr>
        <w:trPr>
          <w:trHeight w:val="216"/>
        </w:trPr>
        <w:tc>
          <w:tcPr>
            <w:tcW w:w="8600" w:type="dxa"/>
            <w:vAlign w:val="bottom"/>
          </w:tcPr>
          <w:p>
            <w:pPr>
              <w:ind w:left="340"/>
              <w:spacing w:after="0"/>
              <w:rPr>
                <w:sz w:val="20"/>
                <w:szCs w:val="20"/>
                <w:color w:val="auto"/>
              </w:rPr>
            </w:pPr>
            <w:r>
              <w:rPr>
                <w:rFonts w:ascii="Arial" w:cs="Arial" w:eastAsia="Arial" w:hAnsi="Arial"/>
                <w:sz w:val="18"/>
                <w:szCs w:val="18"/>
                <w:color w:val="auto"/>
              </w:rPr>
              <w:t>Finance leases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 years</w:t>
            </w:r>
          </w:p>
        </w:tc>
      </w:tr>
      <w:tr>
        <w:trPr>
          <w:trHeight w:val="216"/>
        </w:trPr>
        <w:tc>
          <w:tcPr>
            <w:tcW w:w="8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600" w:type="dxa"/>
            <w:vAlign w:val="bottom"/>
          </w:tcPr>
          <w:p>
            <w:pPr>
              <w:ind w:left="340"/>
              <w:spacing w:after="0"/>
              <w:rPr>
                <w:sz w:val="20"/>
                <w:szCs w:val="20"/>
                <w:color w:val="auto"/>
              </w:rPr>
            </w:pPr>
            <w:r>
              <w:rPr>
                <w:rFonts w:ascii="Arial" w:cs="Arial" w:eastAsia="Arial" w:hAnsi="Arial"/>
                <w:sz w:val="18"/>
                <w:szCs w:val="18"/>
                <w:color w:val="auto"/>
              </w:rPr>
              <w:t>Finance leases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14.0%</w:t>
            </w:r>
          </w:p>
        </w:tc>
      </w:tr>
      <w:tr>
        <w:trPr>
          <w:trHeight w:val="418"/>
        </w:trPr>
        <w:tc>
          <w:tcPr>
            <w:tcW w:w="8600" w:type="dxa"/>
            <w:vAlign w:val="bottom"/>
          </w:tcPr>
          <w:p>
            <w:pPr>
              <w:ind w:left="660"/>
              <w:spacing w:after="0"/>
              <w:rPr>
                <w:sz w:val="20"/>
                <w:szCs w:val="20"/>
                <w:color w:val="auto"/>
              </w:rPr>
            </w:pPr>
            <w:r>
              <w:rPr>
                <w:rFonts w:ascii="Arial" w:cs="Arial" w:eastAsia="Arial" w:hAnsi="Arial"/>
                <w:sz w:val="18"/>
                <w:szCs w:val="18"/>
                <w:color w:val="auto"/>
              </w:rPr>
              <w:t>The following is a schedule, by years, of maturities of lease liabilities as of June 30, 2021:</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86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Leases</w:t>
            </w: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remainder of 2021</w:t>
            </w:r>
          </w:p>
        </w:tc>
        <w:tc>
          <w:tcPr>
            <w:tcW w:w="130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2022</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undiscounted cash flows</w:t>
            </w:r>
          </w:p>
        </w:tc>
        <w:tc>
          <w:tcPr>
            <w:tcW w:w="1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914</w:t>
            </w:r>
          </w:p>
        </w:tc>
        <w:tc>
          <w:tcPr>
            <w:tcW w:w="100" w:type="dxa"/>
            <w:vAlign w:val="bottom"/>
            <w:tcBorders>
              <w:top w:val="single" w:sz="8" w:color="CCEEFF"/>
            </w:tcBorders>
          </w:tcPr>
          <w:p>
            <w:pPr>
              <w:spacing w:after="0"/>
              <w:rPr>
                <w:sz w:val="17"/>
                <w:szCs w:val="17"/>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0"/>
        </w:trPr>
        <w:tc>
          <w:tcPr>
            <w:tcW w:w="8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lease liabilities</w:t>
            </w:r>
          </w:p>
        </w:tc>
        <w:tc>
          <w:tcPr>
            <w:tcW w:w="13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755</w:t>
            </w:r>
          </w:p>
        </w:tc>
        <w:tc>
          <w:tcPr>
            <w:tcW w:w="100" w:type="dxa"/>
            <w:vAlign w:val="bottom"/>
            <w:tcBorders>
              <w:top w:val="single" w:sz="8" w:color="CCEEFF"/>
            </w:tcBorders>
          </w:tcPr>
          <w:p>
            <w:pPr>
              <w:spacing w:after="0"/>
              <w:rPr>
                <w:sz w:val="18"/>
                <w:szCs w:val="18"/>
                <w:color w:val="auto"/>
              </w:rPr>
            </w:pPr>
          </w:p>
        </w:tc>
      </w:tr>
      <w:tr>
        <w:trPr>
          <w:trHeight w:val="655"/>
        </w:trPr>
        <w:tc>
          <w:tcPr>
            <w:tcW w:w="86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EMPLOYEE RETENTION CREDITS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CARES Act provides an employee retention credit (“ERC”) that is a refundable tax credit against certain employer taxes. On December 27, 2020, Congress enacted the Taxpayer Certainty and Disaster Tax Relief Act of 2020, which amended and extended ERC availability under Section 2301 of the CARES Act. Before the enactment of the Taxpayer Certainty and Disaster Tax Relief Act of 2020, businesses who were provided SBA PPP Loans under the CARES Act were ineligible for the ERC. Following enactment of the Taxpayer Certainty and Disaster Tax Relief Act of 2020, such businesses became retroactively eligible for the ERC.</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a result of the foregoing legislation, the Company is eligible to claim a refundable tax credit against the employer share of Social Security taxes equal to seventy percent (70%) of the qualified wages that the Company pays to employees between December 31, 2020 and June 30, 2021. Qualified wages are limited to $10 per employee per calendar quarter in 2021 for a maximum ERC per employee of $7 per calendar quarter in 2021.</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 result of the Taxpayer Certainty and Disaster Tax Relief Act of 2020, the Company is now eligible to make ERC claims for each quarter in 2020 and 2021, subject to the other eligibility requirements.</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ERC was extended and expanded in March 2021 through December 31, 2021, as part of the American Rescue Plan Act of 2021 (“ARPA”). Under the CARES Act, the amount of credit was fifty percent (50%) of qualified wages paid to the employee plus the employer cost to provide health benefits. Under the Consolidated Appropriations Act of 2021, eligible employers can claim a refundable tax credit against the employer share of Social Security taxes equal to seventy percent (70%) of the qualified wages they pay to employees after December 31, 2020, through June 30, 2021. The ARPA allows employers to retain a seventy percent (70%) credit for qualified wages paid between July 1, 2021, and December 31, 2021, including the cost to provide health benefits.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qualified for the ERC beginning on March 13, 2020 (the earliest eligibility date) through June 30, 2021 (the most recent assessment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During the three months ended June 30, 2021, the Company recorded an ERC totaling $1,237, representing $396, $412, and $429 for credits earned for wages paid in 2020, the first quarter of 2021, and the second quarter of 2021, respectively. The Company filed Form 941-X with the IRS for each quarter of 2020 and the first quarter of 2021. Credits for the second quarter of 2021 were claimed on the Company’s original Form 941. The Company has recorded these amounts as receivable within prepaid and other currents assets within the Condensed Consolidated Balance Sheet as of June 30, 2021.</w:t>
      </w:r>
    </w:p>
    <w:p>
      <w:pPr>
        <w:spacing w:after="0" w:line="15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the three months ended June 30, 2021, the $1,237 of ERCs were included as a reduction in payroll taxes within the Condensed Consolidated Statement of Operations and allocated to the financial statement caption from which the employee taxes were originally incurred. As a result, the Company recorded a reduction in expenses of $400, $182, $147, and $508 in Cost of Goods – Services, Sales and Marketing Expenses, Research and Development Expenses, and General and Administrative Expenses, respectively, for the three months ended June 30, 2021.</w:t>
      </w:r>
    </w:p>
    <w:p>
      <w:pPr>
        <w:spacing w:after="0" w:line="17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would qualify for an ERC for each remaining quarter during 2021 in which the Company experiences a “significant decline in gross receipts,” defined as quarterly gross receipts that are less than eighty percent (80%) of its gross receipts for the same calendar quarter in 2019.</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following discussion contains various forward-looking statements within the meaning of Section 21E of the Exchange Act of 1934, as amended. Although we believe that, in making any such statements, our expectations are based on reasonable assumptions, any such statements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2020 and Form 10-Q for the quarter ended March 31, 2021, as filed with the Securities and Exchange Commission on March 10, 2021 and May 17, 2021, respectively.</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this report. We do not undertake to update any forward-looking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solutions to a broad range of companies, individual brands, enterprises, and organizations throughout the United States and in certain international markets. We have expertise in a broad range of existing and emerging digital marketing technologies across a variety of strategic vertical markets, as well as the related media management and distribution software platforms and networks, device and content management, product management, customized software service layers, systems, experiences, workflows, and integrated solutions. Our technology and solutions include: digital merchandising systems and omni-channel customer engagement systems; content creation, production and scheduling programs and systems; a comprehensive series of recurring maintenance, support, and field service offerings; interactive digital shopping assistants, advisors and kiosks; and, other interactive marketing technologies such as mobile, social media, point-of-sale transactions, beaconing and web-based media that enable our customers to transform how they engage with consumers.</w:t>
      </w:r>
    </w:p>
    <w:p>
      <w:pPr>
        <w:spacing w:after="0" w:line="16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main operations are conducted directly through Creative Realities, Inc., and under our wholly owned subsidiaries Allure Global Solutions, Inc., a Georgia corporation (“Allure”), and Creative Realities Canada, Inc., a Canadian corporation. Our other wholly owned subsidiaries, Creative Realities, LLC, a Delaware limited liability company, and ConeXus World Global, LLC, a Kentucky limited liability company, are effectively dormant.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primarily generate revenue in our business by:</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consulting with our customers to determine the technologies and solutions required to achieve their specific goals, strategies and objectives;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designing our customers’ digital marketing experiences, content and interfaces;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engineering the systems architecture delivering the digital marketing experiences we design – both software and hardware – and integrating those systems into a customized, reliable and effective digital marketing experience;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3" w:name="page24"/>
    <w:bookmarkEnd w:id="23"/>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the efficient, timely and cost-effective deployment of our digital marketing technology solutions for our customers;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and updating the content of our digital marketing technology solutions using a suite of advanced media, content and network management software products; and</w:t>
      </w:r>
    </w:p>
    <w:p>
      <w:pPr>
        <w:spacing w:after="0" w:line="170"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our customers’ digital marketing technology solutions by: providing content production and related services; creating additional software-based features and functionality; hosting the solutions; monitoring solution service levels; and responding to and/or managing remote or onsite field service maintenance, troubleshooting and support calls.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activities generate revenue through: bundled-solution sales; consulting services, experience design, content development and production, software development, engineering, implementation, and field services; software license fees; and maintenance and support services related to our software, managed systems and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2020, an outbreak of a new strain of coronavirus, COVID-19, was identified in Wuhan, China. Through the first quarter of 2020, the disease became widespread around the world, and on March 11, 2020, the World Health Organization declared a pandemic. Thereafter, state and local authorities in the United States and worldwide have forced many businesses to temporarily reduce or cease operations to slow the spread of the COVID-19 pandemic.</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a result of the COVID-19 pandemic, we have experienced rapid and immediate deterioration in our business in each of our key vertical markets. The elective and forced closures of, and implementation of social distancing policies on, businesses across the United States has resulted in materially reduced demand for our services by our customers, as our customers purchase our products and services to engage with their end customers in a physical space through digital technology, particularly in our theater, sports arena and large entertainment markets. The reduced demand has resulted in customer orders being delayed. These conditions have resulted in downward revisions of our internal forecasts on current and future projected earnings and cash flows, resulting in a non-cash impairment loss of $10,646 recorded during the first quarter of 2020 and reduced liquidity as described below.</w:t>
      </w:r>
    </w:p>
    <w:p>
      <w:pPr>
        <w:spacing w:after="0" w:line="164"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While we have experienced an intense curtail in current customer demand, our long-term outlook for the digital signage industry remains strong. We are seeing the digital signage industry experiencing continued consolidation, and believe that those companies able to scale and enhance profitability will emerge as the enterprise-level providers within our industry after the COVID-19 pandemic and consolidations.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 Chip Shortage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Company’s suppliers of digital displays, the primary hardware component in the Company’s digital systems, have informed the Company that, due to semiconductor chip shortages in the industry, such suppliers expect delays and potentially increased costs for the Company to obtain digital displays necessary to fulfill and install the Company’s digital solutions. Historically, such digital displays have been readily available for purchase and delivery, to be purchased by the Company from distributors from such distributor’s existing inventory. Such delays will likely result in a longer sales cycles and prolonged periods in which the Company will be able to recognize revenues compared to historical time periods. The increased costs for such displays may also reduce the margins in which the Company has received on account of the purchase and installation of such displays as part the Company’s digital signage product offerings. Although we believe that such shortage will be alleviated by the end of the calendar year, the Company is unable to confirm how long such delays may exist, the effect such delays and increased demand may have on the cost to procure such digital screens, or the adverse impacts on our financial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Safe Space Solutions</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April 28, 2020, we announced the joint launch of an AI-integrated non-contact temperature inspection kiosk known as the Thermal Mirror with our partner, InReality, LLC (“InReality”), for use by businesses as COVID-19 related workplace restrictions are reduced or eliminated. Although we have experience in providing customers digital integration solutions, our launch of the Thermal Mirror involves the development, marketing and sale of a new product to new customers involving a joint effort with InReality. The product also uses hardware and technologies that have not been used with our other customers. Throughout the course of the remainder of 2020 and thus far through 2021, the Company and InReality have continued to develop incremental use cases and have launched a suite of Safe Space Solutions products addressing this market, each of which operate consistently with our primary business model in that they represent a sale of hardware and a SaaS-based subscription license services contract. During the three and six months ended June 30, 2021, the Company generated revenue of $419 and $1,438, respectively, from our Safe Space Solutions products and services (inclusive of the portion of revenue recognized during the three and six months ended June 30, 2021 related to annual contracts sold in prior periods). During the three and six months ended June 30, 2020, the Company generated revenue of $529 and $529, respectively, from of our Safe Space Solutions products and services (inclusive of the portion of revenue recognized during the three and six months ended June 30, 2020 related to annual contracts sold in prior periods).</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these products and our launch have been successful, the Company retains some level of risk related to the ultimate recovery of our initial investment into the inventory acquired to launch and support these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Seller Note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 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additional details with respect to the transaction and related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primarily generate revenue through digital marketing solution sales, which include system hardware, professional and implementation services, software design and development, software licensing, deployment, and maintenance and support services.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5" w:name="page26"/>
    <w:bookmarkEnd w:id="25"/>
    <w:p>
      <w:pPr>
        <w:ind w:right="300"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The Company’s significant accounting policies are described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Company’s Condensed Consolidated Financial Statements included elsewhere in this filing.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per-share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8"/>
              </w:rPr>
              <w:t>For the three months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81"/>
              <w:spacing w:after="0"/>
              <w:rPr>
                <w:sz w:val="20"/>
                <w:szCs w:val="20"/>
                <w:color w:val="auto"/>
              </w:rPr>
            </w:pPr>
            <w:r>
              <w:rPr>
                <w:rFonts w:ascii="Arial" w:cs="Arial" w:eastAsia="Arial" w:hAnsi="Arial"/>
                <w:sz w:val="18"/>
                <w:szCs w:val="18"/>
                <w:b w:val="1"/>
                <w:bCs w:val="1"/>
                <w:color w:val="auto"/>
              </w:rPr>
              <w:t>ended June 30,</w:t>
            </w:r>
          </w:p>
        </w:tc>
        <w:tc>
          <w:tcPr>
            <w:tcW w:w="38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6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1,402</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1,839</w:t>
            </w:r>
          </w:p>
        </w:tc>
        <w:tc>
          <w:tcPr>
            <w:tcW w:w="38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1,960</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Bad debt expense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(1,644)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1,233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Convertible Loan</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Gain on settlement of debt</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1,627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162,700%</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17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2,254</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Provision from income taxes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4260" w:type="dxa"/>
            <w:vAlign w:val="bottom"/>
            <w:vMerge w:val="continue"/>
            <w:shd w:val="clear" w:color="auto" w:fill="CCEEFF"/>
          </w:tcPr>
          <w:p>
            <w:pPr>
              <w:spacing w:after="0"/>
              <w:rPr>
                <w:sz w:val="21"/>
                <w:szCs w:val="21"/>
                <w:color w:val="auto"/>
              </w:rPr>
            </w:pPr>
          </w:p>
        </w:tc>
        <w:tc>
          <w:tcPr>
            <w:tcW w:w="19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0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3,484</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Sales decreased by $379, or 10%, during the three months ended June 30, 2021 as compared to the same period in 2020 primarily driven by a reduction of $305 in hardware sales resulting from limited supply chain availability of semiconductor chips delaying the delivery of digital displays and media players to the Company. The supply disruption for digital displays prevented the Company from delivery of hardware and execution of installation activities during the quarter. As of June 30, 2021, the Company had customer purchase orders for equipment and installation activities in excess of $1,800 which were delayed as a result of product availability. The Company expects to experience continued disruptions and delays related to fulfillment of inventory purchases from vendors throughout the remainder of 2021, which may impact our results for the remainder of 2021. We expect a full recovery in the timely availability of equipment during the first half of 2022. During the three months ended June 30, 2021 and 2020, of our Safe Space Solutions products and services (inclusive of the portion of revenue recognized during the three months ended June 30, 2021 related to annual contracts sold in prior periods), were $419 and $529,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Gross profit increased $58, or 3% during the three months ended June 30, 2021 as compared to the same period in 2020 driven by the decrease in sales but offset by an increase in gross profit margin. Gross profit margin increased to 57.2% in 2021 from 49.7% during the same period in 2020. The increase in gross profit margin is the result of a decrease in hardware revenue as a percentage of total revenue, which generates lower gross profit than services revenue. High gross profit margin from services revenues were driven by headcount reductions in personnel servicing customers as a result of cost reductions executed throughout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Sales and marketing expenses generally include the salaries, taxes, and benefits of our sales and marketing personnel, as well as trade show activities, travel, and other related sales and marketing costs. Sales and marketing expenses decreased by $202, or 54%, in 2021 compared to 2020. The decrease was driven by $182 of Employee Retention Credits related to the retention and payment of salaries to sales personnel throughout 2020 and the six months ended June 30, 2021. The remaining reduction was the result of reduced personnel costs, combined with reduced spend on trade show activity and related travel costs following the cancellation of several key industry events as a result of the COVID-19 pandemic. We anticipate our sales personnel will maintain a reduced level of travel costs as compared to 2019 during the extended COVID-19 pandemic period and utilize virtual meeting technology more commonly moving forward, but that these costs will increase as compared to 2020 during the second half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Research and development expenses generally include personnel and development tools costs associated with the continued development of the Company’s content management systems and other related application development. Research and development decreased by $187, or 76%, in 2021 compared to 2020. The decrease was driven by $147 of Employee Retention Credits related to the retention and payment of salaries to sales personnel throughout 2020 and the three months ended June 30, 2021. The remaining reduction was the result of reduced personnel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general and administrative expenses decreased by $294, or 15%, in 2021 compared to 2020. The decrease was driven by $508 of Employee Retention Credits related to the retention and payment of salaries to sales personnel throughout 2020 and the six months ended June 30, 2021. Excluding the consideration of those tax credits recorded in the period, total general and administrative expenses increased $214, or 11%, during the six months ended June 30, 2021 as compared to the same period in 2020 driven primarily by an increase of $237 in non-cash stock compensation expenses from employee stock option awards with time and performance-based vesting.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Bad Debt</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Expenses related to the Company’s allowance for bad debts decreased by $456, or 90%, in 2021 compared to 2020. The 2020 increase was the result of recording a reserve of $502 related to a customer bankruptcy filing during the three months ended June 30, 2020. The Company ultimately recovered $555 from this customer during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Depreciation and amortization expenses decreased by $36, or 9%, in 2021 compared to 2020. This decrease was the result of a trade name asset becoming fully amortized during 2020, while no amortization was recorded during the three months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Change in fair value of Convertible Loan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June 30, 2021 and 2020, we updated our fair value analysis of the Convertible Loan, resulting in recognition of a $0 and $551 loss during the three months ended June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Settlement of Debt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Amended and Restated Seller Note and the accrued interest have been eliminated, resulting in a gain in the Condensed Consolidated Financial statements of $1,624, representing $1,538 related to the Amended and Restated Seller Note and $86 of related interest thereon, during the three months ended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41"/>
              <w:spacing w:after="0"/>
              <w:rPr>
                <w:sz w:val="20"/>
                <w:szCs w:val="20"/>
                <w:color w:val="auto"/>
              </w:rPr>
            </w:pPr>
            <w:r>
              <w:rPr>
                <w:rFonts w:ascii="Arial" w:cs="Arial" w:eastAsia="Arial" w:hAnsi="Arial"/>
                <w:sz w:val="18"/>
                <w:szCs w:val="18"/>
                <w:b w:val="1"/>
                <w:bCs w:val="1"/>
                <w:color w:val="auto"/>
              </w:rPr>
              <w:t>For the six months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81"/>
              <w:spacing w:after="0"/>
              <w:rPr>
                <w:sz w:val="20"/>
                <w:szCs w:val="20"/>
                <w:color w:val="auto"/>
              </w:rPr>
            </w:pPr>
            <w:r>
              <w:rPr>
                <w:rFonts w:ascii="Arial" w:cs="Arial" w:eastAsia="Arial" w:hAnsi="Arial"/>
                <w:sz w:val="18"/>
                <w:szCs w:val="18"/>
                <w:b w:val="1"/>
                <w:bCs w:val="1"/>
                <w:color w:val="auto"/>
              </w:rPr>
              <w:t>ended June 30,</w:t>
            </w:r>
          </w:p>
        </w:tc>
        <w:tc>
          <w:tcPr>
            <w:tcW w:w="320" w:type="dxa"/>
            <w:vAlign w:val="bottom"/>
          </w:tcPr>
          <w:p>
            <w:pPr>
              <w:spacing w:after="0"/>
              <w:rPr>
                <w:sz w:val="20"/>
                <w:szCs w:val="20"/>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4,172</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3,936</w:t>
            </w:r>
          </w:p>
        </w:tc>
        <w:tc>
          <w:tcPr>
            <w:tcW w:w="3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798</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3,775</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4,473</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(698)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Bad debt expense/(recovery)</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10,646</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(10,646)</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18,069</w:t>
            </w:r>
          </w:p>
        </w:tc>
        <w:tc>
          <w:tcPr>
            <w:tcW w:w="2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(13,336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income/(expenses):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Change in fair value of Convertible Loan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(702)</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debt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3,152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r>
              <w:rPr>
                <w:rFonts w:ascii="Arial" w:cs="Arial" w:eastAsia="Arial" w:hAnsi="Arial"/>
                <w:sz w:val="18"/>
                <w:szCs w:val="18"/>
                <w:color w:val="auto"/>
              </w:rPr>
              <w:t>Other income/(expense)</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income/(expense)</w:t>
            </w: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3" w:lineRule="exact"/>
              <w:rPr>
                <w:sz w:val="20"/>
                <w:szCs w:val="20"/>
                <w:color w:val="auto"/>
              </w:rPr>
            </w:pPr>
            <w:r>
              <w:rPr>
                <w:rFonts w:ascii="Arial" w:cs="Arial" w:eastAsia="Arial" w:hAnsi="Arial"/>
                <w:sz w:val="18"/>
                <w:szCs w:val="18"/>
                <w:color w:val="auto"/>
              </w:rPr>
              <w:t>Net income/(loss) before income taxes</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2,305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(15,793)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18,098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income/(loss)</w:t>
            </w: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9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(15,642</w:t>
            </w:r>
          </w:p>
        </w:tc>
        <w:tc>
          <w:tcPr>
            <w:tcW w:w="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17,939</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vMerge w:val="restart"/>
          </w:tcPr>
          <w:p>
            <w:pPr>
              <w:jc w:val="right"/>
              <w:ind w:right="17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Sales increased by $921, or 13%, in the six months ended June 30, 2021 as compared to the same period in 2020 driven by sales of $1,438 during the six months ended June 30, 2021 of our Safe Space Solutions products and services (inclusive of the portion of revenue recognized during the six months ended June 30, 2021 related to annual contracts sold in prior periods), which launched in April 2020. Safe Space Solutions products had no sales in the three months ended March 31, 2020 and $529 during the three months ended June 30, 2020. The increase in sales during the period were constrained from further growth due to limited supply chain availability of semiconductor chips delaying the delivery of digital displays and media players to the Company. The supply disruption for digital displays prevented the Company from delivery of hardware and execution of installation activities during the quarter. As of June 30, 2021, the Company had customer purchase orders for equipment and installation activities in excess of $1,800 which were delayed as a result of product availability. The Company expects to experience continued disruptions and delays related to fulfillment of inventory purchases from vendors throughout the remainder of 2021, which may impact our results for the remainder of 2021. We expect a full recovery in the timely availability of equipment during the first half of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Gross profit increased $685, or 20%, during the six months ended June 30, 2021 as compared to the same period in 2020, driven by both an increase in sales, which contributed $428 of incremental gross profit on a constant gross profit margin basis, and an increase in gross profit margin, which contributed $257 of incremental gross profit. Gross profit margin increased to 49.6% from 46.5% driven primarily by increased hardware margins of 32.3% in the six months ended June 30, 2021 as compared to 23.2% for the comparable period in 2020. The increases in hardware margin in the current year were driven by increased purchasing power with distributors as our purchases of digital displays have increased, driving a total increase in hardware revenue of $1,144, or 39%.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Sales and marketing expenses generally include the salaries, taxes, and benefits of our sales and marketing personnel, as well as trade show activities, travel, and other related sales and marketing costs. Sales and marketing expenses decreased by $294, or 37%, in 2021 compared to 2020. The decrease was driven by $182 of Employee Retention Credits related to the retention and payment of salaries to sales personnel throughout 2020 and the six months ended June 30, 2021. The remaining reduction was the result of reduced personnel costs, combined with reduced spend on trade show activity and related travel costs following the cancellation of several key industry events as a result of the COVID-19 pandemic. We anticipate our sales personnel will maintain a reduced level of travel costs as compared to 2019 during the extended COVID-19 pandemic period and utilize virtual meeting technology more commonly moving forward, but that these costs will increase as compared to 2020 during the second half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Research and development expenses generally include personnel and development tools costs associated with the continued development of the Company’s content management systems and other related application development. Research and development decreased by $329, or 59%, in 2021 compared to 2020. The decrease was driven by $147 of Employee Retention Credits related to the retention and payment of salaries to sales personnel throughout 2020 and the six months ended June 30, 2021. The remaining reduction was the result of reduced personnel costs following the reduction of personnel and salary reductions implemented throughout 2020.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Total general and administrative expenses decreased by $698, or 16%, in 2021 compared to 2020. The decrease was driven by $508 of Employee Retention Credits related to the retention and payment of salaries to sales personnel throughout 2020 and the six months ended June 30, 2021. Excluding the consideration of those Employee Retention Credits recorded in the period, total general and administrative expenses decreased $190, or 4%, during the six months ended June 30, 2021 as compared to the same period in 2020 because of reductions of (a) $335 in personnel costs, including salaries, benefits, and travel-related expenses, (b) $209 in rent expense following closure, downsizing, or restructuring of four leases during 2020, and (c) reductions in legal expenses of $152 following settlement of the Amended and Restated Seller Note, partially offset by an increase in stock compensation amortization expense of $726 related to incremental employee and directors’ awards granted during 2020 which are being amortized over a nineteen (19) month remaining vesting period based on the grant date fair value calculated using the Black Scholes method. Personnel costs were reduced following completion of a reduction-in-force and salary reductions for remaining personnel in March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Expenses related to the Company’s allowance for bad debts decreased by $1,311, or 155%, for the six months ended June 30, 2021 compared to 2020. This decrease was primarily driven by a cash recovery of $555 related to a customer bankruptcy for which the Company previously recorded a reserve during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xml:space="preserve"> to the Condensed Consolidated Financial Statements for a discussion of the Company’s interim impairment test and the non-cash impairment charge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Depreciation and amortization expenses decreased by $58, or 8%, in 2021 compared to 2020. This decrease was the result of a trade name asset becoming fully amortized during 2020, while no amortization was recorded during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Change in fair value of Convertible Loan</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June 30, 2021 and 2020, we updated our fair value analysis of the Convertible Loan, resulting in recognition of a $0 and $702 loss during the six months ended June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Settlement of Debt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January 11, 2021, the Company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Amended and Restated Seller Note and the accrued interest have been eliminated, resulting in a gain in the Condensed Consolidated Financial statements of $1,624, representing $1,538 related to the Amended and Restated Seller Note and $86 of related interest thereon, during the three months ended June 30,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Summary Unaudited Quarterly Financial Information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15"/>
          </w:tcPr>
          <w:p>
            <w:pPr>
              <w:ind w:left="660"/>
              <w:spacing w:after="0"/>
              <w:rPr>
                <w:sz w:val="20"/>
                <w:szCs w:val="20"/>
                <w:color w:val="auto"/>
              </w:rPr>
            </w:pPr>
            <w:r>
              <w:rPr>
                <w:rFonts w:ascii="Arial" w:cs="Arial" w:eastAsia="Arial" w:hAnsi="Arial"/>
                <w:sz w:val="18"/>
                <w:szCs w:val="18"/>
                <w:color w:val="auto"/>
              </w:rPr>
              <w:t>The following represents unaudited financial information derived from the Company’s quarterly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08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7"/>
                <w:szCs w:val="17"/>
                <w:color w:val="auto"/>
              </w:rPr>
            </w:pPr>
          </w:p>
        </w:tc>
        <w:tc>
          <w:tcPr>
            <w:tcW w:w="1320" w:type="dxa"/>
            <w:vAlign w:val="bottom"/>
            <w:gridSpan w:val="3"/>
          </w:tcPr>
          <w:p>
            <w:pPr>
              <w:jc w:val="right"/>
              <w:ind w:right="161"/>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7"/>
                <w:szCs w:val="17"/>
                <w:color w:val="auto"/>
              </w:rPr>
            </w:pPr>
          </w:p>
        </w:tc>
        <w:tc>
          <w:tcPr>
            <w:tcW w:w="9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2,770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2,737</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2,663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w w:val="94"/>
              </w:rPr>
              <w:t>Operating expenses, excluding 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1,942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2,489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4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(411)</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Operating Results on a Non-GAAP Basis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following non-GAAP data, which adjusts for the categories of expenses described below, is a non-GAAP financial measure. Our management believes that this non-GAAP financial measure is useful information for investors, shareholders and other stakeholders of the Company in evaluating our results of operations on an ongoing basis. We believe that earnings before interest, taxes, depreciation, and amortization (“EBITDA”) is a performance measure and not a liquidity measure, and therefore a reconciliation between net loss/income and EBITDA and Adjusted EBITDA, which is calculated by removing the impact of non-recurring and primarily non-cash transactions from EBITDA, has been provided. Neither EBITDA nor Adjusted EBITDA should be considered as an alternative to net loss/income as an indicator of performance, or as an alternative to cash flows from operating activities as an indicator of cash flows, in each case as determined in accordance with GAAP, or as a measure of liquidity. In addition, neither EBITDA nor Adjusted EBITDA takes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8"/>
                <w:szCs w:val="18"/>
                <w:color w:val="auto"/>
              </w:rPr>
            </w:pPr>
          </w:p>
        </w:tc>
        <w:tc>
          <w:tcPr>
            <w:tcW w:w="132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Nature of Organization and Operations</w:t>
      </w:r>
      <w:r>
        <w:rPr>
          <w:rFonts w:ascii="Arial" w:cs="Arial" w:eastAsia="Arial" w:hAnsi="Arial"/>
          <w:sz w:val="18"/>
          <w:szCs w:val="18"/>
          <w:color w:val="auto"/>
        </w:rPr>
        <w:t xml:space="preserve"> to the accompanying Condensed Consolidated Financial Statements for a detailed discussion of liquidity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cash flows used in operating activities were $363 and $2,915 for the six months ended June 30, 2021 2020, respectively. We produced net income during the six months ended June 30, 2021 of $2,297, which was primarily reduced via addback of the gain on forgiveness of the Company’s PPP Loan in the amount of $1,552 and gain on the settlement of obligations in the amount of $1,624, representing $1,538 related to the Seller Note and $86 of related interest thereon, during the three months ended June 30,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11"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Net cash used in investing activities during the six months ended June 30, 2021 was $204 compared to $408 during the same period in 2020. The use of cash in both periods represents payments made for capital assets, primarily related to the capitalization of both internal and external software development. We currently do not have any material commitments for capital expenditures as of June 30, 2021; however, we anticipate an increase in our capital expenditures of approximately $900 in excess of our historical trends throughout the balance of 2021 to maintain and enhance the software platform for our customers and to enhance revenue generating activities through the platform.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Net cash provided by financing activities during the six months ended June, 2021 and 2020 were $1,745 and $1,659, respectively. On February 18, 2021, the Company entered into a securities purchase agreement with an institutional investor for the issuance and sale of the Company’s common stock. The net proceeds from the Offering after paying estimated offering expenses were approximately $1,849. These proceeds were partially offset by the settlement payment of $100 on the Seller Note. The 2020 proceeds were driven by the Company’s receipt of a $1,552 Paycheck Protection Program loan and the exercise of 27,600 warrants during the three months ended June 30, 2020.</w:t>
      </w:r>
    </w:p>
    <w:p>
      <w:pPr>
        <w:spacing w:after="0" w:line="17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March 7, 2021, the Company refinanced its current debt facilities with Slipstream Communications, LLC (“Slipstream”), pursuant to an Amended and Restated Credit and Security Agreement (the “Credit Agreement”). The debt facilities continue to be fully secured by all assets of the Company. The maturity date (“Maturity Date”) on the outstanding debt and new debt was extended to March 31, 2023. The Credit Agreement (i) provides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of the New Term Loan only.</w:t>
      </w:r>
    </w:p>
    <w:p>
      <w:pPr>
        <w:spacing w:after="0" w:line="18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Company’s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ind w:right="20" w:firstLine="648"/>
        <w:spacing w:after="0" w:line="283" w:lineRule="auto"/>
        <w:rPr>
          <w:sz w:val="20"/>
          <w:szCs w:val="20"/>
          <w:color w:val="auto"/>
        </w:rPr>
      </w:pPr>
      <w:r>
        <w:rPr>
          <w:rFonts w:ascii="Arial" w:cs="Arial" w:eastAsia="Arial" w:hAnsi="Arial"/>
          <w:sz w:val="16"/>
          <w:szCs w:val="16"/>
          <w:color w:val="auto"/>
        </w:rPr>
        <w:t>The Credit Agreement limits the Company’s ability to issue Shares as follows (the “Exchange Limitations”): (1) The total number of Shares that may be issued under the Credit Agreement will be limited to 19.99% of the Company’s outstanding shares of common stock on the date the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 19.99% of the then issued and outstanding shares of Company common stock unless (A) such ownership would not be the largest ownership position in the Company, or</w:t>
      </w:r>
    </w:p>
    <w:p>
      <w:pPr>
        <w:spacing w:after="0" w:line="5" w:lineRule="exact"/>
        <w:rPr>
          <w:sz w:val="20"/>
          <w:szCs w:val="20"/>
          <w:color w:val="auto"/>
        </w:rPr>
      </w:pPr>
    </w:p>
    <w:p>
      <w:pPr>
        <w:ind w:firstLine="8"/>
        <w:spacing w:after="0" w:line="260" w:lineRule="auto"/>
        <w:tabs>
          <w:tab w:leader="none" w:pos="2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 approval is obtained for ownership in excess of 19.99%. On May 17, 2021, the Company’s stockholders approved the issuance of Shares in excess of the Exchange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the three and six months ended June 30, 2021, we did not engage in any off-balance sheet arrangements set forth in Item 303(a)(4)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June 30, 2021,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2021 that have materially affected, or are reasonably likely to materially affect, our internal control over financial reporting.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10, 2021 and our Quarterly Report on Form 10-Q filed with the SEC on May 17, 2021. Such risks and uncertainties have the potential to affect our business, financial condition, results of operations, cash flow, strategies or prospects in a material and adverse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Release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August 16, 2021, the Company issued a press release announcing its financial condition and results of operations for the three months ended June 30, 2021.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Chief Executive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Chief Financial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Chief Executive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Chief Financial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Press release dated August 16,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5540" w:right="3540" w:hanging="5532"/>
        <w:spacing w:after="0" w:line="778" w:lineRule="auto"/>
        <w:tabs>
          <w:tab w:leader="none" w:pos="11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31"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Creative Realities,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10-Q for the three and six months ended June 30, 2021, of Creative Realities,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10-Q for the three and six months ended June 30, 2021, of Creative Realities,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10-Q for the three and six months ended June 30, 2021,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CHIEF FINANCIAL OFFICER CERTIFICATION PURSUANT TO</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10-Q for the three and six months ended June 30, 2021,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Creative Realities Reports Second Quarter 2021 Results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LOUISVILLE, KY – August 16, 2021 </w:t>
      </w:r>
      <w:r>
        <w:rPr>
          <w:rFonts w:ascii="Arial" w:cs="Arial" w:eastAsia="Arial" w:hAnsi="Arial"/>
          <w:sz w:val="18"/>
          <w:szCs w:val="18"/>
          <w:color w:val="auto"/>
        </w:rPr>
        <w:t>– Creative Realities, Inc. (“Creative Realities,” “CRI,” or the “Company”) (NASDAQ: CREX, CREXW),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provider of digital marketing solutions, announced its financial results for the three- and six-months ended June 30, 2021.</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Rick Mills, Chief Executive Officer, commented “During the second quarter of 2021, we completed conversion of a customer network to the CRI software platform, which will add in excess of 8,000 devices to our SaaS-based recurring revenue beginning in third quarter 2021. I am extremely proud of our team for this achievement, which highlights CRI’s ability to execute digital signage deployments at scale and with speed across the country.”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faced significant challenges in delivering and executing sold engagements due to limited supply chain availability of semiconductor chips which has delayed the delivery of digital displays and media players to the Company. As of June 30, 2021, the Company had customer purchase orders in hand for the delivery and installation of equipment in excess of $1.8 million, which were delayed as a result of product unavailability. While we have seen a significant increase in market activity and remain bullish on a number of opportunities as we move into 2022, we expect to experience continued disruptions and delays related to fulfilment of inventory purchases from vendors and the associated services throughout the remainder of 2021, which may impact our results for the remainder of this year.”</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“Despite supply chain challenges facing our industry, specifically the lack of availability of displays, CRI produced net income and EBITDA of $1 million and $1.9 million, respectively, during the quarter by continuing to manage our expenses and remaining opportunistic with respect to capturing available government incentives related to the COVID-19 pandemic and in executing settlement agreements associated with legacy liabilities on our balance sheet.”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Second Quarter 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gross profit,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2021 as compared to the same period in the prior year:</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were $3.3 million in 2021 representing a decrease of $0.4 million, or 10%, as compared to the same period in 2020.</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Hardware revenues were $1.3 million in 2021, a decrease of $0.3 million, or 19%, as compared to the prior year, driven by (1) limited supply chain availability of semiconductor chips delaying the delivery of digital displays and media players to the Company and (2) reduced sales of Safe Space Solutions.</w:t>
      </w:r>
    </w:p>
    <w:p>
      <w:pPr>
        <w:spacing w:after="0" w:line="183"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The supply disruption for digital displays prevented the Company from delivery of hardware and execution of installation activities during the quarter. As of June 30, 2021, the Company had customer purchase orders for equipment and installation activities in excess of $1.8 million which were delayed as a result of product unavailability. The Company expects to experience continued disruptions and delays related to fulfilment of inventory purchases from vendors throughout the remainder of 2021, which may impact our results for the remainder of 2021.</w:t>
      </w:r>
    </w:p>
    <w:p>
      <w:pPr>
        <w:spacing w:after="0" w:line="171"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During the three months ended June 30, 2021 and 2020, of our Safe Space Solutions product sales were $0.2 million and $0.5 million, respectively, representing a reduction of $0.3 million, or 60%.</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Services and other revenues were $2.0 million in 2021, a reduction of $0.1 million, or 4%, as compared to 2020 driven by a reduction of $0.2 million, or 11%, in managed services revenue. Managed services revenue, which includes both software-as-a-service (“SaaS”) and help desk technical subscription services for our traditional digital signage and Safe Space Solutions product offerings, were $1.4 million in 2021 as compared to $1.6 million in 2020 as reductions in digital signage subscription revenue related to contracts with customers which were partially or permanently closed during 2020 as a result of the COVID-19 pandemic were only partially replaced with subscription revenues added through our Safe Space Solutions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increased 3% during the three months ended June 30, 2021 as compared to the same period in 2020 driven by the decrease in sales but offset by an increase in gross profit margin. Gross profit margin increased to 57.2% in 2021 from 49.7% during the same period in 2020. The increase in gross profit margin is the result of a decrease in hardware revenue as a percentage of total revenue, which generates lower gross profit than services revenue. High gross profit margin from services revenues were driven by headcount reductions in personnel servicing customers as a result of cost reductions executed throughout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2021 as compared to the same period in the prior year:</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expenses decreased by $0.2 million, or 54%, while research and development expenses decreased by $0.2 million, or 76%, in 2021 as compared to 2020, each driven primarily by Employee Retention Credits (“ERC”) recognized during the three months ended June 30, 2021.</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administrative expenses (“G&amp;A”) decreased by $0.3 million, or 15%, in 2021 compared to 2020. The decrease was driven by $0.5 million of ERC recognized during 2021. Excluding ERC, G&amp;A expenses increased $0.2 million, or 11%, during 2021 as compared to 2020 due to an increase of $0.2 million in non-cash stock compensation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net loss, and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2021 as compared to the same period in the prior year:</w:t>
      </w:r>
    </w:p>
    <w:p>
      <w:pPr>
        <w:spacing w:after="0" w:line="225" w:lineRule="exact"/>
        <w:rPr>
          <w:sz w:val="20"/>
          <w:szCs w:val="20"/>
          <w:color w:val="auto"/>
        </w:rPr>
      </w:pPr>
    </w:p>
    <w:p>
      <w:pPr>
        <w:jc w:val="both"/>
        <w:ind w:left="660" w:hanging="328"/>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loss was $0.4 million in 2021 as compared to $1.6 million in 2020, representing an increase in profitability of $1.2 million driven by (i) $1.2 million of Employee Retention Credits recorded in the three months ended June 30, 2021, (ii) a reduction of $0.5 million in bad debt expense from non-recurrence of a customer bankruptcy that was recorded in 2020, partially offset by an increase of $0.2 million in non-cash share-based compensation expenses as a result of probable vesting of performance-based option awards.</w:t>
      </w:r>
    </w:p>
    <w:p>
      <w:pPr>
        <w:spacing w:after="0" w:line="198"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was $1.0 million in 2021 as compared to net loss of $2.5 million in 2020.</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was $1.9 million in 2021 as compared to an EBITDA loss of $1.7 million in 2020. Adjusted EBITDA was $0.3 million in 2021, compared to an Adjusted EBITDA loss of $1.1 million in 2020. See below for a description of these non-GAAP financial measures and reconciliation to our net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material transactions during the three months ended June 30, 2021:</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Seller Note</w:t>
      </w:r>
      <w:r>
        <w:rPr>
          <w:rFonts w:ascii="Arial" w:cs="Arial" w:eastAsia="Arial" w:hAnsi="Arial"/>
          <w:sz w:val="18"/>
          <w:szCs w:val="18"/>
          <w:color w:val="auto"/>
        </w:rPr>
        <w:t>: On May 13, 2021, the Company and Seller entered into a settlement agreement wherein neither party admitted liability, and the Company agreed to pay, and Seller agreed to accept, $0.1 million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 The Company recorded a gain on settlement of obligations of approximately $1.6 million during the three months ended June 30, 2021.</w:t>
      </w:r>
    </w:p>
    <w:p>
      <w:pPr>
        <w:spacing w:after="0" w:line="187"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Employee Retention Credits</w:t>
      </w:r>
      <w:r>
        <w:rPr>
          <w:rFonts w:ascii="Arial" w:cs="Arial" w:eastAsia="Arial" w:hAnsi="Arial"/>
          <w:sz w:val="16"/>
          <w:szCs w:val="16"/>
          <w:color w:val="auto"/>
        </w:rPr>
        <w:t>: The CARES Act provided an employee retention credit (“ERC”) that is a refundable tax credit against certain employer taxes. On December 27, 2020, Congress enacted the Taxpayer Certainty and Disaster Tax Relief Act of 2020, which amended and extended ERC availability under Section 2301 of the CARES Act. Before the enactment of the Taxpayer Certainty and Disaster Tax Relief Act of 2020, businesses who were provided SBA PPP Loans under the CARES Act were ineligible for the ERC. Following enactment of the Taxpayer Certainty and Disaster Tax Relief Act of 2020, such businesses, including the Company, became retroactively eligible for the ERC. The Company qualified for the ERC beginning on March 13, 2020 (the earliest eligibility date) through June 30, 2021 (the most recent assessment 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660"/>
        <w:spacing w:after="0" w:line="279" w:lineRule="auto"/>
        <w:rPr>
          <w:sz w:val="20"/>
          <w:szCs w:val="20"/>
          <w:color w:val="auto"/>
        </w:rPr>
      </w:pPr>
      <w:r>
        <w:rPr>
          <w:rFonts w:ascii="Arial" w:cs="Arial" w:eastAsia="Arial" w:hAnsi="Arial"/>
          <w:sz w:val="17"/>
          <w:szCs w:val="17"/>
          <w:color w:val="auto"/>
        </w:rPr>
        <w:t>During the three months ended June 30, 2021, the Company recorded an ERC totaling $1.2 million, representing $0.4 million of credits earned for wages paid in each of 2020, the first quarter of 2021, and the second quarter of 2021, respectively. During the three months ended June 30, 2021, the $1.2 million of ERCs were included as a reduction in payroll taxes within the Condensed Consolidated Statement of Operations and allocated to the financial statement caption from which the employee taxes were originally incurred.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Mills concluded, “We continue to deepen our relationships with key industry partners which has elevated Creative Realities as a critical agent in the enterprise digital signage arena. The Company’s backlog and general customer activity has continued to increase as customers enter their 2022 budget cycles, presenting numerous opportunities to deploy or convert additional large-scale customer networks. We believe any impact as a result of recent supply chain challenges will result in a shift in timing of revenue, as opposed to a loss of revenue, however we continue to monitor the situation closely with our manufacturing partners. Despite potential short-term supply challenges, we continue to believe that our end-to-end offering has positioned us well within the industry to compete for new and growing opportunities with partners, particularly potential enterprise customers in a variety of key market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host a webinar to review the results and provide additional commentary about the Company’s recent performance, which is scheduled for Tuesday, August 17, 2021 at 9:00 am Eastern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call, participants should register at https://bit.ly/criearnings2021Q2. Once registered, participants can use the weblink provided in the registration email to listen to and view prepared materials via live webcast. An archived edition of the conference call will also be posted on our website at www.cri.com later that same day and will remain available to interested parties via the same link for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Creative Realities,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Creative Realities, Inc. (“CRI” or the “Company”) helps clients use the latest omnichannel technologies to inspire better customer experiences. CRI designs, develops and deploys consumer experiences for high-end enterprise level networks, and is actively providing recurring SaaS and support services across more than fifteen diverse vertical markets, including Automotive, Advertising Networks, Apparel &amp; Accessories, Convenience Stores, Foodservice/QSR, Gaming, Theater, and Stadium Venues. The Company operates primarily throughout North America and has active contracts in more than 10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please refer to Creative Realities, Inc.’s filings available online at www.sec.gov, including its Annual Report on Form 10-K filed with the Securities and Exchange Commission on March 10, 2021.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press release contains certain statements that are deemed "forward-looking statements" under Section 27A of the Securities Act of 1933 and Section 21E of the Securities Exchange Act of 1934 and includes, among other things, discussions of our business strategies, future operations and capital resources. Words such as “may,” “likely,” “anticipate,” “expect,” “intend,” “plans,” “seeks,” will,” should,” “future,” “propose,” “believe” and variations of these words or similar expressions (or the negative versions of such words or expressions) indicate forward-looking statements. These forward-looking statements are not guarantees of future performance, conditions or results, and involve a number of known and unknown risks, uncertainties, assumptions and other important factors, many of which are outside the Company, that could cause actual results or outcomes to differ materially from those discussed in the forward-looking statements. Some of these risks are discussed in the “Risk Factors” section contained in Item 1A of our Annual Report on Form 10-K for the year ended December 31, 2020 and Quarterly Report on Form 10-Q for the three-months ended March 31, 2021, and the Company’s subsequent filings with the U.S. Securities and Exchange Commission. Important factors, among others, that may affect actual results or outcomes include: our strategy for customer retention, growth, product development, market position, financial results and reserves our ability to meet Nasdaq’s continued listing standards; our ability to execute on our business plan; our ability to retain key personnel; potential litigation; supply chain shortages; and general economic and market conditions impacting demand for our products and services, including those as a result of the COVID-19 pandemic.</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required by law, the Company assumes no obligation to update forward-looking statements to reflect actual results or changes in factors or assumptions affecting such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ir@cri.com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https://investors.cri.com/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Creative Realities, Inc. prepares its consolidated financial statements in accordance with United States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disclosing financial results prepared in accordance with GAAP, the Company discloses information regarding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CRI defines “EBITDA” as earnings before interest, income taxes, depreciation and amortization of intangibles. CRI defines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as EBITDA excluding stock-based compensation, fair value adjustments and both cash and non-cash non-recurring gains and charges.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reconciliation of EBITDA and Adjusted EBITDA from net loss, CRI’s most directly comparable financial measure calculated and presented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8"/>
                <w:szCs w:val="18"/>
                <w:color w:val="auto"/>
              </w:rPr>
            </w:pPr>
          </w:p>
        </w:tc>
        <w:tc>
          <w:tcPr>
            <w:tcW w:w="132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Roman"/>
      <w:start w:val="4"/>
    </w:lvl>
  </w:abstractNum>
  <w:abstractNum w:abstractNumId="3">
    <w:nsid w:val="140E0F76"/>
    <w:multiLevelType w:val="hybridMultilevel"/>
    <w:lvl w:ilvl="0">
      <w:lvlJc w:val="left"/>
      <w:lvlText w:val="(%1)"/>
      <w:numFmt w:val="upperLetter"/>
      <w:start w:val="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upperLetter"/>
      <w:start w:val="2"/>
    </w:lvl>
  </w:abstractNum>
  <w:abstractNum w:abstractNumId="11">
    <w:nsid w:val="4E6AFB66"/>
    <w:multiLevelType w:val="hybridMultilevel"/>
    <w:lvl w:ilvl="0">
      <w:lvlJc w:val="left"/>
      <w:lvlText w:val="%1"/>
      <w:numFmt w:val="decimal"/>
      <w:start w:val="104"/>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2021-08-16T15:47:38Z</dcterms:created>
  <dcterms:modified xsi:type="dcterms:W3CDTF">2021-08-16T15:47:38Z</dcterms:modified>
</cp:coreProperties>
</file>