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crex20221231_10k.htm"/>
      <w:bookmarkStart w:id="1" w:name="kscrex20221231_10k"/>
      <w:bookmarkEnd w:id="0"/>
      <w:bookmarkEnd w:id="1"/>
      <w:r>
        <w:rPr/>
        <w:t xml:space="preserve">  </w:t>
      </w:r>
    </w:p>
    <w:p>
      <w:pPr>
        <w:pStyle w:val="TextBody"/>
        <w:spacing w:before="0" w:after="0"/>
        <w:ind w:left="0" w:right="0" w:hanging="0"/>
        <w:rPr/>
      </w:pPr>
      <w:hyperlink w:anchor="toc">
        <w:r>
          <w:rPr>
            <w:rStyle w:val="InternetLink"/>
            <w:rFonts w:ascii="Times New Roman;Times;serif" w:hAnsi="Times New Roman;Times;serif"/>
            <w:sz w:val="20"/>
          </w:rPr>
          <w:t>Table of Contents</w:t>
        </w:r>
      </w:hyperlink>
    </w:p>
    <w:p>
      <w:pPr>
        <w:pStyle w:val="HorizontalLine"/>
        <w:rPr/>
      </w:pPr>
      <w:r>
        <w:rPr/>
      </w:r>
    </w:p>
    <w:p>
      <w:pPr>
        <w:pStyle w:val="HorizontalLine"/>
        <w:rPr/>
      </w:pPr>
      <w:r>
        <w:rPr/>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 one)</w:t>
      </w:r>
    </w:p>
    <w:p>
      <w:pPr>
        <w:pStyle w:val="TextBody"/>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ANNUAL REPORT 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 to ___________</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001-33169</w:t>
      </w:r>
    </w:p>
    <w:p>
      <w:pPr>
        <w:pStyle w:val="TextBody"/>
        <w:spacing w:before="0" w:after="0"/>
        <w:ind w:left="0" w:right="0" w:hanging="0"/>
        <w:rPr>
          <w:caps w:val="false"/>
          <w:smallCaps w:val="false"/>
        </w:rPr>
      </w:pPr>
      <w:r>
        <w:rPr>
          <w:caps w:val="false"/>
          <w:smallCaps w:val="false"/>
        </w:rPr>
        <w:t> </w:t>
      </w:r>
    </w:p>
    <w:p>
      <w:pPr>
        <w:pStyle w:val="TextBody"/>
        <w:jc w:val="center"/>
        <w:rPr/>
      </w:pPr>
      <w:r>
        <w:rPr/>
        <w:drawing>
          <wp:inline distT="0" distB="0" distL="0" distR="0">
            <wp:extent cx="27432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476250"/>
                    </a:xfrm>
                    <a:prstGeom prst="rect">
                      <a:avLst/>
                    </a:prstGeom>
                  </pic:spPr>
                </pic:pic>
              </a:graphicData>
            </a:graphic>
          </wp:inline>
        </w:drawing>
      </w:r>
      <w:r>
        <w:rPr/>
        <w:t xml:space="preserve">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5815" w:type="dxa"/>
        <w:jc w:val="left"/>
        <w:tblInd w:w="0" w:type="dxa"/>
        <w:tblCellMar>
          <w:top w:w="0" w:type="dxa"/>
          <w:left w:w="0" w:type="dxa"/>
          <w:bottom w:w="28" w:type="dxa"/>
          <w:right w:w="0" w:type="dxa"/>
        </w:tblCellMar>
      </w:tblPr>
      <w:tblGrid>
        <w:gridCol w:w="4295"/>
        <w:gridCol w:w="60"/>
        <w:gridCol w:w="1460"/>
      </w:tblGrid>
      <w:tr>
        <w:trPr/>
        <w:tc>
          <w:tcPr>
            <w:tcW w:w="429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Minnesota</w:t>
            </w:r>
          </w:p>
        </w:tc>
        <w:tc>
          <w:tcPr>
            <w:tcW w:w="60" w:type="dxa"/>
            <w:tcBorders/>
            <w:shd w:fill="auto" w:val="clear"/>
            <w:tcMar>
              <w:bottom w:w="0" w:type="dxa"/>
            </w:tcMar>
            <w:vAlign w:val="center"/>
          </w:tcPr>
          <w:p>
            <w:pPr>
              <w:pStyle w:val="TableContents"/>
              <w:spacing w:before="0" w:after="283"/>
              <w:rPr/>
            </w:pPr>
            <w:r>
              <w:rPr/>
              <w:t> </w:t>
            </w:r>
          </w:p>
        </w:tc>
        <w:tc>
          <w:tcPr>
            <w:tcW w:w="146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41-1967918</w:t>
            </w:r>
          </w:p>
        </w:tc>
      </w:tr>
      <w:tr>
        <w:trPr/>
        <w:tc>
          <w:tcPr>
            <w:tcW w:w="429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br/>
              <w:t>incorporation or organization</w:t>
            </w:r>
          </w:p>
        </w:tc>
        <w:tc>
          <w:tcPr>
            <w:tcW w:w="60" w:type="dxa"/>
            <w:tcBorders/>
            <w:shd w:fill="auto" w:val="clear"/>
            <w:tcMar>
              <w:bottom w:w="0" w:type="dxa"/>
            </w:tcMar>
            <w:vAlign w:val="center"/>
          </w:tcPr>
          <w:p>
            <w:pPr>
              <w:pStyle w:val="TableContents"/>
              <w:spacing w:before="0" w:after="283"/>
              <w:rPr/>
            </w:pPr>
            <w:r>
              <w:rPr/>
              <w:t> </w:t>
            </w:r>
          </w:p>
        </w:tc>
        <w:tc>
          <w:tcPr>
            <w:tcW w:w="146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42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60" w:type="dxa"/>
            <w:tcBorders/>
            <w:shd w:fill="auto" w:val="clear"/>
            <w:tcMar>
              <w:bottom w:w="0" w:type="dxa"/>
            </w:tcMar>
            <w:vAlign w:val="center"/>
          </w:tcPr>
          <w:p>
            <w:pPr>
              <w:pStyle w:val="TableContents"/>
              <w:spacing w:before="0" w:after="283"/>
              <w:rPr/>
            </w:pPr>
            <w:r>
              <w:rPr/>
              <w:t> </w:t>
            </w:r>
          </w:p>
        </w:tc>
      </w:tr>
      <w:tr>
        <w:trPr/>
        <w:tc>
          <w:tcPr>
            <w:tcW w:w="429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13100 Magisterial Drive, Suite 100, Louisville KY </w:t>
            </w:r>
          </w:p>
        </w:tc>
        <w:tc>
          <w:tcPr>
            <w:tcW w:w="60" w:type="dxa"/>
            <w:tcBorders/>
            <w:shd w:fill="auto" w:val="clear"/>
            <w:tcMar>
              <w:bottom w:w="0" w:type="dxa"/>
            </w:tcMar>
            <w:vAlign w:val="center"/>
          </w:tcPr>
          <w:p>
            <w:pPr>
              <w:pStyle w:val="TableContents"/>
              <w:spacing w:before="0" w:after="283"/>
              <w:rPr/>
            </w:pPr>
            <w:r>
              <w:rPr/>
              <w:t> </w:t>
            </w:r>
          </w:p>
        </w:tc>
        <w:tc>
          <w:tcPr>
            <w:tcW w:w="146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40223</w:t>
            </w:r>
          </w:p>
        </w:tc>
      </w:tr>
      <w:tr>
        <w:trPr/>
        <w:tc>
          <w:tcPr>
            <w:tcW w:w="429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shd w:fill="auto" w:val="clear"/>
            <w:tcMar>
              <w:bottom w:w="0" w:type="dxa"/>
            </w:tcMar>
            <w:vAlign w:val="center"/>
          </w:tcPr>
          <w:p>
            <w:pPr>
              <w:pStyle w:val="TableContents"/>
              <w:spacing w:before="0" w:after="283"/>
              <w:rPr/>
            </w:pPr>
            <w:r>
              <w:rPr/>
              <w:t> </w:t>
            </w:r>
          </w:p>
        </w:tc>
        <w:tc>
          <w:tcPr>
            <w:tcW w:w="146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(502) 791-8800</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tbl>
      <w:tblPr>
        <w:tblW w:w="7920" w:type="dxa"/>
        <w:jc w:val="left"/>
        <w:tblInd w:w="0" w:type="dxa"/>
        <w:tblCellMar>
          <w:top w:w="0" w:type="dxa"/>
          <w:left w:w="0" w:type="dxa"/>
          <w:bottom w:w="28" w:type="dxa"/>
          <w:right w:w="0" w:type="dxa"/>
        </w:tblCellMar>
      </w:tblPr>
      <w:tblGrid>
        <w:gridCol w:w="3395"/>
        <w:gridCol w:w="60"/>
        <w:gridCol w:w="1610"/>
        <w:gridCol w:w="60"/>
        <w:gridCol w:w="2795"/>
      </w:tblGrid>
      <w:tr>
        <w:trPr/>
        <w:tc>
          <w:tcPr>
            <w:tcW w:w="339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61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shd w:fill="auto" w:val="clear"/>
            <w:tcMar>
              <w:bottom w:w="0" w:type="dxa"/>
            </w:tcMar>
            <w:vAlign w:val="center"/>
          </w:tcPr>
          <w:p>
            <w:pPr>
              <w:pStyle w:val="TableContents"/>
              <w:spacing w:before="0" w:after="283"/>
              <w:rPr/>
            </w:pPr>
            <w:r>
              <w:rPr/>
              <w:t> </w:t>
            </w:r>
          </w:p>
        </w:tc>
        <w:tc>
          <w:tcPr>
            <w:tcW w:w="279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Name of each exchange on which</w:t>
            </w:r>
            <w:r>
              <w:rPr>
                <w:rFonts w:ascii="Times New Roman" w:hAnsi="Times New Roman"/>
                <w:caps w:val="false"/>
                <w:smallCaps w:val="false"/>
                <w:sz w:val="20"/>
              </w:rPr>
              <w:br/>
            </w:r>
            <w:r>
              <w:rPr>
                <w:rFonts w:ascii="Times New Roman" w:hAnsi="Times New Roman"/>
                <w:b/>
                <w:caps w:val="false"/>
                <w:smallCaps w:val="false"/>
                <w:sz w:val="20"/>
              </w:rPr>
              <w:t>registered</w:t>
            </w:r>
          </w:p>
        </w:tc>
      </w:tr>
      <w:tr>
        <w:trPr/>
        <w:tc>
          <w:tcPr>
            <w:tcW w:w="339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60" w:type="dxa"/>
            <w:tcBorders/>
            <w:shd w:fill="CCEEFF" w:val="clear"/>
            <w:tcMar>
              <w:bottom w:w="0" w:type="dxa"/>
            </w:tcMar>
            <w:vAlign w:val="center"/>
          </w:tcPr>
          <w:p>
            <w:pPr>
              <w:pStyle w:val="TableContents"/>
              <w:spacing w:before="0" w:after="283"/>
              <w:rPr/>
            </w:pPr>
            <w:r>
              <w:rPr/>
              <w:t> </w:t>
            </w:r>
          </w:p>
        </w:tc>
        <w:tc>
          <w:tcPr>
            <w:tcW w:w="161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CREX</w:t>
            </w:r>
          </w:p>
        </w:tc>
        <w:tc>
          <w:tcPr>
            <w:tcW w:w="60" w:type="dxa"/>
            <w:tcBorders/>
            <w:shd w:fill="CCEEFF" w:val="clear"/>
            <w:tcMar>
              <w:bottom w:w="0" w:type="dxa"/>
            </w:tcMar>
            <w:vAlign w:val="center"/>
          </w:tcPr>
          <w:p>
            <w:pPr>
              <w:pStyle w:val="TableContents"/>
              <w:spacing w:before="0" w:after="283"/>
              <w:rPr/>
            </w:pPr>
            <w:r>
              <w:rPr/>
              <w:t> </w:t>
            </w:r>
          </w:p>
        </w:tc>
        <w:tc>
          <w:tcPr>
            <w:tcW w:w="279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339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Warrants to purchase Common Stock</w:t>
            </w:r>
          </w:p>
        </w:tc>
        <w:tc>
          <w:tcPr>
            <w:tcW w:w="60" w:type="dxa"/>
            <w:tcBorders/>
            <w:shd w:fill="FFFFFF" w:val="clear"/>
            <w:tcMar>
              <w:bottom w:w="0" w:type="dxa"/>
            </w:tcMar>
            <w:vAlign w:val="center"/>
          </w:tcPr>
          <w:p>
            <w:pPr>
              <w:pStyle w:val="TableContents"/>
              <w:spacing w:before="0" w:after="283"/>
              <w:rPr/>
            </w:pPr>
            <w:r>
              <w:rPr/>
              <w:t> </w:t>
            </w:r>
          </w:p>
        </w:tc>
        <w:tc>
          <w:tcPr>
            <w:tcW w:w="161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CREXW</w:t>
            </w:r>
          </w:p>
        </w:tc>
        <w:tc>
          <w:tcPr>
            <w:tcW w:w="60" w:type="dxa"/>
            <w:tcBorders/>
            <w:shd w:fill="FFFFFF" w:val="clear"/>
            <w:tcMar>
              <w:bottom w:w="0" w:type="dxa"/>
            </w:tcMar>
            <w:vAlign w:val="center"/>
          </w:tcPr>
          <w:p>
            <w:pPr>
              <w:pStyle w:val="TableContents"/>
              <w:spacing w:before="0" w:after="283"/>
              <w:rPr/>
            </w:pPr>
            <w:r>
              <w:rPr/>
              <w:t> </w:t>
            </w:r>
          </w:p>
        </w:tc>
        <w:tc>
          <w:tcPr>
            <w:tcW w:w="279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 xml:space="preserve">Securities registered pursuant to Section 12(g) of the Act: </w:t>
      </w:r>
      <w:r>
        <w:rPr>
          <w:rFonts w:ascii="Times New Roman" w:hAnsi="Times New Roman"/>
          <w:b/>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4615" w:type="dxa"/>
        <w:jc w:val="left"/>
        <w:tblInd w:w="0" w:type="dxa"/>
        <w:tblCellMar>
          <w:top w:w="0" w:type="dxa"/>
          <w:left w:w="0" w:type="dxa"/>
          <w:bottom w:w="0" w:type="dxa"/>
          <w:right w:w="0" w:type="dxa"/>
        </w:tblCellMar>
      </w:tblPr>
      <w:tblGrid>
        <w:gridCol w:w="60"/>
        <w:gridCol w:w="2045"/>
        <w:gridCol w:w="60"/>
        <w:gridCol w:w="2450"/>
      </w:tblGrid>
      <w:tr>
        <w:trPr/>
        <w:tc>
          <w:tcPr>
            <w:tcW w:w="60" w:type="dxa"/>
            <w:tcBorders/>
            <w:shd w:fill="auto" w:val="clear"/>
            <w:vAlign w:val="center"/>
          </w:tcPr>
          <w:p>
            <w:pPr>
              <w:pStyle w:val="TableContents"/>
              <w:spacing w:before="0" w:after="283"/>
              <w:rPr/>
            </w:pPr>
            <w:r>
              <w:rPr/>
              <w:t> </w:t>
            </w:r>
          </w:p>
        </w:tc>
        <w:tc>
          <w:tcPr>
            <w:tcW w:w="20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6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60" w:type="dxa"/>
            <w:tcBorders/>
            <w:shd w:fill="auto" w:val="clear"/>
            <w:vAlign w:val="center"/>
          </w:tcPr>
          <w:p>
            <w:pPr>
              <w:pStyle w:val="TableContents"/>
              <w:spacing w:before="0" w:after="283"/>
              <w:rPr/>
            </w:pPr>
            <w:r>
              <w:rPr/>
              <w:t> </w:t>
            </w:r>
          </w:p>
        </w:tc>
        <w:tc>
          <w:tcPr>
            <w:tcW w:w="20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6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60" w:type="dxa"/>
            <w:tcBorders/>
            <w:shd w:fill="auto" w:val="clear"/>
            <w:vAlign w:val="center"/>
          </w:tcPr>
          <w:p>
            <w:pPr>
              <w:pStyle w:val="TableContents"/>
              <w:spacing w:before="0" w:after="283"/>
              <w:rPr/>
            </w:pPr>
            <w:r>
              <w:rPr/>
              <w:t> </w:t>
            </w:r>
          </w:p>
        </w:tc>
        <w:tc>
          <w:tcPr>
            <w:tcW w:w="20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aggregate market value of the voting and non-voting common equity held by non-affiliates was $13,263,727 as of the last business day of the registrant’s most recently completed second fiscal quarter.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As of March 29, 2023, the registrant had 7,394,407 shares of common stock outstanding.</w:t>
      </w:r>
    </w:p>
    <w:p>
      <w:pPr>
        <w:pStyle w:val="HorizontalLine"/>
        <w:rPr/>
      </w:pPr>
      <w:r>
        <w:rPr/>
      </w:r>
    </w:p>
    <w:p>
      <w:pPr>
        <w:pStyle w:val="HorizontalLine"/>
        <w:rPr/>
      </w:pPr>
      <w:r>
        <w:rPr/>
      </w:r>
    </w:p>
    <w:p>
      <w:pPr>
        <w:pStyle w:val="TextBody"/>
        <w:spacing w:before="0" w:after="0"/>
        <w:ind w:left="0" w:right="0" w:hanging="0"/>
        <w:jc w:val="center"/>
        <w:rPr/>
      </w:pPr>
      <w:r>
        <w:rPr/>
        <w:t xml:space="preserve">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center"/>
        <w:rPr>
          <w:rFonts w:ascii="Times New Roman;Times;serif" w:hAnsi="Times New Roman;Times;serif"/>
          <w:sz w:val="20"/>
        </w:rPr>
      </w:pPr>
      <w:bookmarkStart w:id="2" w:name="toc"/>
      <w:bookmarkEnd w:id="2"/>
      <w:r>
        <w:rPr>
          <w:rFonts w:ascii="Times New Roman;Times;serif" w:hAnsi="Times New Roman;Times;serif"/>
          <w:b/>
          <w:sz w:val="20"/>
        </w:rPr>
        <w:t xml:space="preserve">TABLE </w:t>
      </w:r>
      <w:r>
        <w:rPr>
          <w:rFonts w:ascii="Times New Roman;Times;serif" w:hAnsi="Times New Roman;Times;serif"/>
          <w:sz w:val="20"/>
        </w:rPr>
        <w:t> </w:t>
      </w:r>
      <w:r>
        <w:rPr>
          <w:rFonts w:ascii="Times New Roman;Times;serif" w:hAnsi="Times New Roman;Times;serif"/>
          <w:b/>
          <w:sz w:val="20"/>
        </w:rPr>
        <w:t>OF CONTENTS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25"/>
        <w:gridCol w:w="8400"/>
        <w:gridCol w:w="280"/>
      </w:tblGrid>
      <w:tr>
        <w:trPr/>
        <w:tc>
          <w:tcPr>
            <w:tcW w:w="9925" w:type="dxa"/>
            <w:gridSpan w:val="2"/>
            <w:tcBorders/>
            <w:shd w:fill="CCEEFF" w:val="clear"/>
            <w:vAlign w:val="center"/>
          </w:tcPr>
          <w:p>
            <w:pPr>
              <w:pStyle w:val="TableContents"/>
              <w:spacing w:before="0" w:after="0"/>
              <w:ind w:left="0" w:right="0" w:hanging="0"/>
              <w:rPr/>
            </w:pPr>
            <w:hyperlink w:anchor="cautionary_note">
              <w:r>
                <w:rPr>
                  <w:rStyle w:val="InternetLink"/>
                  <w:rFonts w:ascii="Times New Roman" w:hAnsi="Times New Roman"/>
                  <w:caps w:val="false"/>
                  <w:smallCaps w:val="false"/>
                  <w:sz w:val="20"/>
                </w:rPr>
                <w:t>CAUTIONARY NOTE REGARDING FORWARD-LOOKING STATEMENTS; RISK FACTOR SUMMARY</w:t>
              </w:r>
            </w:hyperlink>
          </w:p>
        </w:tc>
        <w:tc>
          <w:tcPr>
            <w:tcW w:w="280" w:type="dxa"/>
            <w:tcBorders/>
            <w:shd w:fill="CCEEFF" w:val="clear"/>
            <w:vAlign w:val="center"/>
          </w:tcPr>
          <w:p>
            <w:pPr>
              <w:pStyle w:val="TableContents"/>
              <w:spacing w:before="0" w:after="0"/>
              <w:ind w:left="0" w:right="0" w:hanging="0"/>
              <w:jc w:val="center"/>
              <w:rPr/>
            </w:pPr>
            <w:hyperlink w:anchor="cautionary_note">
              <w:r>
                <w:rPr>
                  <w:rStyle w:val="InternetLink"/>
                  <w:rFonts w:ascii="Times New Roman" w:hAnsi="Times New Roman"/>
                  <w:caps w:val="false"/>
                  <w:smallCaps w:val="false"/>
                  <w:sz w:val="20"/>
                </w:rPr>
                <w:t>ii</w:t>
              </w:r>
            </w:hyperlink>
          </w:p>
        </w:tc>
      </w:tr>
      <w:tr>
        <w:trPr/>
        <w:tc>
          <w:tcPr>
            <w:tcW w:w="9925" w:type="dxa"/>
            <w:gridSpan w:val="2"/>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0"/>
              <w:ind w:left="0" w:right="0" w:hanging="0"/>
              <w:rPr/>
            </w:pPr>
            <w:hyperlink w:anchor="p1">
              <w:r>
                <w:rPr>
                  <w:rStyle w:val="InternetLink"/>
                  <w:rFonts w:ascii="Times New Roman" w:hAnsi="Times New Roman"/>
                  <w:caps w:val="false"/>
                  <w:smallCaps w:val="false"/>
                  <w:sz w:val="20"/>
                </w:rPr>
                <w:t>PART I</w:t>
              </w:r>
            </w:hyperlink>
          </w:p>
        </w:tc>
        <w:tc>
          <w:tcPr>
            <w:tcW w:w="840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rPr/>
            </w:pPr>
            <w:r>
              <w:rPr/>
              <w:t> </w:t>
            </w:r>
          </w:p>
        </w:tc>
      </w:tr>
      <w:tr>
        <w:trPr/>
        <w:tc>
          <w:tcPr>
            <w:tcW w:w="1525" w:type="dxa"/>
            <w:tcBorders/>
            <w:shd w:fill="FFFFFF" w:val="clear"/>
            <w:vAlign w:val="center"/>
          </w:tcPr>
          <w:p>
            <w:pPr>
              <w:pStyle w:val="TableContents"/>
              <w:spacing w:before="0" w:after="283"/>
              <w:rPr/>
            </w:pPr>
            <w:r>
              <w:rPr/>
              <w:t> </w:t>
            </w:r>
          </w:p>
        </w:tc>
        <w:tc>
          <w:tcPr>
            <w:tcW w:w="840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1</w:t>
            </w:r>
          </w:p>
        </w:tc>
        <w:tc>
          <w:tcPr>
            <w:tcW w:w="8400" w:type="dxa"/>
            <w:tcBorders/>
            <w:shd w:fill="CCEEFF" w:val="clear"/>
            <w:vAlign w:val="center"/>
          </w:tcPr>
          <w:p>
            <w:pPr>
              <w:pStyle w:val="TableContents"/>
              <w:spacing w:before="0" w:after="0"/>
              <w:ind w:left="0" w:right="0" w:hanging="0"/>
              <w:rPr/>
            </w:pPr>
            <w:hyperlink w:anchor="i1">
              <w:r>
                <w:rPr>
                  <w:rStyle w:val="InternetLink"/>
                  <w:rFonts w:ascii="Times New Roman" w:hAnsi="Times New Roman"/>
                  <w:caps w:val="false"/>
                  <w:smallCaps w:val="false"/>
                  <w:sz w:val="20"/>
                </w:rPr>
                <w:t>BUSINESS</w:t>
              </w:r>
            </w:hyperlink>
          </w:p>
        </w:tc>
        <w:tc>
          <w:tcPr>
            <w:tcW w:w="280" w:type="dxa"/>
            <w:tcBorders/>
            <w:shd w:fill="CCEEFF" w:val="clear"/>
            <w:vAlign w:val="center"/>
          </w:tcPr>
          <w:p>
            <w:pPr>
              <w:pStyle w:val="TableContents"/>
              <w:spacing w:before="0" w:after="0"/>
              <w:ind w:left="0" w:right="0" w:hanging="0"/>
              <w:jc w:val="center"/>
              <w:rPr/>
            </w:pPr>
            <w:hyperlink w:anchor="i1">
              <w:r>
                <w:rPr>
                  <w:rStyle w:val="InternetLink"/>
                  <w:rFonts w:ascii="Times New Roman" w:hAnsi="Times New Roman"/>
                  <w:caps w:val="false"/>
                  <w:smallCaps w:val="false"/>
                  <w:sz w:val="20"/>
                </w:rPr>
                <w:t>1</w:t>
              </w:r>
            </w:hyperlink>
          </w:p>
        </w:tc>
      </w:tr>
      <w:tr>
        <w:trPr/>
        <w:tc>
          <w:tcPr>
            <w:tcW w:w="15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1A</w:t>
            </w:r>
          </w:p>
        </w:tc>
        <w:tc>
          <w:tcPr>
            <w:tcW w:w="8400" w:type="dxa"/>
            <w:tcBorders/>
            <w:shd w:fill="FFFFFF" w:val="clear"/>
            <w:vAlign w:val="center"/>
          </w:tcPr>
          <w:p>
            <w:pPr>
              <w:pStyle w:val="TableContents"/>
              <w:spacing w:before="0" w:after="0"/>
              <w:ind w:left="0" w:right="0" w:hanging="0"/>
              <w:rPr/>
            </w:pPr>
            <w:hyperlink w:anchor="i1A">
              <w:r>
                <w:rPr>
                  <w:rStyle w:val="InternetLink"/>
                  <w:rFonts w:ascii="Times New Roman" w:hAnsi="Times New Roman"/>
                  <w:caps w:val="false"/>
                  <w:smallCaps w:val="false"/>
                  <w:sz w:val="20"/>
                </w:rPr>
                <w:t>RISK FACTORS</w:t>
              </w:r>
            </w:hyperlink>
          </w:p>
        </w:tc>
        <w:tc>
          <w:tcPr>
            <w:tcW w:w="280" w:type="dxa"/>
            <w:tcBorders/>
            <w:shd w:fill="FFFFFF" w:val="clear"/>
            <w:vAlign w:val="center"/>
          </w:tcPr>
          <w:p>
            <w:pPr>
              <w:pStyle w:val="TableContents"/>
              <w:spacing w:before="0" w:after="0"/>
              <w:ind w:left="0" w:right="0" w:hanging="0"/>
              <w:jc w:val="center"/>
              <w:rPr/>
            </w:pPr>
            <w:hyperlink w:anchor="i1A">
              <w:r>
                <w:rPr>
                  <w:rStyle w:val="InternetLink"/>
                  <w:rFonts w:ascii="Times New Roman" w:hAnsi="Times New Roman"/>
                  <w:caps w:val="false"/>
                  <w:smallCaps w:val="false"/>
                  <w:sz w:val="20"/>
                </w:rPr>
                <w:t>8</w:t>
              </w:r>
            </w:hyperlink>
          </w:p>
        </w:tc>
      </w:tr>
      <w:tr>
        <w:trPr/>
        <w:tc>
          <w:tcPr>
            <w:tcW w:w="15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2</w:t>
            </w:r>
          </w:p>
        </w:tc>
        <w:tc>
          <w:tcPr>
            <w:tcW w:w="8400" w:type="dxa"/>
            <w:tcBorders/>
            <w:shd w:fill="CCEEFF" w:val="clear"/>
            <w:vAlign w:val="center"/>
          </w:tcPr>
          <w:p>
            <w:pPr>
              <w:pStyle w:val="TableContents"/>
              <w:spacing w:before="0" w:after="0"/>
              <w:ind w:left="0" w:right="0" w:hanging="0"/>
              <w:rPr/>
            </w:pPr>
            <w:hyperlink w:anchor="i2">
              <w:r>
                <w:rPr>
                  <w:rStyle w:val="InternetLink"/>
                  <w:rFonts w:ascii="Times New Roman" w:hAnsi="Times New Roman"/>
                  <w:caps w:val="false"/>
                  <w:smallCaps w:val="false"/>
                  <w:sz w:val="20"/>
                </w:rPr>
                <w:t>PROPERTIES</w:t>
              </w:r>
            </w:hyperlink>
          </w:p>
        </w:tc>
        <w:tc>
          <w:tcPr>
            <w:tcW w:w="280" w:type="dxa"/>
            <w:tcBorders/>
            <w:shd w:fill="CCEEFF" w:val="clear"/>
            <w:vAlign w:val="center"/>
          </w:tcPr>
          <w:p>
            <w:pPr>
              <w:pStyle w:val="TableContents"/>
              <w:spacing w:before="0" w:after="0"/>
              <w:ind w:left="0" w:right="0" w:hanging="0"/>
              <w:jc w:val="center"/>
              <w:rPr/>
            </w:pPr>
            <w:hyperlink w:anchor="i2">
              <w:r>
                <w:rPr>
                  <w:rStyle w:val="InternetLink"/>
                  <w:rFonts w:ascii="Times New Roman" w:hAnsi="Times New Roman"/>
                  <w:caps w:val="false"/>
                  <w:smallCaps w:val="false"/>
                  <w:sz w:val="20"/>
                </w:rPr>
                <w:t>20</w:t>
              </w:r>
            </w:hyperlink>
          </w:p>
        </w:tc>
      </w:tr>
      <w:tr>
        <w:trPr/>
        <w:tc>
          <w:tcPr>
            <w:tcW w:w="15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3</w:t>
            </w:r>
          </w:p>
        </w:tc>
        <w:tc>
          <w:tcPr>
            <w:tcW w:w="8400" w:type="dxa"/>
            <w:tcBorders/>
            <w:shd w:fill="FFFFFF" w:val="clear"/>
            <w:vAlign w:val="center"/>
          </w:tcPr>
          <w:p>
            <w:pPr>
              <w:pStyle w:val="TableContents"/>
              <w:spacing w:before="0" w:after="0"/>
              <w:ind w:left="0" w:right="0" w:hanging="0"/>
              <w:rPr/>
            </w:pPr>
            <w:hyperlink w:anchor="i3">
              <w:r>
                <w:rPr>
                  <w:rStyle w:val="InternetLink"/>
                  <w:rFonts w:ascii="Times New Roman" w:hAnsi="Times New Roman"/>
                  <w:caps w:val="false"/>
                  <w:smallCaps w:val="false"/>
                  <w:sz w:val="20"/>
                </w:rPr>
                <w:t>LEGAL PROCEEDINGS</w:t>
              </w:r>
            </w:hyperlink>
          </w:p>
        </w:tc>
        <w:tc>
          <w:tcPr>
            <w:tcW w:w="280" w:type="dxa"/>
            <w:tcBorders/>
            <w:shd w:fill="FFFFFF" w:val="clear"/>
            <w:vAlign w:val="center"/>
          </w:tcPr>
          <w:p>
            <w:pPr>
              <w:pStyle w:val="TableContents"/>
              <w:spacing w:before="0" w:after="0"/>
              <w:ind w:left="0" w:right="0" w:hanging="0"/>
              <w:jc w:val="center"/>
              <w:rPr/>
            </w:pPr>
            <w:hyperlink w:anchor="i3">
              <w:r>
                <w:rPr>
                  <w:rStyle w:val="InternetLink"/>
                  <w:rFonts w:ascii="Times New Roman" w:hAnsi="Times New Roman"/>
                  <w:caps w:val="false"/>
                  <w:smallCaps w:val="false"/>
                  <w:sz w:val="20"/>
                </w:rPr>
                <w:t>20</w:t>
              </w:r>
            </w:hyperlink>
          </w:p>
        </w:tc>
      </w:tr>
      <w:tr>
        <w:trPr/>
        <w:tc>
          <w:tcPr>
            <w:tcW w:w="15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4</w:t>
            </w:r>
          </w:p>
        </w:tc>
        <w:tc>
          <w:tcPr>
            <w:tcW w:w="8400" w:type="dxa"/>
            <w:tcBorders/>
            <w:shd w:fill="CCEEFF" w:val="clear"/>
            <w:vAlign w:val="center"/>
          </w:tcPr>
          <w:p>
            <w:pPr>
              <w:pStyle w:val="TableContents"/>
              <w:spacing w:before="0" w:after="0"/>
              <w:ind w:left="0" w:right="0" w:hanging="0"/>
              <w:rPr/>
            </w:pPr>
            <w:hyperlink w:anchor="i4">
              <w:r>
                <w:rPr>
                  <w:rStyle w:val="InternetLink"/>
                  <w:rFonts w:ascii="Times New Roman" w:hAnsi="Times New Roman"/>
                  <w:caps w:val="false"/>
                  <w:smallCaps w:val="false"/>
                  <w:sz w:val="20"/>
                </w:rPr>
                <w:t>MINE SAFETY DISCLOSURES</w:t>
              </w:r>
            </w:hyperlink>
          </w:p>
        </w:tc>
        <w:tc>
          <w:tcPr>
            <w:tcW w:w="280" w:type="dxa"/>
            <w:tcBorders/>
            <w:shd w:fill="CCEEFF" w:val="clear"/>
            <w:vAlign w:val="center"/>
          </w:tcPr>
          <w:p>
            <w:pPr>
              <w:pStyle w:val="TableContents"/>
              <w:spacing w:before="0" w:after="0"/>
              <w:ind w:left="0" w:right="0" w:hanging="0"/>
              <w:jc w:val="center"/>
              <w:rPr/>
            </w:pPr>
            <w:hyperlink w:anchor="i4">
              <w:r>
                <w:rPr>
                  <w:rStyle w:val="InternetLink"/>
                  <w:rFonts w:ascii="Times New Roman" w:hAnsi="Times New Roman"/>
                  <w:caps w:val="false"/>
                  <w:smallCaps w:val="false"/>
                  <w:sz w:val="20"/>
                </w:rPr>
                <w:t>20</w:t>
              </w:r>
            </w:hyperlink>
          </w:p>
        </w:tc>
      </w:tr>
      <w:tr>
        <w:trPr/>
        <w:tc>
          <w:tcPr>
            <w:tcW w:w="1525" w:type="dxa"/>
            <w:tcBorders/>
            <w:shd w:fill="FFFFFF" w:val="clear"/>
            <w:vAlign w:val="center"/>
          </w:tcPr>
          <w:p>
            <w:pPr>
              <w:pStyle w:val="TableContents"/>
              <w:spacing w:before="0" w:after="283"/>
              <w:rPr/>
            </w:pPr>
            <w:r>
              <w:rPr/>
              <w:t> </w:t>
            </w:r>
          </w:p>
        </w:tc>
        <w:tc>
          <w:tcPr>
            <w:tcW w:w="840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0"/>
              <w:ind w:left="0" w:right="0" w:hanging="0"/>
              <w:rPr/>
            </w:pPr>
            <w:hyperlink w:anchor="p2">
              <w:r>
                <w:rPr>
                  <w:rStyle w:val="InternetLink"/>
                  <w:rFonts w:ascii="Times New Roman" w:hAnsi="Times New Roman"/>
                  <w:caps w:val="false"/>
                  <w:smallCaps w:val="false"/>
                  <w:sz w:val="20"/>
                </w:rPr>
                <w:t>PART II</w:t>
              </w:r>
            </w:hyperlink>
          </w:p>
        </w:tc>
        <w:tc>
          <w:tcPr>
            <w:tcW w:w="840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rPr/>
            </w:pPr>
            <w:r>
              <w:rPr/>
              <w:t> </w:t>
            </w:r>
          </w:p>
        </w:tc>
      </w:tr>
      <w:tr>
        <w:trPr/>
        <w:tc>
          <w:tcPr>
            <w:tcW w:w="1525" w:type="dxa"/>
            <w:tcBorders/>
            <w:shd w:fill="FFFFFF" w:val="clear"/>
            <w:vAlign w:val="center"/>
          </w:tcPr>
          <w:p>
            <w:pPr>
              <w:pStyle w:val="TableContents"/>
              <w:spacing w:before="0" w:after="283"/>
              <w:rPr/>
            </w:pPr>
            <w:r>
              <w:rPr/>
              <w:t> </w:t>
            </w:r>
          </w:p>
        </w:tc>
        <w:tc>
          <w:tcPr>
            <w:tcW w:w="840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5</w:t>
            </w:r>
          </w:p>
        </w:tc>
        <w:tc>
          <w:tcPr>
            <w:tcW w:w="8400" w:type="dxa"/>
            <w:tcBorders/>
            <w:shd w:fill="CCEEFF" w:val="clear"/>
            <w:vAlign w:val="center"/>
          </w:tcPr>
          <w:p>
            <w:pPr>
              <w:pStyle w:val="TableContents"/>
              <w:spacing w:before="0" w:after="0"/>
              <w:ind w:left="180" w:right="0" w:hanging="180"/>
              <w:rPr/>
            </w:pPr>
            <w:hyperlink w:anchor="i5">
              <w:r>
                <w:rPr>
                  <w:rStyle w:val="InternetLink"/>
                  <w:rFonts w:ascii="Times New Roman" w:hAnsi="Times New Roman"/>
                  <w:caps w:val="false"/>
                  <w:smallCaps w:val="false"/>
                  <w:sz w:val="20"/>
                </w:rPr>
                <w:t>MARKET FOR REGISTRANT’S COMMON EQUITY, RELATED STOCKHOLDER MATTERS AND ISSUER PURCHASES OF EQUITY SECURITIES</w:t>
              </w:r>
            </w:hyperlink>
          </w:p>
        </w:tc>
        <w:tc>
          <w:tcPr>
            <w:tcW w:w="280" w:type="dxa"/>
            <w:tcBorders/>
            <w:shd w:fill="CCEEFF" w:val="clear"/>
            <w:vAlign w:val="center"/>
          </w:tcPr>
          <w:p>
            <w:pPr>
              <w:pStyle w:val="TableContents"/>
              <w:spacing w:before="0" w:after="0"/>
              <w:ind w:left="0" w:right="0" w:hanging="0"/>
              <w:jc w:val="center"/>
              <w:rPr/>
            </w:pPr>
            <w:hyperlink w:anchor="i5">
              <w:r>
                <w:rPr>
                  <w:rStyle w:val="InternetLink"/>
                  <w:rFonts w:ascii="Times New Roman" w:hAnsi="Times New Roman"/>
                  <w:caps w:val="false"/>
                  <w:smallCaps w:val="false"/>
                  <w:sz w:val="20"/>
                </w:rPr>
                <w:t>21</w:t>
              </w:r>
            </w:hyperlink>
          </w:p>
        </w:tc>
      </w:tr>
      <w:tr>
        <w:trPr/>
        <w:tc>
          <w:tcPr>
            <w:tcW w:w="15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6</w:t>
            </w:r>
          </w:p>
        </w:tc>
        <w:tc>
          <w:tcPr>
            <w:tcW w:w="8400" w:type="dxa"/>
            <w:tcBorders/>
            <w:shd w:fill="FFFFFF" w:val="clear"/>
            <w:vAlign w:val="center"/>
          </w:tcPr>
          <w:p>
            <w:pPr>
              <w:pStyle w:val="TableContents"/>
              <w:spacing w:before="0" w:after="0"/>
              <w:ind w:left="180" w:right="0" w:hanging="180"/>
              <w:rPr/>
            </w:pPr>
            <w:hyperlink w:anchor="i6">
              <w:r>
                <w:rPr>
                  <w:rStyle w:val="InternetLink"/>
                  <w:rFonts w:ascii="Times New Roman" w:hAnsi="Times New Roman"/>
                  <w:caps w:val="false"/>
                  <w:smallCaps w:val="false"/>
                  <w:sz w:val="20"/>
                </w:rPr>
                <w:t>[RESERVED]</w:t>
              </w:r>
            </w:hyperlink>
          </w:p>
        </w:tc>
        <w:tc>
          <w:tcPr>
            <w:tcW w:w="280" w:type="dxa"/>
            <w:tcBorders/>
            <w:shd w:fill="FFFFFF" w:val="clear"/>
            <w:vAlign w:val="center"/>
          </w:tcPr>
          <w:p>
            <w:pPr>
              <w:pStyle w:val="TableContents"/>
              <w:spacing w:before="0" w:after="0"/>
              <w:ind w:left="0" w:right="0" w:hanging="0"/>
              <w:jc w:val="center"/>
              <w:rPr/>
            </w:pPr>
            <w:hyperlink w:anchor="i6">
              <w:r>
                <w:rPr>
                  <w:rStyle w:val="InternetLink"/>
                  <w:rFonts w:ascii="Times New Roman" w:hAnsi="Times New Roman"/>
                  <w:caps w:val="false"/>
                  <w:smallCaps w:val="false"/>
                  <w:sz w:val="20"/>
                </w:rPr>
                <w:t>21</w:t>
              </w:r>
            </w:hyperlink>
          </w:p>
        </w:tc>
      </w:tr>
      <w:tr>
        <w:trPr/>
        <w:tc>
          <w:tcPr>
            <w:tcW w:w="15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7</w:t>
            </w:r>
          </w:p>
        </w:tc>
        <w:tc>
          <w:tcPr>
            <w:tcW w:w="8400" w:type="dxa"/>
            <w:tcBorders/>
            <w:shd w:fill="CCEEFF" w:val="clear"/>
            <w:vAlign w:val="center"/>
          </w:tcPr>
          <w:p>
            <w:pPr>
              <w:pStyle w:val="TableContents"/>
              <w:spacing w:before="0" w:after="0"/>
              <w:ind w:left="180" w:right="0" w:hanging="180"/>
              <w:rPr/>
            </w:pPr>
            <w:hyperlink w:anchor="i7">
              <w:r>
                <w:rPr>
                  <w:rStyle w:val="InternetLink"/>
                  <w:rFonts w:ascii="Times New Roman" w:hAnsi="Times New Roman"/>
                  <w:caps w:val="false"/>
                  <w:smallCaps w:val="false"/>
                  <w:sz w:val="20"/>
                </w:rPr>
                <w:t>MANAGEMENT’S DISCUSSION AND ANALYSIS OF FINANCIAL CONDITION AND RESULTS OF OPERATIONS</w:t>
              </w:r>
            </w:hyperlink>
          </w:p>
        </w:tc>
        <w:tc>
          <w:tcPr>
            <w:tcW w:w="280" w:type="dxa"/>
            <w:tcBorders/>
            <w:shd w:fill="CCEEFF" w:val="clear"/>
            <w:vAlign w:val="center"/>
          </w:tcPr>
          <w:p>
            <w:pPr>
              <w:pStyle w:val="TableContents"/>
              <w:spacing w:before="0" w:after="0"/>
              <w:ind w:left="0" w:right="0" w:hanging="0"/>
              <w:jc w:val="center"/>
              <w:rPr/>
            </w:pPr>
            <w:hyperlink w:anchor="i7">
              <w:r>
                <w:rPr>
                  <w:rStyle w:val="InternetLink"/>
                  <w:rFonts w:ascii="Times New Roman" w:hAnsi="Times New Roman"/>
                  <w:caps w:val="false"/>
                  <w:smallCaps w:val="false"/>
                  <w:sz w:val="20"/>
                </w:rPr>
                <w:t>22</w:t>
              </w:r>
            </w:hyperlink>
          </w:p>
        </w:tc>
      </w:tr>
      <w:tr>
        <w:trPr/>
        <w:tc>
          <w:tcPr>
            <w:tcW w:w="15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7A</w:t>
            </w:r>
          </w:p>
        </w:tc>
        <w:tc>
          <w:tcPr>
            <w:tcW w:w="8400" w:type="dxa"/>
            <w:tcBorders/>
            <w:shd w:fill="FFFFFF" w:val="clear"/>
            <w:vAlign w:val="center"/>
          </w:tcPr>
          <w:p>
            <w:pPr>
              <w:pStyle w:val="TableContents"/>
              <w:spacing w:before="0" w:after="0"/>
              <w:ind w:left="180" w:right="0" w:hanging="180"/>
              <w:rPr/>
            </w:pPr>
            <w:hyperlink w:anchor="i7A">
              <w:r>
                <w:rPr>
                  <w:rStyle w:val="InternetLink"/>
                  <w:rFonts w:ascii="Times New Roman" w:hAnsi="Times New Roman"/>
                  <w:caps w:val="false"/>
                  <w:smallCaps w:val="false"/>
                  <w:sz w:val="20"/>
                </w:rPr>
                <w:t>QUANTITATIVE AND QUALITATIVE DISCLOSURES ABOUT MARKET RISK</w:t>
              </w:r>
            </w:hyperlink>
          </w:p>
        </w:tc>
        <w:tc>
          <w:tcPr>
            <w:tcW w:w="280" w:type="dxa"/>
            <w:tcBorders/>
            <w:shd w:fill="FFFFFF" w:val="clear"/>
            <w:vAlign w:val="center"/>
          </w:tcPr>
          <w:p>
            <w:pPr>
              <w:pStyle w:val="TableContents"/>
              <w:spacing w:before="0" w:after="0"/>
              <w:ind w:left="0" w:right="0" w:hanging="0"/>
              <w:jc w:val="center"/>
              <w:rPr/>
            </w:pPr>
            <w:hyperlink w:anchor="i7A">
              <w:r>
                <w:rPr>
                  <w:rStyle w:val="InternetLink"/>
                  <w:rFonts w:ascii="Times New Roman" w:hAnsi="Times New Roman"/>
                  <w:caps w:val="false"/>
                  <w:smallCaps w:val="false"/>
                  <w:sz w:val="20"/>
                </w:rPr>
                <w:t>35</w:t>
              </w:r>
            </w:hyperlink>
          </w:p>
        </w:tc>
      </w:tr>
      <w:tr>
        <w:trPr/>
        <w:tc>
          <w:tcPr>
            <w:tcW w:w="15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8</w:t>
            </w:r>
          </w:p>
        </w:tc>
        <w:tc>
          <w:tcPr>
            <w:tcW w:w="8400" w:type="dxa"/>
            <w:tcBorders/>
            <w:shd w:fill="CCEEFF" w:val="clear"/>
            <w:vAlign w:val="center"/>
          </w:tcPr>
          <w:p>
            <w:pPr>
              <w:pStyle w:val="TableContents"/>
              <w:spacing w:before="0" w:after="0"/>
              <w:ind w:left="180" w:right="0" w:hanging="180"/>
              <w:rPr/>
            </w:pPr>
            <w:hyperlink w:anchor="i8">
              <w:r>
                <w:rPr>
                  <w:rStyle w:val="InternetLink"/>
                  <w:rFonts w:ascii="Times New Roman" w:hAnsi="Times New Roman"/>
                  <w:caps w:val="false"/>
                  <w:smallCaps w:val="false"/>
                  <w:sz w:val="20"/>
                </w:rPr>
                <w:t>FINANCIAL STATEMENTS AND SUPPLEMENTARY DATA</w:t>
              </w:r>
            </w:hyperlink>
          </w:p>
        </w:tc>
        <w:tc>
          <w:tcPr>
            <w:tcW w:w="280" w:type="dxa"/>
            <w:tcBorders/>
            <w:shd w:fill="CCEEFF" w:val="clear"/>
            <w:vAlign w:val="center"/>
          </w:tcPr>
          <w:p>
            <w:pPr>
              <w:pStyle w:val="TableContents"/>
              <w:spacing w:before="0" w:after="0"/>
              <w:ind w:left="0" w:right="0" w:hanging="0"/>
              <w:jc w:val="center"/>
              <w:rPr/>
            </w:pPr>
            <w:hyperlink w:anchor="i8">
              <w:r>
                <w:rPr>
                  <w:rStyle w:val="InternetLink"/>
                  <w:rFonts w:ascii="Times New Roman" w:hAnsi="Times New Roman"/>
                  <w:caps w:val="false"/>
                  <w:smallCaps w:val="false"/>
                  <w:sz w:val="20"/>
                </w:rPr>
                <w:t>35</w:t>
              </w:r>
            </w:hyperlink>
          </w:p>
        </w:tc>
      </w:tr>
      <w:tr>
        <w:trPr/>
        <w:tc>
          <w:tcPr>
            <w:tcW w:w="15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9</w:t>
            </w:r>
          </w:p>
        </w:tc>
        <w:tc>
          <w:tcPr>
            <w:tcW w:w="8400" w:type="dxa"/>
            <w:tcBorders/>
            <w:shd w:fill="FFFFFF" w:val="clear"/>
            <w:vAlign w:val="center"/>
          </w:tcPr>
          <w:p>
            <w:pPr>
              <w:pStyle w:val="TableContents"/>
              <w:spacing w:before="0" w:after="0"/>
              <w:ind w:left="180" w:right="0" w:hanging="180"/>
              <w:rPr/>
            </w:pPr>
            <w:hyperlink w:anchor="i9">
              <w:r>
                <w:rPr>
                  <w:rStyle w:val="InternetLink"/>
                  <w:rFonts w:ascii="Times New Roman" w:hAnsi="Times New Roman"/>
                  <w:caps w:val="false"/>
                  <w:smallCaps w:val="false"/>
                  <w:sz w:val="20"/>
                </w:rPr>
                <w:t>CHANGES IN AND DISAGREEMENTS WITH ACCOUNTANTS ON ACCOUNTING AND FINANCIAL DISCLOSURE</w:t>
              </w:r>
            </w:hyperlink>
          </w:p>
        </w:tc>
        <w:tc>
          <w:tcPr>
            <w:tcW w:w="280" w:type="dxa"/>
            <w:tcBorders/>
            <w:shd w:fill="FFFFFF" w:val="clear"/>
            <w:vAlign w:val="center"/>
          </w:tcPr>
          <w:p>
            <w:pPr>
              <w:pStyle w:val="TableContents"/>
              <w:spacing w:before="0" w:after="0"/>
              <w:ind w:left="0" w:right="0" w:hanging="0"/>
              <w:jc w:val="center"/>
              <w:rPr/>
            </w:pPr>
            <w:hyperlink w:anchor="i9">
              <w:r>
                <w:rPr>
                  <w:rStyle w:val="InternetLink"/>
                  <w:rFonts w:ascii="Times New Roman" w:hAnsi="Times New Roman"/>
                  <w:caps w:val="false"/>
                  <w:smallCaps w:val="false"/>
                  <w:sz w:val="20"/>
                </w:rPr>
                <w:t>35</w:t>
              </w:r>
            </w:hyperlink>
          </w:p>
        </w:tc>
      </w:tr>
      <w:tr>
        <w:trPr/>
        <w:tc>
          <w:tcPr>
            <w:tcW w:w="15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9A</w:t>
            </w:r>
          </w:p>
        </w:tc>
        <w:tc>
          <w:tcPr>
            <w:tcW w:w="8400" w:type="dxa"/>
            <w:tcBorders/>
            <w:shd w:fill="CCEEFF" w:val="clear"/>
            <w:vAlign w:val="center"/>
          </w:tcPr>
          <w:p>
            <w:pPr>
              <w:pStyle w:val="TableContents"/>
              <w:spacing w:before="0" w:after="0"/>
              <w:ind w:left="180" w:right="0" w:hanging="180"/>
              <w:rPr/>
            </w:pPr>
            <w:hyperlink w:anchor="i9A">
              <w:r>
                <w:rPr>
                  <w:rStyle w:val="InternetLink"/>
                  <w:rFonts w:ascii="Times New Roman" w:hAnsi="Times New Roman"/>
                  <w:caps w:val="false"/>
                  <w:smallCaps w:val="false"/>
                  <w:sz w:val="20"/>
                </w:rPr>
                <w:t>CONTROLS AND PROCEDURES</w:t>
              </w:r>
            </w:hyperlink>
          </w:p>
        </w:tc>
        <w:tc>
          <w:tcPr>
            <w:tcW w:w="280" w:type="dxa"/>
            <w:tcBorders/>
            <w:shd w:fill="CCEEFF" w:val="clear"/>
            <w:vAlign w:val="center"/>
          </w:tcPr>
          <w:p>
            <w:pPr>
              <w:pStyle w:val="TableContents"/>
              <w:spacing w:before="0" w:after="0"/>
              <w:ind w:left="0" w:right="0" w:hanging="0"/>
              <w:jc w:val="center"/>
              <w:rPr/>
            </w:pPr>
            <w:hyperlink w:anchor="i9A">
              <w:r>
                <w:rPr>
                  <w:rStyle w:val="InternetLink"/>
                  <w:rFonts w:ascii="Times New Roman" w:hAnsi="Times New Roman"/>
                  <w:caps w:val="false"/>
                  <w:smallCaps w:val="false"/>
                  <w:sz w:val="20"/>
                </w:rPr>
                <w:t>36</w:t>
              </w:r>
            </w:hyperlink>
          </w:p>
        </w:tc>
      </w:tr>
      <w:tr>
        <w:trPr/>
        <w:tc>
          <w:tcPr>
            <w:tcW w:w="15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9B</w:t>
            </w:r>
          </w:p>
        </w:tc>
        <w:tc>
          <w:tcPr>
            <w:tcW w:w="8400" w:type="dxa"/>
            <w:tcBorders/>
            <w:shd w:fill="FFFFFF" w:val="clear"/>
            <w:vAlign w:val="center"/>
          </w:tcPr>
          <w:p>
            <w:pPr>
              <w:pStyle w:val="TableContents"/>
              <w:spacing w:before="0" w:after="0"/>
              <w:ind w:left="180" w:right="0" w:hanging="180"/>
              <w:rPr/>
            </w:pPr>
            <w:hyperlink w:anchor="i9B">
              <w:r>
                <w:rPr>
                  <w:rStyle w:val="InternetLink"/>
                  <w:rFonts w:ascii="Times New Roman" w:hAnsi="Times New Roman"/>
                  <w:caps w:val="false"/>
                  <w:smallCaps w:val="false"/>
                  <w:sz w:val="20"/>
                </w:rPr>
                <w:t>OTHER INFORMATION</w:t>
              </w:r>
            </w:hyperlink>
          </w:p>
        </w:tc>
        <w:tc>
          <w:tcPr>
            <w:tcW w:w="280" w:type="dxa"/>
            <w:tcBorders/>
            <w:shd w:fill="FFFFFF" w:val="clear"/>
            <w:vAlign w:val="center"/>
          </w:tcPr>
          <w:p>
            <w:pPr>
              <w:pStyle w:val="TableContents"/>
              <w:spacing w:before="0" w:after="0"/>
              <w:ind w:left="0" w:right="0" w:hanging="0"/>
              <w:jc w:val="center"/>
              <w:rPr/>
            </w:pPr>
            <w:hyperlink w:anchor="i9B">
              <w:r>
                <w:rPr>
                  <w:rStyle w:val="InternetLink"/>
                  <w:rFonts w:ascii="Times New Roman" w:hAnsi="Times New Roman"/>
                  <w:caps w:val="false"/>
                  <w:smallCaps w:val="false"/>
                  <w:sz w:val="20"/>
                </w:rPr>
                <w:t>36</w:t>
              </w:r>
            </w:hyperlink>
          </w:p>
        </w:tc>
      </w:tr>
      <w:tr>
        <w:trPr/>
        <w:tc>
          <w:tcPr>
            <w:tcW w:w="15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9C</w:t>
            </w:r>
          </w:p>
        </w:tc>
        <w:tc>
          <w:tcPr>
            <w:tcW w:w="8400" w:type="dxa"/>
            <w:tcBorders/>
            <w:shd w:fill="CCEEFF" w:val="clear"/>
            <w:vAlign w:val="center"/>
          </w:tcPr>
          <w:p>
            <w:pPr>
              <w:pStyle w:val="TableContents"/>
              <w:spacing w:before="0" w:after="0"/>
              <w:ind w:left="180" w:right="0" w:hanging="180"/>
              <w:rPr/>
            </w:pPr>
            <w:hyperlink w:anchor="i9C">
              <w:r>
                <w:rPr>
                  <w:rStyle w:val="InternetLink"/>
                  <w:rFonts w:ascii="Times New Roman" w:hAnsi="Times New Roman"/>
                  <w:caps w:val="false"/>
                  <w:smallCaps w:val="false"/>
                  <w:sz w:val="20"/>
                </w:rPr>
                <w:t>DISCLOSURE REGARDING FOREIGN JURISDICTIONS THAT PREVENT INSPECTIONS</w:t>
              </w:r>
            </w:hyperlink>
          </w:p>
        </w:tc>
        <w:tc>
          <w:tcPr>
            <w:tcW w:w="280" w:type="dxa"/>
            <w:tcBorders/>
            <w:shd w:fill="CCEEFF" w:val="clear"/>
            <w:vAlign w:val="center"/>
          </w:tcPr>
          <w:p>
            <w:pPr>
              <w:pStyle w:val="TableContents"/>
              <w:spacing w:before="0" w:after="0"/>
              <w:ind w:left="0" w:right="0" w:hanging="0"/>
              <w:jc w:val="center"/>
              <w:rPr/>
            </w:pPr>
            <w:hyperlink w:anchor="i9C">
              <w:r>
                <w:rPr>
                  <w:rStyle w:val="InternetLink"/>
                  <w:rFonts w:ascii="Times New Roman" w:hAnsi="Times New Roman"/>
                  <w:caps w:val="false"/>
                  <w:smallCaps w:val="false"/>
                  <w:sz w:val="20"/>
                </w:rPr>
                <w:t>36</w:t>
              </w:r>
            </w:hyperlink>
          </w:p>
        </w:tc>
      </w:tr>
      <w:tr>
        <w:trPr/>
        <w:tc>
          <w:tcPr>
            <w:tcW w:w="1525" w:type="dxa"/>
            <w:tcBorders/>
            <w:shd w:fill="FFFFFF" w:val="clear"/>
            <w:vAlign w:val="center"/>
          </w:tcPr>
          <w:p>
            <w:pPr>
              <w:pStyle w:val="TableContents"/>
              <w:spacing w:before="0" w:after="283"/>
              <w:rPr/>
            </w:pPr>
            <w:r>
              <w:rPr/>
              <w:t> </w:t>
            </w:r>
          </w:p>
        </w:tc>
        <w:tc>
          <w:tcPr>
            <w:tcW w:w="840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0"/>
              <w:ind w:left="0" w:right="0" w:hanging="0"/>
              <w:rPr/>
            </w:pPr>
            <w:hyperlink w:anchor="p3">
              <w:r>
                <w:rPr>
                  <w:rStyle w:val="InternetLink"/>
                  <w:rFonts w:ascii="Times New Roman" w:hAnsi="Times New Roman"/>
                  <w:caps w:val="false"/>
                  <w:smallCaps w:val="false"/>
                  <w:sz w:val="20"/>
                </w:rPr>
                <w:t>PART III</w:t>
              </w:r>
            </w:hyperlink>
          </w:p>
        </w:tc>
        <w:tc>
          <w:tcPr>
            <w:tcW w:w="840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rPr/>
            </w:pPr>
            <w:r>
              <w:rPr/>
              <w:t> </w:t>
            </w:r>
          </w:p>
        </w:tc>
      </w:tr>
      <w:tr>
        <w:trPr/>
        <w:tc>
          <w:tcPr>
            <w:tcW w:w="1525" w:type="dxa"/>
            <w:tcBorders/>
            <w:shd w:fill="FFFFFF" w:val="clear"/>
            <w:vAlign w:val="center"/>
          </w:tcPr>
          <w:p>
            <w:pPr>
              <w:pStyle w:val="TableContents"/>
              <w:spacing w:before="0" w:after="283"/>
              <w:rPr/>
            </w:pPr>
            <w:r>
              <w:rPr/>
              <w:t> </w:t>
            </w:r>
          </w:p>
        </w:tc>
        <w:tc>
          <w:tcPr>
            <w:tcW w:w="840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10</w:t>
            </w:r>
          </w:p>
        </w:tc>
        <w:tc>
          <w:tcPr>
            <w:tcW w:w="8400" w:type="dxa"/>
            <w:tcBorders/>
            <w:shd w:fill="CCEEFF" w:val="clear"/>
            <w:vAlign w:val="center"/>
          </w:tcPr>
          <w:p>
            <w:pPr>
              <w:pStyle w:val="TableContents"/>
              <w:spacing w:before="0" w:after="0"/>
              <w:ind w:left="180" w:right="0" w:hanging="180"/>
              <w:rPr/>
            </w:pPr>
            <w:hyperlink w:anchor="i10">
              <w:r>
                <w:rPr>
                  <w:rStyle w:val="InternetLink"/>
                  <w:rFonts w:ascii="Times New Roman" w:hAnsi="Times New Roman"/>
                  <w:caps w:val="false"/>
                  <w:smallCaps w:val="false"/>
                  <w:sz w:val="20"/>
                </w:rPr>
                <w:t>DIRECTORS, EXECUTIVE OFFICERS AND CORPORATE GOVERNANCE</w:t>
              </w:r>
            </w:hyperlink>
          </w:p>
        </w:tc>
        <w:tc>
          <w:tcPr>
            <w:tcW w:w="280" w:type="dxa"/>
            <w:tcBorders/>
            <w:shd w:fill="CCEEFF" w:val="clear"/>
            <w:vAlign w:val="center"/>
          </w:tcPr>
          <w:p>
            <w:pPr>
              <w:pStyle w:val="TableContents"/>
              <w:spacing w:before="0" w:after="0"/>
              <w:ind w:left="0" w:right="0" w:hanging="0"/>
              <w:jc w:val="center"/>
              <w:rPr/>
            </w:pPr>
            <w:hyperlink w:anchor="i10">
              <w:r>
                <w:rPr>
                  <w:rStyle w:val="InternetLink"/>
                  <w:rFonts w:ascii="Times New Roman" w:hAnsi="Times New Roman"/>
                  <w:caps w:val="false"/>
                  <w:smallCaps w:val="false"/>
                  <w:sz w:val="20"/>
                </w:rPr>
                <w:t>37</w:t>
              </w:r>
            </w:hyperlink>
          </w:p>
        </w:tc>
      </w:tr>
      <w:tr>
        <w:trPr/>
        <w:tc>
          <w:tcPr>
            <w:tcW w:w="15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11</w:t>
            </w:r>
          </w:p>
        </w:tc>
        <w:tc>
          <w:tcPr>
            <w:tcW w:w="8400" w:type="dxa"/>
            <w:tcBorders/>
            <w:shd w:fill="FFFFFF" w:val="clear"/>
            <w:vAlign w:val="center"/>
          </w:tcPr>
          <w:p>
            <w:pPr>
              <w:pStyle w:val="TableContents"/>
              <w:spacing w:before="0" w:after="0"/>
              <w:ind w:left="180" w:right="0" w:hanging="180"/>
              <w:rPr/>
            </w:pPr>
            <w:hyperlink w:anchor="i11">
              <w:r>
                <w:rPr>
                  <w:rStyle w:val="InternetLink"/>
                  <w:rFonts w:ascii="Times New Roman" w:hAnsi="Times New Roman"/>
                  <w:caps w:val="false"/>
                  <w:smallCaps w:val="false"/>
                  <w:sz w:val="20"/>
                </w:rPr>
                <w:t>EXECUTIVE COMPENSATION</w:t>
              </w:r>
            </w:hyperlink>
          </w:p>
        </w:tc>
        <w:tc>
          <w:tcPr>
            <w:tcW w:w="280" w:type="dxa"/>
            <w:tcBorders/>
            <w:shd w:fill="FFFFFF" w:val="clear"/>
            <w:vAlign w:val="center"/>
          </w:tcPr>
          <w:p>
            <w:pPr>
              <w:pStyle w:val="TableContents"/>
              <w:spacing w:before="0" w:after="0"/>
              <w:ind w:left="0" w:right="0" w:hanging="0"/>
              <w:jc w:val="center"/>
              <w:rPr/>
            </w:pPr>
            <w:hyperlink w:anchor="i11">
              <w:r>
                <w:rPr>
                  <w:rStyle w:val="InternetLink"/>
                  <w:rFonts w:ascii="Times New Roman" w:hAnsi="Times New Roman"/>
                  <w:caps w:val="false"/>
                  <w:smallCaps w:val="false"/>
                  <w:sz w:val="20"/>
                </w:rPr>
                <w:t>37</w:t>
              </w:r>
            </w:hyperlink>
          </w:p>
        </w:tc>
      </w:tr>
      <w:tr>
        <w:trPr/>
        <w:tc>
          <w:tcPr>
            <w:tcW w:w="15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12</w:t>
            </w:r>
          </w:p>
        </w:tc>
        <w:tc>
          <w:tcPr>
            <w:tcW w:w="8400" w:type="dxa"/>
            <w:tcBorders/>
            <w:shd w:fill="CCEEFF" w:val="clear"/>
            <w:vAlign w:val="center"/>
          </w:tcPr>
          <w:p>
            <w:pPr>
              <w:pStyle w:val="TableContents"/>
              <w:spacing w:before="0" w:after="0"/>
              <w:ind w:left="180" w:right="0" w:hanging="180"/>
              <w:rPr/>
            </w:pPr>
            <w:hyperlink w:anchor="i12">
              <w:r>
                <w:rPr>
                  <w:rStyle w:val="InternetLink"/>
                  <w:rFonts w:ascii="Times New Roman" w:hAnsi="Times New Roman"/>
                  <w:caps w:val="false"/>
                  <w:smallCaps w:val="false"/>
                  <w:sz w:val="20"/>
                </w:rPr>
                <w:t>SECURITY OWNERSHIP OF CERTAIN BENEFICIAL OWNERS AND MANAGEMENT AND RELATED STOCKHOLDER MATTERS</w:t>
              </w:r>
            </w:hyperlink>
          </w:p>
        </w:tc>
        <w:tc>
          <w:tcPr>
            <w:tcW w:w="280" w:type="dxa"/>
            <w:tcBorders/>
            <w:shd w:fill="CCEEFF" w:val="clear"/>
            <w:vAlign w:val="center"/>
          </w:tcPr>
          <w:p>
            <w:pPr>
              <w:pStyle w:val="TableContents"/>
              <w:spacing w:before="0" w:after="0"/>
              <w:ind w:left="0" w:right="0" w:hanging="0"/>
              <w:jc w:val="center"/>
              <w:rPr/>
            </w:pPr>
            <w:hyperlink w:anchor="i12">
              <w:r>
                <w:rPr>
                  <w:rStyle w:val="InternetLink"/>
                  <w:rFonts w:ascii="Times New Roman" w:hAnsi="Times New Roman"/>
                  <w:caps w:val="false"/>
                  <w:smallCaps w:val="false"/>
                  <w:sz w:val="20"/>
                </w:rPr>
                <w:t>37</w:t>
              </w:r>
            </w:hyperlink>
          </w:p>
        </w:tc>
      </w:tr>
      <w:tr>
        <w:trPr/>
        <w:tc>
          <w:tcPr>
            <w:tcW w:w="15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13</w:t>
            </w:r>
          </w:p>
        </w:tc>
        <w:tc>
          <w:tcPr>
            <w:tcW w:w="8400" w:type="dxa"/>
            <w:tcBorders/>
            <w:shd w:fill="FFFFFF" w:val="clear"/>
            <w:vAlign w:val="center"/>
          </w:tcPr>
          <w:p>
            <w:pPr>
              <w:pStyle w:val="TableContents"/>
              <w:spacing w:before="0" w:after="0"/>
              <w:ind w:left="180" w:right="0" w:hanging="180"/>
              <w:rPr/>
            </w:pPr>
            <w:hyperlink w:anchor="i13">
              <w:r>
                <w:rPr>
                  <w:rStyle w:val="InternetLink"/>
                  <w:rFonts w:ascii="Times New Roman" w:hAnsi="Times New Roman"/>
                  <w:caps w:val="false"/>
                  <w:smallCaps w:val="false"/>
                  <w:sz w:val="20"/>
                </w:rPr>
                <w:t>CERTAIN RELATIONSHIPS AND RELATED TRANSACTIONS, AND DIRECTOR INDEPENDENCE</w:t>
              </w:r>
            </w:hyperlink>
          </w:p>
        </w:tc>
        <w:tc>
          <w:tcPr>
            <w:tcW w:w="280" w:type="dxa"/>
            <w:tcBorders/>
            <w:shd w:fill="FFFFFF" w:val="clear"/>
            <w:vAlign w:val="center"/>
          </w:tcPr>
          <w:p>
            <w:pPr>
              <w:pStyle w:val="TableContents"/>
              <w:spacing w:before="0" w:after="0"/>
              <w:ind w:left="0" w:right="0" w:hanging="0"/>
              <w:jc w:val="center"/>
              <w:rPr/>
            </w:pPr>
            <w:hyperlink w:anchor="i13">
              <w:r>
                <w:rPr>
                  <w:rStyle w:val="InternetLink"/>
                  <w:rFonts w:ascii="Times New Roman" w:hAnsi="Times New Roman"/>
                  <w:caps w:val="false"/>
                  <w:smallCaps w:val="false"/>
                  <w:sz w:val="20"/>
                </w:rPr>
                <w:t>38</w:t>
              </w:r>
            </w:hyperlink>
          </w:p>
        </w:tc>
      </w:tr>
      <w:tr>
        <w:trPr/>
        <w:tc>
          <w:tcPr>
            <w:tcW w:w="15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14</w:t>
            </w:r>
          </w:p>
        </w:tc>
        <w:tc>
          <w:tcPr>
            <w:tcW w:w="8400" w:type="dxa"/>
            <w:tcBorders/>
            <w:shd w:fill="CCEEFF" w:val="clear"/>
            <w:vAlign w:val="center"/>
          </w:tcPr>
          <w:p>
            <w:pPr>
              <w:pStyle w:val="TableContents"/>
              <w:spacing w:before="0" w:after="0"/>
              <w:ind w:left="180" w:right="0" w:hanging="180"/>
              <w:rPr/>
            </w:pPr>
            <w:hyperlink w:anchor="i14">
              <w:r>
                <w:rPr>
                  <w:rStyle w:val="InternetLink"/>
                  <w:rFonts w:ascii="Times New Roman" w:hAnsi="Times New Roman"/>
                  <w:caps w:val="false"/>
                  <w:smallCaps w:val="false"/>
                  <w:sz w:val="20"/>
                </w:rPr>
                <w:t>PRINCIPAL ACCOUNTANT FEES AND SERVICES</w:t>
              </w:r>
            </w:hyperlink>
          </w:p>
        </w:tc>
        <w:tc>
          <w:tcPr>
            <w:tcW w:w="280" w:type="dxa"/>
            <w:tcBorders/>
            <w:shd w:fill="CCEEFF" w:val="clear"/>
            <w:vAlign w:val="center"/>
          </w:tcPr>
          <w:p>
            <w:pPr>
              <w:pStyle w:val="TableContents"/>
              <w:spacing w:before="0" w:after="0"/>
              <w:ind w:left="0" w:right="0" w:hanging="0"/>
              <w:jc w:val="center"/>
              <w:rPr/>
            </w:pPr>
            <w:hyperlink w:anchor="i14">
              <w:r>
                <w:rPr>
                  <w:rStyle w:val="InternetLink"/>
                  <w:rFonts w:ascii="Times New Roman" w:hAnsi="Times New Roman"/>
                  <w:caps w:val="false"/>
                  <w:smallCaps w:val="false"/>
                  <w:sz w:val="20"/>
                </w:rPr>
                <w:t>38</w:t>
              </w:r>
            </w:hyperlink>
          </w:p>
        </w:tc>
      </w:tr>
      <w:tr>
        <w:trPr/>
        <w:tc>
          <w:tcPr>
            <w:tcW w:w="1525" w:type="dxa"/>
            <w:tcBorders/>
            <w:shd w:fill="FFFFFF" w:val="clear"/>
            <w:vAlign w:val="center"/>
          </w:tcPr>
          <w:p>
            <w:pPr>
              <w:pStyle w:val="TableContents"/>
              <w:spacing w:before="0" w:after="283"/>
              <w:rPr/>
            </w:pPr>
            <w:r>
              <w:rPr/>
              <w:t> </w:t>
            </w:r>
          </w:p>
        </w:tc>
        <w:tc>
          <w:tcPr>
            <w:tcW w:w="840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0"/>
              <w:ind w:left="0" w:right="0" w:hanging="0"/>
              <w:rPr/>
            </w:pPr>
            <w:hyperlink w:anchor="p4">
              <w:r>
                <w:rPr>
                  <w:rStyle w:val="InternetLink"/>
                  <w:rFonts w:ascii="Times New Roman" w:hAnsi="Times New Roman"/>
                  <w:caps w:val="false"/>
                  <w:smallCaps w:val="false"/>
                  <w:sz w:val="20"/>
                </w:rPr>
                <w:t>PART IV</w:t>
              </w:r>
            </w:hyperlink>
          </w:p>
        </w:tc>
        <w:tc>
          <w:tcPr>
            <w:tcW w:w="840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rPr/>
            </w:pPr>
            <w:r>
              <w:rPr/>
              <w:t> </w:t>
            </w:r>
          </w:p>
        </w:tc>
      </w:tr>
      <w:tr>
        <w:trPr/>
        <w:tc>
          <w:tcPr>
            <w:tcW w:w="1525" w:type="dxa"/>
            <w:tcBorders/>
            <w:shd w:fill="FFFFFF" w:val="clear"/>
            <w:vAlign w:val="center"/>
          </w:tcPr>
          <w:p>
            <w:pPr>
              <w:pStyle w:val="TableContents"/>
              <w:spacing w:before="0" w:after="283"/>
              <w:rPr/>
            </w:pPr>
            <w:r>
              <w:rPr/>
              <w:t> </w:t>
            </w:r>
          </w:p>
        </w:tc>
        <w:tc>
          <w:tcPr>
            <w:tcW w:w="840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15</w:t>
            </w:r>
          </w:p>
        </w:tc>
        <w:tc>
          <w:tcPr>
            <w:tcW w:w="8400" w:type="dxa"/>
            <w:tcBorders/>
            <w:shd w:fill="CCEEFF" w:val="clear"/>
            <w:vAlign w:val="center"/>
          </w:tcPr>
          <w:p>
            <w:pPr>
              <w:pStyle w:val="TableContents"/>
              <w:spacing w:before="0" w:after="0"/>
              <w:ind w:left="180" w:right="0" w:hanging="180"/>
              <w:rPr/>
            </w:pPr>
            <w:hyperlink w:anchor="i15">
              <w:r>
                <w:rPr>
                  <w:rStyle w:val="InternetLink"/>
                  <w:rFonts w:ascii="Times New Roman" w:hAnsi="Times New Roman"/>
                  <w:caps w:val="false"/>
                  <w:smallCaps w:val="false"/>
                  <w:sz w:val="20"/>
                </w:rPr>
                <w:t>EXHIBITS AND FINANCIAL STATEMENT SCHEDULES</w:t>
              </w:r>
            </w:hyperlink>
          </w:p>
        </w:tc>
        <w:tc>
          <w:tcPr>
            <w:tcW w:w="280" w:type="dxa"/>
            <w:tcBorders/>
            <w:shd w:fill="CCEEFF" w:val="clear"/>
            <w:vAlign w:val="center"/>
          </w:tcPr>
          <w:p>
            <w:pPr>
              <w:pStyle w:val="TableContents"/>
              <w:spacing w:before="0" w:after="0"/>
              <w:ind w:left="0" w:right="0" w:hanging="0"/>
              <w:jc w:val="center"/>
              <w:rPr/>
            </w:pPr>
            <w:hyperlink w:anchor="i15">
              <w:r>
                <w:rPr>
                  <w:rStyle w:val="InternetLink"/>
                  <w:rFonts w:ascii="Times New Roman" w:hAnsi="Times New Roman"/>
                  <w:caps w:val="false"/>
                  <w:smallCaps w:val="false"/>
                  <w:sz w:val="20"/>
                </w:rPr>
                <w:t>38</w:t>
              </w:r>
            </w:hyperlink>
          </w:p>
        </w:tc>
      </w:tr>
      <w:tr>
        <w:trPr/>
        <w:tc>
          <w:tcPr>
            <w:tcW w:w="1525" w:type="dxa"/>
            <w:tcBorders/>
            <w:shd w:fill="FFFFFF" w:val="clear"/>
            <w:vAlign w:val="center"/>
          </w:tcPr>
          <w:p>
            <w:pPr>
              <w:pStyle w:val="TableContents"/>
              <w:spacing w:before="0" w:after="283"/>
              <w:rPr/>
            </w:pPr>
            <w:r>
              <w:rPr/>
              <w:t> </w:t>
            </w:r>
          </w:p>
        </w:tc>
        <w:tc>
          <w:tcPr>
            <w:tcW w:w="840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283"/>
              <w:rPr/>
            </w:pPr>
            <w:hyperlink w:anchor="exhibits">
              <w:r>
                <w:rPr>
                  <w:rStyle w:val="InternetLink"/>
                </w:rPr>
                <w:t>EXHIBIT INDEX</w:t>
              </w:r>
            </w:hyperlink>
          </w:p>
        </w:tc>
        <w:tc>
          <w:tcPr>
            <w:tcW w:w="840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center"/>
              <w:rPr/>
            </w:pPr>
            <w:hyperlink w:anchor="exhibits">
              <w:r>
                <w:rPr>
                  <w:rStyle w:val="InternetLink"/>
                </w:rPr>
                <w:t>38</w:t>
              </w:r>
            </w:hyperlink>
          </w:p>
        </w:tc>
      </w:tr>
      <w:tr>
        <w:trPr/>
        <w:tc>
          <w:tcPr>
            <w:tcW w:w="1525" w:type="dxa"/>
            <w:tcBorders/>
            <w:shd w:fill="FFFFFF" w:val="clear"/>
            <w:vAlign w:val="center"/>
          </w:tcPr>
          <w:p>
            <w:pPr>
              <w:pStyle w:val="TableContents"/>
              <w:spacing w:before="0" w:after="283"/>
              <w:rPr/>
            </w:pPr>
            <w:r>
              <w:rPr/>
              <w:t> </w:t>
            </w:r>
          </w:p>
        </w:tc>
        <w:tc>
          <w:tcPr>
            <w:tcW w:w="840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r>
      <w:tr>
        <w:trPr/>
        <w:tc>
          <w:tcPr>
            <w:tcW w:w="9925" w:type="dxa"/>
            <w:gridSpan w:val="2"/>
            <w:tcBorders/>
            <w:shd w:fill="CCEEFF" w:val="clear"/>
            <w:vAlign w:val="center"/>
          </w:tcPr>
          <w:p>
            <w:pPr>
              <w:pStyle w:val="TableContents"/>
              <w:spacing w:before="0" w:after="0"/>
              <w:ind w:left="0" w:right="0" w:hanging="0"/>
              <w:rPr/>
            </w:pPr>
            <w:hyperlink w:anchor="sigs">
              <w:r>
                <w:rPr>
                  <w:rStyle w:val="InternetLink"/>
                  <w:rFonts w:ascii="Times New Roman" w:hAnsi="Times New Roman"/>
                  <w:caps w:val="false"/>
                  <w:smallCaps w:val="false"/>
                  <w:sz w:val="20"/>
                </w:rPr>
                <w:t>SIGNATURES</w:t>
              </w:r>
            </w:hyperlink>
          </w:p>
        </w:tc>
        <w:tc>
          <w:tcPr>
            <w:tcW w:w="280" w:type="dxa"/>
            <w:tcBorders/>
            <w:shd w:fill="CCEEFF" w:val="clear"/>
            <w:vAlign w:val="center"/>
          </w:tcPr>
          <w:p>
            <w:pPr>
              <w:pStyle w:val="TableContents"/>
              <w:spacing w:before="0" w:after="0"/>
              <w:ind w:left="0" w:right="0" w:hanging="0"/>
              <w:jc w:val="center"/>
              <w:rPr/>
            </w:pPr>
            <w:hyperlink w:anchor="sigs">
              <w:r>
                <w:rPr>
                  <w:rStyle w:val="InternetLink"/>
                  <w:rFonts w:ascii="Times New Roman" w:hAnsi="Times New Roman"/>
                  <w:caps w:val="false"/>
                  <w:smallCaps w:val="false"/>
                  <w:sz w:val="20"/>
                </w:rPr>
                <w:t>41</w:t>
              </w:r>
            </w:hyperlink>
          </w:p>
        </w:tc>
      </w:tr>
      <w:tr>
        <w:trPr/>
        <w:tc>
          <w:tcPr>
            <w:tcW w:w="9925" w:type="dxa"/>
            <w:gridSpan w:val="2"/>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r>
      <w:tr>
        <w:trPr/>
        <w:tc>
          <w:tcPr>
            <w:tcW w:w="9925" w:type="dxa"/>
            <w:gridSpan w:val="2"/>
            <w:tcBorders/>
            <w:shd w:fill="CCEEFF" w:val="clear"/>
            <w:vAlign w:val="center"/>
          </w:tcPr>
          <w:p>
            <w:pPr>
              <w:pStyle w:val="TableContents"/>
              <w:spacing w:before="0" w:after="0"/>
              <w:ind w:left="0" w:right="0" w:hanging="0"/>
              <w:rPr/>
            </w:pPr>
            <w:hyperlink w:anchor="notes_index">
              <w:r>
                <w:rPr>
                  <w:rStyle w:val="InternetLink"/>
                  <w:rFonts w:ascii="Times New Roman" w:hAnsi="Times New Roman"/>
                  <w:caps w:val="false"/>
                  <w:smallCaps w:val="false"/>
                  <w:sz w:val="20"/>
                </w:rPr>
                <w:t>INDEX TO CONSOLIDATED FINANCIAL STATEMENTS</w:t>
              </w:r>
            </w:hyperlink>
          </w:p>
        </w:tc>
        <w:tc>
          <w:tcPr>
            <w:tcW w:w="280" w:type="dxa"/>
            <w:tcBorders/>
            <w:shd w:fill="CCEEFF" w:val="clear"/>
            <w:vAlign w:val="center"/>
          </w:tcPr>
          <w:p>
            <w:pPr>
              <w:pStyle w:val="TableContents"/>
              <w:spacing w:before="0" w:after="0"/>
              <w:ind w:left="0" w:right="0" w:hanging="0"/>
              <w:jc w:val="center"/>
              <w:rPr/>
            </w:pPr>
            <w:hyperlink w:anchor="notes_index">
              <w:r>
                <w:rPr>
                  <w:rStyle w:val="InternetLink"/>
                  <w:rFonts w:ascii="Times New Roman" w:hAnsi="Times New Roman"/>
                  <w:caps w:val="false"/>
                  <w:smallCaps w:val="false"/>
                  <w:sz w:val="20"/>
                </w:rPr>
                <w:t>F-1</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i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3" w:name="cautionary_note"/>
      <w:bookmarkEnd w:id="3"/>
      <w:r>
        <w:rPr>
          <w:rFonts w:ascii="Times New Roman" w:hAnsi="Times New Roman"/>
          <w:b/>
          <w:caps w:val="false"/>
          <w:smallCaps w:val="false"/>
          <w:sz w:val="20"/>
        </w:rPr>
        <w:t>CAUTIONARY NOTE REGARDING FORWARD-LOOKING STATEMENTS;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 FACTOR SUMMARY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information in this Report contains various forward-looking statements within the meaning of Section 21E of the Exchange Act of 1934, as amended. Although we believe that, in making any such statements, our expectations are based on reasonable assumptions, any such statements may be influenced by factors that could cause actual outcomes and results to be materially different from those projected. When used in the following discussion, the words “anticipates,” “believes,” “expects,” “intends,” “plans,” “estimates,” “projects,” should,” “may,” “propose,” and similar expressions (or the negative versions of such words or expressions), are intended to identify such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caution you that these forward-looking statements are subject to numerous risks and uncertainties, most of which are difficult to predict and many of which are beyond our control. Should one or more of the risks or uncertainties described in this Report occur, or should underlying assumptions prove incorrect, our actual results and plans could differ materially from those expressed in any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All forward-looking statements, expressed or implied, included in this Report are expressly qualified in their entirety by this cautionary note. This cautionary note should also be considered in connection with any subsequent written or oral forward-looking statements that we or persons acting on our behalf may issue. Except as otherwise required by applicable law, we disclaim any duty to update any forward-looking statements, all of which are expressly qualified by the statements in this section, to reflect events or circumstances after the date of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 summary of the principal risk factors that make investing in our securities risky and might cause our actual results to differ is set forth below. The following is only a summary of the principal risks that may materially adversely affect our business, financial condition, results of operations and cash flows. This summary should be read in conjunction with the more complete discussion of the risk factors we face, which are set forth in the section entitled “Risk Factors” in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720"/>
        <w:rPr>
          <w:rFonts w:ascii="Times New Roman" w:hAnsi="Times New Roman"/>
          <w:b/>
          <w:i/>
          <w:caps w:val="false"/>
          <w:smallCaps w:val="false"/>
          <w:sz w:val="20"/>
        </w:rPr>
      </w:pPr>
      <w:r>
        <w:rPr>
          <w:rFonts w:ascii="Times New Roman" w:hAnsi="Times New Roman"/>
          <w:b/>
          <w:i/>
          <w:caps w:val="false"/>
          <w:smallCaps w:val="false"/>
          <w:sz w:val="20"/>
        </w:rPr>
        <w:t>Risks Related to our Business and our Industry</w:t>
      </w:r>
    </w:p>
    <w:p>
      <w:pPr>
        <w:pStyle w:val="TextBody"/>
        <w:spacing w:before="0" w:after="0"/>
        <w:ind w:left="0" w:right="0" w:hanging="0"/>
        <w:rPr/>
      </w:pPr>
      <w:r>
        <w:rPr/>
        <w:t> </w:t>
      </w:r>
    </w:p>
    <w:tbl>
      <w:tblPr>
        <w:tblW w:w="6655" w:type="dxa"/>
        <w:jc w:val="left"/>
        <w:tblInd w:w="0" w:type="dxa"/>
        <w:tblCellMar>
          <w:top w:w="0" w:type="dxa"/>
          <w:left w:w="0" w:type="dxa"/>
          <w:bottom w:w="0" w:type="dxa"/>
          <w:right w:w="0" w:type="dxa"/>
        </w:tblCellMar>
      </w:tblPr>
      <w:tblGrid>
        <w:gridCol w:w="60"/>
        <w:gridCol w:w="170"/>
        <w:gridCol w:w="64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4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have generally incurred losses, and may never become or remain profitable.</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digital marketing business is evolving in a rapidly changing market, and we cannot ensure the long-term successful operation of our business or the execution of our business plan.</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Adequate funds for our operations may not be available, requiring us to raise additional financing or else curtail our activities significantly.</w:t>
            </w:r>
          </w:p>
        </w:tc>
      </w:tr>
    </w:tbl>
    <w:p>
      <w:pPr>
        <w:pStyle w:val="TextBody"/>
        <w:spacing w:before="0" w:after="0"/>
        <w:ind w:left="0" w:right="0" w:hanging="0"/>
        <w:rPr/>
      </w:pPr>
      <w:r>
        <w:rPr/>
        <w:t> </w:t>
      </w:r>
    </w:p>
    <w:tbl>
      <w:tblPr>
        <w:tblW w:w="10090" w:type="dxa"/>
        <w:jc w:val="left"/>
        <w:tblInd w:w="0" w:type="dxa"/>
        <w:tblCellMar>
          <w:top w:w="0" w:type="dxa"/>
          <w:left w:w="0" w:type="dxa"/>
          <w:bottom w:w="0" w:type="dxa"/>
          <w:right w:w="0" w:type="dxa"/>
        </w:tblCellMar>
      </w:tblPr>
      <w:tblGrid>
        <w:gridCol w:w="60"/>
        <w:gridCol w:w="170"/>
        <w:gridCol w:w="98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86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do not have sufficient capital to engage in material research and development, which may harm our long-term growth.</w:t>
            </w:r>
          </w:p>
        </w:tc>
      </w:tr>
    </w:tbl>
    <w:p>
      <w:pPr>
        <w:pStyle w:val="TextBody"/>
        <w:spacing w:before="0" w:after="0"/>
        <w:ind w:left="0" w:right="0" w:hanging="0"/>
        <w:rPr/>
      </w:pPr>
      <w:r>
        <w:rPr/>
        <w:t> </w:t>
      </w:r>
    </w:p>
    <w:tbl>
      <w:tblPr>
        <w:tblW w:w="8215" w:type="dxa"/>
        <w:jc w:val="left"/>
        <w:tblInd w:w="0" w:type="dxa"/>
        <w:tblCellMar>
          <w:top w:w="0" w:type="dxa"/>
          <w:left w:w="0" w:type="dxa"/>
          <w:bottom w:w="0" w:type="dxa"/>
          <w:right w:w="0" w:type="dxa"/>
        </w:tblCellMar>
      </w:tblPr>
      <w:tblGrid>
        <w:gridCol w:w="60"/>
        <w:gridCol w:w="170"/>
        <w:gridCol w:w="79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98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are reliant on the continued support of a related party for adequate financing of our operations.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The variable sales cycle of some of the combined company’s products will likely make it difficult to predict operating results.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There has been, and we expect that there will continue to be, significant consolidation in our industry. Our failure or inability to lead that consolidation would have a severe adverse impact on our access to financing, customers, technology, and human resources.</w:t>
            </w:r>
          </w:p>
        </w:tc>
      </w:tr>
    </w:tbl>
    <w:p>
      <w:pPr>
        <w:pStyle w:val="TextBody"/>
        <w:spacing w:before="0" w:after="0"/>
        <w:ind w:left="0" w:right="0" w:hanging="0"/>
        <w:rPr/>
      </w:pPr>
      <w:r>
        <w:rPr/>
        <w:t> </w:t>
      </w:r>
    </w:p>
    <w:tbl>
      <w:tblPr>
        <w:tblW w:w="8770" w:type="dxa"/>
        <w:jc w:val="left"/>
        <w:tblInd w:w="0" w:type="dxa"/>
        <w:tblCellMar>
          <w:top w:w="0" w:type="dxa"/>
          <w:left w:w="0" w:type="dxa"/>
          <w:bottom w:w="0" w:type="dxa"/>
          <w:right w:w="0" w:type="dxa"/>
        </w:tblCellMar>
      </w:tblPr>
      <w:tblGrid>
        <w:gridCol w:w="60"/>
        <w:gridCol w:w="170"/>
        <w:gridCol w:w="85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54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Unpredictability in financing markets could impair our ability to grow our business through acquisitions.</w:t>
            </w:r>
          </w:p>
        </w:tc>
      </w:tr>
    </w:tbl>
    <w:p>
      <w:pPr>
        <w:pStyle w:val="TextBody"/>
        <w:spacing w:before="0" w:after="0"/>
        <w:ind w:left="16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success depends on our interactive marketing technologies achieving and maintaining widespread acceptance in our targeted markets.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financial condition and potential for continued net losses may negatively impact our relationships with customers, prospective customers and third-party suppliers.</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ii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Because we do not have long-term binding purchase commitments from our customers, the failure to obtain anticipated orders or the deferral or cancellation of commitments could have adverse effects on our business.</w:t>
            </w:r>
          </w:p>
        </w:tc>
      </w:tr>
    </w:tbl>
    <w:p>
      <w:pPr>
        <w:pStyle w:val="TextBody"/>
        <w:spacing w:before="0" w:after="0"/>
        <w:ind w:left="0" w:right="0" w:hanging="0"/>
        <w:rPr/>
      </w:pPr>
      <w:r>
        <w:rPr/>
        <w:t> </w:t>
      </w:r>
    </w:p>
    <w:tbl>
      <w:tblPr>
        <w:tblW w:w="9445" w:type="dxa"/>
        <w:jc w:val="left"/>
        <w:tblInd w:w="0" w:type="dxa"/>
        <w:tblCellMar>
          <w:top w:w="0" w:type="dxa"/>
          <w:left w:w="0" w:type="dxa"/>
          <w:bottom w:w="0" w:type="dxa"/>
          <w:right w:w="0" w:type="dxa"/>
        </w:tblCellMar>
      </w:tblPr>
      <w:tblGrid>
        <w:gridCol w:w="60"/>
        <w:gridCol w:w="170"/>
        <w:gridCol w:w="92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21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continued growth and financial performance could be adversely affected by the loss of several key customers.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Most of our contracts are terminable by our customers with limited notice and without penalty payments, and early terminations could have a material adverse effect on our business, operating results and financial condition.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It is common for our current and prospective customers to take a long time to evaluate our products, most especially during economic downturns that affect our customers’ businesses, as we saw during the COVID-19 pandemic. The lengthy and variable sales cycle makes it difficult to predict our operating results.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industry is characterized by frequent technological change. If we are unable to adapt our products and services and develop new products and services to keep up with these rapid changes, we will not be able to obtain or maintain market share.</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 portion of our business involves the use of software technology that we have developed or licensed. Industries involving the ownership and licensing of software-based intellectual property are characterized by frequent intellectual-property litigation, and we could face claims of infringement by others in the industry. Such claims are costly and add uncertainty to our operational results.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proprietary platform architectures and data tracking technology underlying certain of our services are complex and may contain unknown errors in design or implementation that could result in system performance failures or inability to scale.</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business may be adversely affected by malicious applications that interfere with, or exploit security flaws in, our products and services.</w:t>
            </w:r>
          </w:p>
        </w:tc>
      </w:tr>
    </w:tbl>
    <w:p>
      <w:pPr>
        <w:pStyle w:val="TextBody"/>
        <w:spacing w:before="0" w:after="0"/>
        <w:ind w:left="0" w:right="0" w:hanging="0"/>
        <w:rPr/>
      </w:pPr>
      <w:r>
        <w:rPr/>
        <w:t> </w:t>
      </w:r>
    </w:p>
    <w:tbl>
      <w:tblPr>
        <w:tblW w:w="8800" w:type="dxa"/>
        <w:jc w:val="left"/>
        <w:tblInd w:w="0" w:type="dxa"/>
        <w:tblCellMar>
          <w:top w:w="0" w:type="dxa"/>
          <w:left w:w="0" w:type="dxa"/>
          <w:bottom w:w="0" w:type="dxa"/>
          <w:right w:w="0" w:type="dxa"/>
        </w:tblCellMar>
      </w:tblPr>
      <w:tblGrid>
        <w:gridCol w:w="60"/>
        <w:gridCol w:w="170"/>
        <w:gridCol w:w="85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57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compete with other companies that have more resources, which puts us at a competitive disadvantage.</w:t>
            </w:r>
          </w:p>
        </w:tc>
      </w:tr>
    </w:tbl>
    <w:p>
      <w:pPr>
        <w:pStyle w:val="TextBody"/>
        <w:spacing w:before="0" w:after="0"/>
        <w:ind w:left="0" w:right="0" w:hanging="0"/>
        <w:rPr/>
      </w:pPr>
      <w:r>
        <w:rPr/>
        <w:t> </w:t>
      </w:r>
    </w:p>
    <w:tbl>
      <w:tblPr>
        <w:tblW w:w="8515" w:type="dxa"/>
        <w:jc w:val="left"/>
        <w:tblInd w:w="0" w:type="dxa"/>
        <w:tblCellMar>
          <w:top w:w="0" w:type="dxa"/>
          <w:left w:w="0" w:type="dxa"/>
          <w:bottom w:w="0" w:type="dxa"/>
          <w:right w:w="0" w:type="dxa"/>
        </w:tblCellMar>
      </w:tblPr>
      <w:tblGrid>
        <w:gridCol w:w="60"/>
        <w:gridCol w:w="170"/>
        <w:gridCol w:w="82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28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future success depends on key personnel and our ability to attract and retain additional personnel.</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are subject to cyber security risks and interruptions or failures in our information technology systems and will likely need to expend additional resources to enhance our protection from such risks. Notwithstanding our efforts, a cyber incident could occur and result in information theft, data corruption, operational disruption and/or financial loss.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reliance on information management and transaction systems to operate our business exposes us to cyber incidents and hacking of our sensitive information if our outsourced service provider experiences a security breach.</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Because our technology, products, platform, and services are complex and are deployed in and across complex environments, they may have errors or defects that could seriously harm our business.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may have insufficient network or server capacity, which could result in interruptions in our services and loss of revenues.</w:t>
            </w:r>
          </w:p>
        </w:tc>
      </w:tr>
    </w:tbl>
    <w:p>
      <w:pPr>
        <w:pStyle w:val="TextBody"/>
        <w:spacing w:before="0" w:after="0"/>
        <w:ind w:left="0" w:right="0" w:hanging="0"/>
        <w:rPr/>
      </w:pPr>
      <w:r>
        <w:rPr/>
        <w:t> </w:t>
      </w:r>
    </w:p>
    <w:tbl>
      <w:tblPr>
        <w:tblW w:w="7810" w:type="dxa"/>
        <w:jc w:val="left"/>
        <w:tblInd w:w="0" w:type="dxa"/>
        <w:tblCellMar>
          <w:top w:w="0" w:type="dxa"/>
          <w:left w:w="0" w:type="dxa"/>
          <w:bottom w:w="0" w:type="dxa"/>
          <w:right w:w="0" w:type="dxa"/>
        </w:tblCellMar>
      </w:tblPr>
      <w:tblGrid>
        <w:gridCol w:w="60"/>
        <w:gridCol w:w="170"/>
        <w:gridCol w:w="75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58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business operations are susceptible to interruptions caused by events beyond our control.</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competitors are constantly evolving, and we may be unable to compete successfully against existing or future competitors to our business.</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iii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Risks Related to our Securities and our Company</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largest shareholder and senior lender possesses significant voting power with respect to our common stock and has proposed a transaction to purchase all of our common stock that is not beneficially owned by such shareholder and its affiliates.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Articles of Incorporation grant our Board of Directors the power to issue additional shares of common and preferred stock and to designate other classes of preferred stock, all without shareholder approval.</w:t>
            </w:r>
          </w:p>
        </w:tc>
      </w:tr>
    </w:tbl>
    <w:p>
      <w:pPr>
        <w:pStyle w:val="TextBody"/>
        <w:spacing w:before="0" w:after="0"/>
        <w:ind w:left="0" w:right="0" w:hanging="0"/>
        <w:rPr/>
      </w:pPr>
      <w:r>
        <w:rPr/>
        <w:t> </w:t>
      </w:r>
    </w:p>
    <w:tbl>
      <w:tblPr>
        <w:tblW w:w="6970" w:type="dxa"/>
        <w:jc w:val="left"/>
        <w:tblInd w:w="0" w:type="dxa"/>
        <w:tblCellMar>
          <w:top w:w="0" w:type="dxa"/>
          <w:left w:w="0" w:type="dxa"/>
          <w:bottom w:w="0" w:type="dxa"/>
          <w:right w:w="0" w:type="dxa"/>
        </w:tblCellMar>
      </w:tblPr>
      <w:tblGrid>
        <w:gridCol w:w="60"/>
        <w:gridCol w:w="170"/>
        <w:gridCol w:w="67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74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do not intend to pay dividends on our common stock for the foreseeable future.</w:t>
            </w:r>
          </w:p>
        </w:tc>
      </w:tr>
    </w:tbl>
    <w:p>
      <w:pPr>
        <w:pStyle w:val="TextBody"/>
        <w:spacing w:before="0" w:after="0"/>
        <w:ind w:left="0" w:right="0" w:hanging="0"/>
        <w:rPr/>
      </w:pPr>
      <w:r>
        <w:rPr/>
        <w:t> </w:t>
      </w:r>
    </w:p>
    <w:tbl>
      <w:tblPr>
        <w:tblW w:w="6640" w:type="dxa"/>
        <w:jc w:val="left"/>
        <w:tblInd w:w="0" w:type="dxa"/>
        <w:tblCellMar>
          <w:top w:w="0" w:type="dxa"/>
          <w:left w:w="0" w:type="dxa"/>
          <w:bottom w:w="0" w:type="dxa"/>
          <w:right w:w="0" w:type="dxa"/>
        </w:tblCellMar>
      </w:tblPr>
      <w:tblGrid>
        <w:gridCol w:w="60"/>
        <w:gridCol w:w="170"/>
        <w:gridCol w:w="64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41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do not have significant tangible assets that could be sold upon liquidation.</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can provide no assurance that our securities will continue to meet Nasdaq listing requirements. If we fail to comply with the continuing listing standards of the Nasdaq, our securities could be delisted.</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our 1-for-3 reverse stock split on the future market price of our common stock, and our ability to maintain the listing of our common stock on Nasdaq, is uncertain.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issuances of our common stock, or the perception that significant issuances may occur in the future, could adversely affect the market price for our common stock.</w:t>
            </w:r>
          </w:p>
        </w:tc>
      </w:tr>
    </w:tbl>
    <w:p>
      <w:pPr>
        <w:pStyle w:val="TextBody"/>
        <w:spacing w:before="0" w:after="0"/>
        <w:ind w:left="0" w:right="0" w:hanging="0"/>
        <w:rPr/>
      </w:pPr>
      <w:r>
        <w:rPr/>
        <w:t> </w:t>
      </w:r>
    </w:p>
    <w:tbl>
      <w:tblPr>
        <w:tblW w:w="5650" w:type="dxa"/>
        <w:jc w:val="left"/>
        <w:tblInd w:w="0" w:type="dxa"/>
        <w:tblCellMar>
          <w:top w:w="0" w:type="dxa"/>
          <w:left w:w="0" w:type="dxa"/>
          <w:bottom w:w="0" w:type="dxa"/>
          <w:right w:w="0" w:type="dxa"/>
        </w:tblCellMar>
      </w:tblPr>
      <w:tblGrid>
        <w:gridCol w:w="60"/>
        <w:gridCol w:w="170"/>
        <w:gridCol w:w="54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4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There may not be an active market for shares of our common stock.</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General Risk Factors</w:t>
      </w:r>
    </w:p>
    <w:p>
      <w:pPr>
        <w:pStyle w:val="TextBody"/>
        <w:spacing w:before="0" w:after="0"/>
        <w:ind w:left="0" w:right="0" w:hanging="0"/>
        <w:rPr>
          <w:caps w:val="false"/>
          <w:smallCaps w:val="false"/>
        </w:rPr>
      </w:pPr>
      <w:r>
        <w:rPr>
          <w:caps w:val="false"/>
          <w:smallCaps w:val="false"/>
        </w:rPr>
        <w:t> </w:t>
      </w:r>
    </w:p>
    <w:tbl>
      <w:tblPr>
        <w:tblW w:w="8770" w:type="dxa"/>
        <w:jc w:val="left"/>
        <w:tblInd w:w="0" w:type="dxa"/>
        <w:tblCellMar>
          <w:top w:w="0" w:type="dxa"/>
          <w:left w:w="0" w:type="dxa"/>
          <w:bottom w:w="0" w:type="dxa"/>
          <w:right w:w="0" w:type="dxa"/>
        </w:tblCellMar>
      </w:tblPr>
      <w:tblGrid>
        <w:gridCol w:w="60"/>
        <w:gridCol w:w="170"/>
        <w:gridCol w:w="85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54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Unpredictability in financing markets could impair our ability to grow our business through acquisitions.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Because of our limited resources, we may not have in place various processes and protections common to more mature companies and may be more susceptible to adverse events.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General global market and economic conditions may have an adverse impact on our operating performance and results of operations.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iv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EXPLANATORY NOTE</w:t>
      </w:r>
    </w:p>
    <w:p>
      <w:pPr>
        <w:pStyle w:val="TextBody"/>
        <w:spacing w:before="0" w:after="0"/>
        <w:ind w:left="0" w:right="0" w:hanging="0"/>
        <w:jc w:val="center"/>
        <w:rPr/>
      </w:pPr>
      <w:r>
        <w:rPr/>
        <w:t>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(All currency is rounded to the nearest thousand, except share and per share amounts. On March 27, 2023, the Company effectuated a l-for-3 reverse stock split of its outstanding common stock. This Annual Report on Form 10-K, and the Consolidated Financial Statements and Notes to Consolidated Financial Statements herein, give retroactive effect to the reverse stock split for all periods presented. The shares of common stock retained a par value of $0.01 per share.)</w:t>
      </w:r>
    </w:p>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b/>
          <w:sz w:val="20"/>
        </w:rPr>
      </w:pPr>
      <w:bookmarkStart w:id="4" w:name="p1"/>
      <w:bookmarkEnd w:id="4"/>
      <w:r>
        <w:rPr>
          <w:rFonts w:ascii="Times New Roman;Times;serif" w:hAnsi="Times New Roman;Times;serif"/>
          <w:b/>
          <w:sz w:val="20"/>
        </w:rPr>
        <w:t xml:space="preserve">PART I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5" w:name="i1"/>
      <w:bookmarkEnd w:id="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Our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Creative Realities, Inc. (“Creative Realities”, or the “Company”) provides digital solutions to enhance communications in a wide-ranging variety of out-of-home environments by providing innovative digital signage solutions for key market segments and use cases, including:</w:t>
      </w:r>
    </w:p>
    <w:p>
      <w:pPr>
        <w:pStyle w:val="TextBody"/>
        <w:spacing w:before="0" w:after="0"/>
        <w:ind w:left="0" w:right="0" w:hanging="0"/>
        <w:rPr>
          <w:caps w:val="false"/>
          <w:smallCaps w:val="false"/>
        </w:rPr>
      </w:pPr>
      <w:r>
        <w:rPr>
          <w:caps w:val="false"/>
          <w:smallCaps w:val="false"/>
        </w:rPr>
        <w:t> </w:t>
      </w:r>
    </w:p>
    <w:tbl>
      <w:tblPr>
        <w:tblW w:w="745" w:type="dxa"/>
        <w:jc w:val="left"/>
        <w:tblInd w:w="0" w:type="dxa"/>
        <w:tblCellMar>
          <w:top w:w="0" w:type="dxa"/>
          <w:left w:w="0" w:type="dxa"/>
          <w:bottom w:w="0" w:type="dxa"/>
          <w:right w:w="0" w:type="dxa"/>
        </w:tblCellMar>
      </w:tblPr>
      <w:tblGrid>
        <w:gridCol w:w="60"/>
        <w:gridCol w:w="170"/>
        <w:gridCol w:w="5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1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r>
    </w:tbl>
    <w:p>
      <w:pPr>
        <w:pStyle w:val="TextBody"/>
        <w:spacing w:before="0" w:after="0"/>
        <w:ind w:left="0" w:right="0" w:hanging="0"/>
        <w:rPr/>
      </w:pPr>
      <w:r>
        <w:rPr/>
        <w:t> </w:t>
      </w:r>
    </w:p>
    <w:tbl>
      <w:tblPr>
        <w:tblW w:w="2950" w:type="dxa"/>
        <w:jc w:val="left"/>
        <w:tblInd w:w="0" w:type="dxa"/>
        <w:tblCellMar>
          <w:top w:w="0" w:type="dxa"/>
          <w:left w:w="0" w:type="dxa"/>
          <w:bottom w:w="0" w:type="dxa"/>
          <w:right w:w="0" w:type="dxa"/>
        </w:tblCellMar>
      </w:tblPr>
      <w:tblGrid>
        <w:gridCol w:w="60"/>
        <w:gridCol w:w="170"/>
        <w:gridCol w:w="27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7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Entertainment and Sports Venues</w:t>
            </w:r>
          </w:p>
        </w:tc>
      </w:tr>
    </w:tbl>
    <w:p>
      <w:pPr>
        <w:pStyle w:val="TextBody"/>
        <w:spacing w:before="0" w:after="0"/>
        <w:ind w:left="0" w:right="0" w:hanging="0"/>
        <w:rPr/>
      </w:pPr>
      <w:r>
        <w:rPr/>
        <w:t> </w:t>
      </w:r>
    </w:p>
    <w:tbl>
      <w:tblPr>
        <w:tblW w:w="4705" w:type="dxa"/>
        <w:jc w:val="left"/>
        <w:tblInd w:w="0" w:type="dxa"/>
        <w:tblCellMar>
          <w:top w:w="0" w:type="dxa"/>
          <w:left w:w="0" w:type="dxa"/>
          <w:bottom w:w="0" w:type="dxa"/>
          <w:right w:w="0" w:type="dxa"/>
        </w:tblCellMar>
      </w:tblPr>
      <w:tblGrid>
        <w:gridCol w:w="60"/>
        <w:gridCol w:w="170"/>
        <w:gridCol w:w="44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4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Restaurants, including quick-serve restaurants (“QSR”)</w:t>
            </w:r>
          </w:p>
        </w:tc>
      </w:tr>
    </w:tbl>
    <w:p>
      <w:pPr>
        <w:pStyle w:val="TextBody"/>
        <w:spacing w:before="0" w:after="0"/>
        <w:ind w:left="0" w:right="0" w:hanging="0"/>
        <w:rPr/>
      </w:pPr>
      <w:r>
        <w:rPr/>
        <w:t> </w:t>
      </w:r>
    </w:p>
    <w:tbl>
      <w:tblPr>
        <w:tblW w:w="1870" w:type="dxa"/>
        <w:jc w:val="left"/>
        <w:tblInd w:w="0" w:type="dxa"/>
        <w:tblCellMar>
          <w:top w:w="0" w:type="dxa"/>
          <w:left w:w="0" w:type="dxa"/>
          <w:bottom w:w="0" w:type="dxa"/>
          <w:right w:w="0" w:type="dxa"/>
        </w:tblCellMar>
      </w:tblPr>
      <w:tblGrid>
        <w:gridCol w:w="60"/>
        <w:gridCol w:w="170"/>
        <w:gridCol w:w="16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64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Convenience Stores</w:t>
            </w:r>
          </w:p>
        </w:tc>
      </w:tr>
    </w:tbl>
    <w:p>
      <w:pPr>
        <w:pStyle w:val="TextBody"/>
        <w:spacing w:before="0" w:after="0"/>
        <w:ind w:left="0" w:right="0" w:hanging="0"/>
        <w:rPr/>
      </w:pPr>
      <w:r>
        <w:rPr/>
        <w:t> </w:t>
      </w:r>
    </w:p>
    <w:tbl>
      <w:tblPr>
        <w:tblW w:w="1735" w:type="dxa"/>
        <w:jc w:val="left"/>
        <w:tblInd w:w="0" w:type="dxa"/>
        <w:tblCellMar>
          <w:top w:w="0" w:type="dxa"/>
          <w:left w:w="0" w:type="dxa"/>
          <w:bottom w:w="0" w:type="dxa"/>
          <w:right w:w="0" w:type="dxa"/>
        </w:tblCellMar>
      </w:tblPr>
      <w:tblGrid>
        <w:gridCol w:w="60"/>
        <w:gridCol w:w="170"/>
        <w:gridCol w:w="15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50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Services</w:t>
            </w:r>
          </w:p>
        </w:tc>
      </w:tr>
    </w:tbl>
    <w:p>
      <w:pPr>
        <w:pStyle w:val="TextBody"/>
        <w:spacing w:before="0" w:after="0"/>
        <w:ind w:left="0" w:right="0" w:hanging="0"/>
        <w:rPr/>
      </w:pPr>
      <w:r>
        <w:rPr/>
        <w:t> </w:t>
      </w:r>
    </w:p>
    <w:tbl>
      <w:tblPr>
        <w:tblW w:w="1225" w:type="dxa"/>
        <w:jc w:val="left"/>
        <w:tblInd w:w="0" w:type="dxa"/>
        <w:tblCellMar>
          <w:top w:w="0" w:type="dxa"/>
          <w:left w:w="0" w:type="dxa"/>
          <w:bottom w:w="0" w:type="dxa"/>
          <w:right w:w="0" w:type="dxa"/>
        </w:tblCellMar>
      </w:tblPr>
      <w:tblGrid>
        <w:gridCol w:w="60"/>
        <w:gridCol w:w="170"/>
        <w:gridCol w:w="9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Automotive</w:t>
            </w:r>
          </w:p>
        </w:tc>
      </w:tr>
    </w:tbl>
    <w:p>
      <w:pPr>
        <w:pStyle w:val="TextBody"/>
        <w:spacing w:before="0" w:after="0"/>
        <w:ind w:left="0" w:right="0" w:hanging="0"/>
        <w:rPr/>
      </w:pPr>
      <w:r>
        <w:rPr/>
        <w:t> </w:t>
      </w:r>
    </w:p>
    <w:tbl>
      <w:tblPr>
        <w:tblW w:w="2980" w:type="dxa"/>
        <w:jc w:val="left"/>
        <w:tblInd w:w="0" w:type="dxa"/>
        <w:tblCellMar>
          <w:top w:w="0" w:type="dxa"/>
          <w:left w:w="0" w:type="dxa"/>
          <w:bottom w:w="0" w:type="dxa"/>
          <w:right w:w="0" w:type="dxa"/>
        </w:tblCellMar>
      </w:tblPr>
      <w:tblGrid>
        <w:gridCol w:w="60"/>
        <w:gridCol w:w="170"/>
        <w:gridCol w:w="27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75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Medical and Healthcare Facilities</w:t>
            </w:r>
          </w:p>
        </w:tc>
      </w:tr>
    </w:tbl>
    <w:p>
      <w:pPr>
        <w:pStyle w:val="TextBody"/>
        <w:spacing w:before="0" w:after="0"/>
        <w:ind w:left="0" w:right="0" w:hanging="0"/>
        <w:rPr/>
      </w:pPr>
      <w:r>
        <w:rPr/>
        <w:t> </w:t>
      </w:r>
    </w:p>
    <w:tbl>
      <w:tblPr>
        <w:tblW w:w="2350" w:type="dxa"/>
        <w:jc w:val="left"/>
        <w:tblInd w:w="0" w:type="dxa"/>
        <w:tblCellMar>
          <w:top w:w="0" w:type="dxa"/>
          <w:left w:w="0" w:type="dxa"/>
          <w:bottom w:w="0" w:type="dxa"/>
          <w:right w:w="0" w:type="dxa"/>
        </w:tblCellMar>
      </w:tblPr>
      <w:tblGrid>
        <w:gridCol w:w="60"/>
        <w:gridCol w:w="170"/>
        <w:gridCol w:w="21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1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Mixed Use Developments</w:t>
            </w:r>
          </w:p>
        </w:tc>
      </w:tr>
    </w:tbl>
    <w:p>
      <w:pPr>
        <w:pStyle w:val="TextBody"/>
        <w:spacing w:before="0" w:after="0"/>
        <w:ind w:left="0" w:right="0" w:hanging="0"/>
        <w:rPr/>
      </w:pPr>
      <w:r>
        <w:rPr/>
        <w:t> </w:t>
      </w:r>
    </w:p>
    <w:tbl>
      <w:tblPr>
        <w:tblW w:w="4375" w:type="dxa"/>
        <w:jc w:val="left"/>
        <w:tblInd w:w="0" w:type="dxa"/>
        <w:tblCellMar>
          <w:top w:w="0" w:type="dxa"/>
          <w:left w:w="0" w:type="dxa"/>
          <w:bottom w:w="0" w:type="dxa"/>
          <w:right w:w="0" w:type="dxa"/>
        </w:tblCellMar>
      </w:tblPr>
      <w:tblGrid>
        <w:gridCol w:w="60"/>
        <w:gridCol w:w="170"/>
        <w:gridCol w:w="41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14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Communications, Employee Experience</w:t>
            </w:r>
          </w:p>
        </w:tc>
      </w:tr>
    </w:tbl>
    <w:p>
      <w:pPr>
        <w:pStyle w:val="TextBody"/>
        <w:spacing w:before="0" w:after="0"/>
        <w:ind w:left="0" w:right="0" w:hanging="0"/>
        <w:rPr/>
      </w:pPr>
      <w:r>
        <w:rPr/>
        <w:t> </w:t>
      </w:r>
    </w:p>
    <w:tbl>
      <w:tblPr>
        <w:tblW w:w="4390" w:type="dxa"/>
        <w:jc w:val="left"/>
        <w:tblInd w:w="0" w:type="dxa"/>
        <w:tblCellMar>
          <w:top w:w="0" w:type="dxa"/>
          <w:left w:w="0" w:type="dxa"/>
          <w:bottom w:w="0" w:type="dxa"/>
          <w:right w:w="0" w:type="dxa"/>
        </w:tblCellMar>
      </w:tblPr>
      <w:tblGrid>
        <w:gridCol w:w="60"/>
        <w:gridCol w:w="170"/>
        <w:gridCol w:w="41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16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Digital out of Home (DOOH) Advertising Networks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serve market-leading companies, so there is a good chance that if you leave your home today to shop, work, eat or play, you will encounter one or more of our digital signage experiences. Our solutions are increasingly visible because we help our enterprise clients achieve a wide range of business objectives including:</w:t>
      </w:r>
    </w:p>
    <w:p>
      <w:pPr>
        <w:pStyle w:val="TextBody"/>
        <w:spacing w:before="0" w:after="0"/>
        <w:ind w:left="0" w:right="0" w:hanging="0"/>
        <w:rPr>
          <w:caps w:val="false"/>
          <w:smallCaps w:val="false"/>
        </w:rPr>
      </w:pPr>
      <w:r>
        <w:rPr>
          <w:caps w:val="false"/>
          <w:smallCaps w:val="false"/>
        </w:rPr>
        <w:t> </w:t>
      </w:r>
    </w:p>
    <w:tbl>
      <w:tblPr>
        <w:tblW w:w="3430" w:type="dxa"/>
        <w:jc w:val="left"/>
        <w:tblInd w:w="0" w:type="dxa"/>
        <w:tblCellMar>
          <w:top w:w="0" w:type="dxa"/>
          <w:left w:w="0" w:type="dxa"/>
          <w:bottom w:w="0" w:type="dxa"/>
          <w:right w:w="0" w:type="dxa"/>
        </w:tblCellMar>
      </w:tblPr>
      <w:tblGrid>
        <w:gridCol w:w="60"/>
        <w:gridCol w:w="170"/>
        <w:gridCol w:w="320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20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brand awareness/engagement</w:t>
            </w:r>
          </w:p>
        </w:tc>
      </w:tr>
    </w:tbl>
    <w:p>
      <w:pPr>
        <w:pStyle w:val="TextBody"/>
        <w:spacing w:before="0" w:after="0"/>
        <w:ind w:left="0" w:right="0" w:hanging="0"/>
        <w:rPr/>
      </w:pPr>
      <w:r>
        <w:rPr/>
        <w:t> </w:t>
      </w:r>
    </w:p>
    <w:tbl>
      <w:tblPr>
        <w:tblW w:w="2470" w:type="dxa"/>
        <w:jc w:val="left"/>
        <w:tblInd w:w="0" w:type="dxa"/>
        <w:tblCellMar>
          <w:top w:w="0" w:type="dxa"/>
          <w:left w:w="0" w:type="dxa"/>
          <w:bottom w:w="0" w:type="dxa"/>
          <w:right w:w="0" w:type="dxa"/>
        </w:tblCellMar>
      </w:tblPr>
      <w:tblGrid>
        <w:gridCol w:w="60"/>
        <w:gridCol w:w="170"/>
        <w:gridCol w:w="22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24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Improved customer support</w:t>
            </w:r>
          </w:p>
        </w:tc>
      </w:tr>
    </w:tbl>
    <w:p>
      <w:pPr>
        <w:pStyle w:val="TextBody"/>
        <w:spacing w:before="0" w:after="0"/>
        <w:ind w:left="0" w:right="0" w:hanging="0"/>
        <w:rPr/>
      </w:pPr>
      <w:r>
        <w:rPr/>
        <w:t> </w:t>
      </w:r>
    </w:p>
    <w:tbl>
      <w:tblPr>
        <w:tblW w:w="4285" w:type="dxa"/>
        <w:jc w:val="left"/>
        <w:tblInd w:w="0" w:type="dxa"/>
        <w:tblCellMar>
          <w:top w:w="0" w:type="dxa"/>
          <w:left w:w="0" w:type="dxa"/>
          <w:bottom w:w="0" w:type="dxa"/>
          <w:right w:w="0" w:type="dxa"/>
        </w:tblCellMar>
      </w:tblPr>
      <w:tblGrid>
        <w:gridCol w:w="60"/>
        <w:gridCol w:w="170"/>
        <w:gridCol w:w="40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05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Enhanced employee productivity and satisfaction</w:t>
            </w:r>
          </w:p>
        </w:tc>
      </w:tr>
    </w:tbl>
    <w:p>
      <w:pPr>
        <w:pStyle w:val="TextBody"/>
        <w:spacing w:before="0" w:after="0"/>
        <w:ind w:left="0" w:right="0" w:hanging="0"/>
        <w:rPr/>
      </w:pPr>
      <w:r>
        <w:rPr/>
        <w:t> </w:t>
      </w:r>
    </w:p>
    <w:tbl>
      <w:tblPr>
        <w:tblW w:w="3085" w:type="dxa"/>
        <w:jc w:val="left"/>
        <w:tblInd w:w="0" w:type="dxa"/>
        <w:tblCellMar>
          <w:top w:w="0" w:type="dxa"/>
          <w:left w:w="0" w:type="dxa"/>
          <w:bottom w:w="0" w:type="dxa"/>
          <w:right w:w="0" w:type="dxa"/>
        </w:tblCellMar>
      </w:tblPr>
      <w:tblGrid>
        <w:gridCol w:w="60"/>
        <w:gridCol w:w="170"/>
        <w:gridCol w:w="28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85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revenue and profitability</w:t>
            </w:r>
          </w:p>
        </w:tc>
      </w:tr>
    </w:tbl>
    <w:p>
      <w:pPr>
        <w:pStyle w:val="TextBody"/>
        <w:spacing w:before="0" w:after="0"/>
        <w:ind w:left="0" w:right="0" w:hanging="0"/>
        <w:rPr/>
      </w:pPr>
      <w:r>
        <w:rPr/>
        <w:t> </w:t>
      </w:r>
    </w:p>
    <w:tbl>
      <w:tblPr>
        <w:tblW w:w="2440" w:type="dxa"/>
        <w:jc w:val="left"/>
        <w:tblInd w:w="0" w:type="dxa"/>
        <w:tblCellMar>
          <w:top w:w="0" w:type="dxa"/>
          <w:left w:w="0" w:type="dxa"/>
          <w:bottom w:w="0" w:type="dxa"/>
          <w:right w:w="0" w:type="dxa"/>
        </w:tblCellMar>
      </w:tblPr>
      <w:tblGrid>
        <w:gridCol w:w="60"/>
        <w:gridCol w:w="170"/>
        <w:gridCol w:w="22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21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Improved guest experience</w:t>
            </w:r>
          </w:p>
        </w:tc>
      </w:tr>
    </w:tbl>
    <w:p>
      <w:pPr>
        <w:pStyle w:val="TextBody"/>
        <w:spacing w:before="0" w:after="0"/>
        <w:ind w:left="0" w:right="0" w:hanging="0"/>
        <w:rPr/>
      </w:pPr>
      <w:r>
        <w:rPr/>
        <w:t> </w:t>
      </w:r>
    </w:p>
    <w:tbl>
      <w:tblPr>
        <w:tblW w:w="3325" w:type="dxa"/>
        <w:jc w:val="left"/>
        <w:tblInd w:w="0" w:type="dxa"/>
        <w:tblCellMar>
          <w:top w:w="0" w:type="dxa"/>
          <w:left w:w="0" w:type="dxa"/>
          <w:bottom w:w="0" w:type="dxa"/>
          <w:right w:w="0" w:type="dxa"/>
        </w:tblCellMar>
      </w:tblPr>
      <w:tblGrid>
        <w:gridCol w:w="60"/>
        <w:gridCol w:w="170"/>
        <w:gridCol w:w="30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09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customer/guest engagement</w:t>
            </w:r>
          </w:p>
        </w:tc>
      </w:tr>
    </w:tbl>
    <w:p>
      <w:pPr>
        <w:pStyle w:val="TextBody"/>
        <w:spacing w:before="0" w:after="0"/>
        <w:ind w:left="0" w:right="0" w:hanging="0"/>
        <w:rPr/>
      </w:pPr>
      <w:r>
        <w:rPr/>
        <w:t> </w:t>
      </w:r>
    </w:p>
    <w:p>
      <w:pPr>
        <w:pStyle w:val="TextBody"/>
        <w:rPr/>
      </w:pPr>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Through a combination of organically grown platforms and a series of strategic acquisitions, including our recent acquisition of Reflect Systems, Inc. in February 2022, the Company assists clients to design, deploy, manage, and monetize their digital signage networks. The Company sources leads and opportunities for its solutions through its digital and content marketing initiatives, close relationships with key industry partners, equipment manufacturers, and the direct efforts of its in-house industry sales experts. Client engagements focus on consultative conversations that ensure the Company’s solutions are positioned to help clients achieve their business objectives in the most cost-effective manner possible.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When comparing Creative Realities to other digital signage competitors, our customers value the following competitive advantages: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Breadth of solutions</w:t>
            </w:r>
            <w:r>
              <w:rPr>
                <w:rFonts w:ascii="Times New Roman;Times;serif" w:hAnsi="Times New Roman;Times;serif"/>
                <w:caps w:val="false"/>
                <w:smallCaps w:val="false"/>
                <w:sz w:val="20"/>
              </w:rPr>
              <w:t> – Creative Realities offers true solutions to our clients. Creative Realities is one of only a few companies in the industry capable of providing the full portfolio of products and services required to implement and run an effective digital signage network. We leverage a ‘single vendor’ approach, providing clients with a one-stop-shop for sourcing digital signage solutions from design through day two services.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Managed labor pool</w:t>
            </w:r>
            <w:r>
              <w:rPr>
                <w:rFonts w:ascii="Times New Roman;Times;serif" w:hAnsi="Times New Roman;Times;serif"/>
                <w:caps w:val="false"/>
                <w:smallCaps w:val="false"/>
                <w:sz w:val="20"/>
              </w:rPr>
              <w:t> – Unlike most companies in our industry, we have a curated labor pool including thousands of qualified and vetted field technicians available to service clients quickly nationwide. We can meet tight schedules even in exceptionally large deployments and still ensure quality and consistency.</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In-house creative resources</w:t>
            </w:r>
            <w:r>
              <w:rPr>
                <w:rFonts w:ascii="Times New Roman;Times;serif" w:hAnsi="Times New Roman;Times;serif"/>
                <w:caps w:val="false"/>
                <w:smallCaps w:val="false"/>
                <w:sz w:val="20"/>
              </w:rPr>
              <w:t> – We assist clients in creating new content or repurposing existing content for digital signage experiences, an activity for which the Company has won several design awards in recent years. In each instance, our services can be essential in helping clients develop an effective content program.</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Network scalability and reliability</w:t>
            </w:r>
            <w:r>
              <w:rPr>
                <w:rFonts w:ascii="Times New Roman;Times;serif" w:hAnsi="Times New Roman;Times;serif"/>
                <w:caps w:val="false"/>
                <w:smallCaps w:val="false"/>
                <w:sz w:val="20"/>
              </w:rPr>
              <w:t> – Our software as a service (“SaaS”) content management platforms power some of the largest and most 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clients.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Ad management platform</w:t>
            </w:r>
            <w:r>
              <w:rPr>
                <w:rFonts w:ascii="Times New Roman;Times;serif" w:hAnsi="Times New Roman;Times;serif"/>
                <w:caps w:val="false"/>
                <w:smallCaps w:val="false"/>
                <w:sz w:val="20"/>
              </w:rPr>
              <w:t> – Our customers are increasingly interested in monetizing their digital signage networks through advertising content. However, efficiently scheduling advertising content into digital signage playlists to meet campaign objectives can be a challenging and labor-intensive process. AdLogic, our home-grown, content management-agnostic platform, automates this process, allowing network owners to capture more revenue with less expense.</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Media sales</w:t>
            </w:r>
            <w:r>
              <w:rPr>
                <w:rFonts w:ascii="Times New Roman;Times;serif" w:hAnsi="Times New Roman;Times;serif"/>
                <w:caps w:val="false"/>
                <w:smallCaps w:val="false"/>
                <w:sz w:val="20"/>
              </w:rPr>
              <w:t> – Few, if any other digital signage solution providers, can offer their clients media sales as a service. We have in-house media sales expertise to elevate conversations with our clients interested in better understanding network monetization. We believe this meaningful differentiation in the sales process provides an additional revenue stream to Creative Realities compared to our competitors.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Market sector expertise</w:t>
            </w:r>
            <w:r>
              <w:rPr>
                <w:rFonts w:ascii="Times New Roman;Times;serif" w:hAnsi="Times New Roman;Times;serif"/>
                <w:caps w:val="false"/>
                <w:smallCaps w:val="false"/>
                <w:sz w:val="20"/>
              </w:rPr>
              <w:t> – Creative Realities has in-house experts in key market segments such as automotive, retail, quick-serve restaurants (QSR), convenience stores, and Digital Out of Home (DOOH) advertising. Our expertise in these business segments enables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Logistics</w:t>
            </w:r>
            <w:r>
              <w:rPr>
                <w:rFonts w:ascii="Times New Roman;Times;serif" w:hAnsi="Times New Roman;Times;serif"/>
                <w:caps w:val="false"/>
                <w:smallCaps w:val="false"/>
                <w:sz w:val="20"/>
              </w:rPr>
              <w:t> – Implementing a large digital signage project can be a logistics nightmare that can stall an initiative even before deployment. Our expertise in logistics improves deployment efficiency, reduces delays and problems, and saves customers time and money.</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Technical support</w:t>
            </w:r>
            <w:r>
              <w:rPr>
                <w:rFonts w:ascii="Times New Roman;Times;serif" w:hAnsi="Times New Roman;Times;serif"/>
                <w:caps w:val="false"/>
                <w:smallCaps w:val="false"/>
                <w:sz w:val="20"/>
              </w:rPr>
              <w:t> – Digital signage networks present unique challenges for corporate IT departments. Creative Realities helps simplify and improve end user support by leveraging our own Network Operations Center (“NOC”) in Louisville Kentucky. The NOC resolves many issues remotely and when field support is required, it can be dispatched quickly from the NOC, leveraging our managed labor pool to resolve customer issues quickly and effectively.</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Integrations and Application Development</w:t>
            </w:r>
            <w:r>
              <w:rPr>
                <w:rFonts w:ascii="Times New Roman;Times;serif" w:hAnsi="Times New Roman;Times;serif"/>
                <w:caps w:val="false"/>
                <w:smallCaps w:val="false"/>
                <w:sz w:val="20"/>
              </w:rPr>
              <w:t> – The future of digital signage is not still images and videos on a screen. Interactive applications and integrations with other data sources will dominate the future. From social media feeds, mobile integrations, corporate data stores, or Point of Sale (“POS”) systems, our proven ability to build scalable applications and integrations is a key advantage clients can leverage to deliver more compelling and engaging experiences for their customers.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Hardware support</w:t>
            </w:r>
            <w:r>
              <w:rPr>
                <w:rFonts w:ascii="Times New Roman;Times;serif" w:hAnsi="Times New Roman;Times;serif"/>
                <w:caps w:val="false"/>
                <w:smallCaps w:val="false"/>
                <w:sz w:val="20"/>
              </w:rPr>
              <w:t> – A number of digital signage providers sell a proprietary media player or align themselves with just one operating system. We utilize a range of media players including Windows, Android and BrightSign to provide clients the flexibility they need to select the appropriate hardware for any application knowing the entire network can still be served by a single digital signage platform, reducing complexity and improving the productivity of their teams.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three primary sources of revenue for the company are: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Hardware sales from reselling digital signage hardware from original equipment manufacturers such as Samsung and BrightSign.</w:t>
            </w:r>
          </w:p>
        </w:tc>
      </w:tr>
    </w:tbl>
    <w:p>
      <w:pPr>
        <w:pStyle w:val="TextBody"/>
        <w:spacing w:before="0" w:after="0"/>
        <w:ind w:left="0" w:right="0" w:hanging="0"/>
        <w:rPr>
          <w:caps w:val="false"/>
          <w:smallCaps w:val="false"/>
        </w:rPr>
      </w:pPr>
      <w:r>
        <w:rPr>
          <w:caps w:val="false"/>
          <w:smallCaps w:val="false"/>
        </w:rPr>
        <w:t> </w:t>
      </w:r>
    </w:p>
    <w:tbl>
      <w:tblPr>
        <w:tblW w:w="9160" w:type="dxa"/>
        <w:jc w:val="left"/>
        <w:tblInd w:w="0" w:type="dxa"/>
        <w:tblCellMar>
          <w:top w:w="0" w:type="dxa"/>
          <w:left w:w="0" w:type="dxa"/>
          <w:bottom w:w="0" w:type="dxa"/>
          <w:right w:w="0" w:type="dxa"/>
        </w:tblCellMar>
      </w:tblPr>
      <w:tblGrid>
        <w:gridCol w:w="60"/>
        <w:gridCol w:w="170"/>
        <w:gridCol w:w="89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93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revenue from helping customers design, deploy and manage their digital signage network, including:</w:t>
            </w:r>
          </w:p>
        </w:tc>
      </w:tr>
    </w:tbl>
    <w:p>
      <w:pPr>
        <w:pStyle w:val="TextBody"/>
        <w:spacing w:before="0" w:after="0"/>
        <w:ind w:left="0" w:right="0" w:hanging="0"/>
        <w:rPr>
          <w:caps w:val="false"/>
          <w:smallCaps w:val="false"/>
        </w:rPr>
      </w:pPr>
      <w:r>
        <w:rPr>
          <w:caps w:val="false"/>
          <w:smallCaps w:val="false"/>
        </w:rPr>
        <w:t> </w:t>
      </w:r>
    </w:p>
    <w:tbl>
      <w:tblPr>
        <w:tblW w:w="3190" w:type="dxa"/>
        <w:jc w:val="left"/>
        <w:tblInd w:w="0" w:type="dxa"/>
        <w:tblCellMar>
          <w:top w:w="0" w:type="dxa"/>
          <w:left w:w="0" w:type="dxa"/>
          <w:bottom w:w="0" w:type="dxa"/>
          <w:right w:w="0" w:type="dxa"/>
        </w:tblCellMar>
      </w:tblPr>
      <w:tblGrid>
        <w:gridCol w:w="60"/>
        <w:gridCol w:w="125"/>
        <w:gridCol w:w="3005"/>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300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Hardware system design/engineering</w:t>
            </w:r>
          </w:p>
        </w:tc>
      </w:tr>
    </w:tbl>
    <w:p>
      <w:pPr>
        <w:pStyle w:val="TextBody"/>
        <w:spacing w:before="0" w:after="0"/>
        <w:ind w:left="0" w:right="0" w:hanging="0"/>
        <w:rPr/>
      </w:pPr>
      <w:r>
        <w:rPr/>
        <w:t> </w:t>
      </w:r>
    </w:p>
    <w:tbl>
      <w:tblPr>
        <w:tblW w:w="1945" w:type="dxa"/>
        <w:jc w:val="left"/>
        <w:tblInd w:w="0" w:type="dxa"/>
        <w:tblCellMar>
          <w:top w:w="0" w:type="dxa"/>
          <w:left w:w="0" w:type="dxa"/>
          <w:bottom w:w="0" w:type="dxa"/>
          <w:right w:w="0" w:type="dxa"/>
        </w:tblCellMar>
      </w:tblPr>
      <w:tblGrid>
        <w:gridCol w:w="60"/>
        <w:gridCol w:w="125"/>
        <w:gridCol w:w="176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76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Hardware installation</w:t>
            </w:r>
          </w:p>
        </w:tc>
      </w:tr>
    </w:tbl>
    <w:p>
      <w:pPr>
        <w:pStyle w:val="TextBody"/>
        <w:spacing w:before="0" w:after="0"/>
        <w:ind w:left="0" w:right="0" w:hanging="0"/>
        <w:rPr/>
      </w:pPr>
      <w:r>
        <w:rPr/>
        <w:t> </w:t>
      </w:r>
    </w:p>
    <w:tbl>
      <w:tblPr>
        <w:tblW w:w="1975" w:type="dxa"/>
        <w:jc w:val="left"/>
        <w:tblInd w:w="0" w:type="dxa"/>
        <w:tblCellMar>
          <w:top w:w="0" w:type="dxa"/>
          <w:left w:w="0" w:type="dxa"/>
          <w:bottom w:w="0" w:type="dxa"/>
          <w:right w:w="0" w:type="dxa"/>
        </w:tblCellMar>
      </w:tblPr>
      <w:tblGrid>
        <w:gridCol w:w="60"/>
        <w:gridCol w:w="125"/>
        <w:gridCol w:w="179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79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Content development</w:t>
            </w:r>
          </w:p>
        </w:tc>
      </w:tr>
    </w:tbl>
    <w:p>
      <w:pPr>
        <w:pStyle w:val="TextBody"/>
        <w:spacing w:before="0" w:after="0"/>
        <w:ind w:left="0" w:right="0" w:hanging="0"/>
        <w:rPr/>
      </w:pPr>
      <w:r>
        <w:rPr/>
        <w:t> </w:t>
      </w:r>
    </w:p>
    <w:tbl>
      <w:tblPr>
        <w:tblW w:w="1810" w:type="dxa"/>
        <w:jc w:val="left"/>
        <w:tblInd w:w="0" w:type="dxa"/>
        <w:tblCellMar>
          <w:top w:w="0" w:type="dxa"/>
          <w:left w:w="0" w:type="dxa"/>
          <w:bottom w:w="0" w:type="dxa"/>
          <w:right w:w="0" w:type="dxa"/>
        </w:tblCellMar>
      </w:tblPr>
      <w:tblGrid>
        <w:gridCol w:w="60"/>
        <w:gridCol w:w="125"/>
        <w:gridCol w:w="1625"/>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6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Content scheduling</w:t>
            </w:r>
          </w:p>
        </w:tc>
      </w:tr>
    </w:tbl>
    <w:p>
      <w:pPr>
        <w:pStyle w:val="TextBody"/>
        <w:spacing w:before="0" w:after="0"/>
        <w:ind w:left="0" w:right="0" w:hanging="0"/>
        <w:rPr/>
      </w:pPr>
      <w:r>
        <w:rPr/>
        <w:t> </w:t>
      </w:r>
    </w:p>
    <w:tbl>
      <w:tblPr>
        <w:tblW w:w="3715" w:type="dxa"/>
        <w:jc w:val="left"/>
        <w:tblInd w:w="0" w:type="dxa"/>
        <w:tblCellMar>
          <w:top w:w="0" w:type="dxa"/>
          <w:left w:w="0" w:type="dxa"/>
          <w:bottom w:w="0" w:type="dxa"/>
          <w:right w:w="0" w:type="dxa"/>
        </w:tblCellMar>
      </w:tblPr>
      <w:tblGrid>
        <w:gridCol w:w="60"/>
        <w:gridCol w:w="125"/>
        <w:gridCol w:w="353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353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Post-deployment network and field support</w:t>
            </w:r>
          </w:p>
        </w:tc>
      </w:tr>
    </w:tbl>
    <w:p>
      <w:pPr>
        <w:pStyle w:val="TextBody"/>
        <w:spacing w:before="0" w:after="0"/>
        <w:ind w:left="0" w:right="0" w:hanging="0"/>
        <w:rPr/>
      </w:pPr>
      <w:r>
        <w:rPr/>
        <w:t> </w:t>
      </w:r>
    </w:p>
    <w:tbl>
      <w:tblPr>
        <w:tblW w:w="4375" w:type="dxa"/>
        <w:jc w:val="left"/>
        <w:tblInd w:w="0" w:type="dxa"/>
        <w:tblCellMar>
          <w:top w:w="0" w:type="dxa"/>
          <w:left w:w="0" w:type="dxa"/>
          <w:bottom w:w="0" w:type="dxa"/>
          <w:right w:w="0" w:type="dxa"/>
        </w:tblCellMar>
      </w:tblPr>
      <w:tblGrid>
        <w:gridCol w:w="60"/>
        <w:gridCol w:w="125"/>
        <w:gridCol w:w="419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419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Media sales, as a result of our acquisition of Reflect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Recurring subscription licensing and support revenue from our digital signage software platforms, which are generally sold via a SaaS model. These include: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ReflectView</w:t>
            </w:r>
            <w:r>
              <w:rPr>
                <w:rFonts w:ascii="Times New Roman;Times;serif" w:hAnsi="Times New Roman;Times;serif"/>
                <w:caps w:val="false"/>
                <w:smallCaps w:val="false"/>
                <w:sz w:val="20"/>
              </w:rPr>
              <w:t>, the Company’s core digital signage platform for most applications, scalable and cost effective from 10 to 100,000+ devices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Reflect Xperience</w:t>
            </w:r>
            <w:r>
              <w:rPr>
                <w:rFonts w:ascii="Times New Roman;Times;serif" w:hAnsi="Times New Roman;Times;serif"/>
                <w:caps w:val="false"/>
                <w:smallCaps w:val="false"/>
                <w:sz w:val="20"/>
              </w:rPr>
              <w:t>, a web-based interface that allows customers to give content scheduling access to local users via the web or mobile devices, while still maintaining centralized programming control</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Reflect AdLogic</w:t>
            </w:r>
            <w:r>
              <w:rPr>
                <w:rFonts w:ascii="Times New Roman;Times;serif" w:hAnsi="Times New Roman;Times;serif"/>
                <w:caps w:val="false"/>
                <w:smallCaps w:val="false"/>
                <w:sz w:val="20"/>
              </w:rPr>
              <w:t>, the Company’s ad management platform for digital signage networks, which presently delivers approximately 50 million ads daily</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Reflect Clarity</w:t>
            </w:r>
            <w:r>
              <w:rPr>
                <w:rFonts w:ascii="Times New Roman;Times;serif" w:hAnsi="Times New Roman;Times;serif"/>
                <w:caps w:val="false"/>
                <w:smallCaps w:val="false"/>
                <w:sz w:val="20"/>
              </w:rPr>
              <w:t>, the Company’s menu board solution, which has become a market leader for a range of restaurant and convenience store applications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Reflect Zero Touch</w:t>
            </w:r>
            <w:r>
              <w:rPr>
                <w:rFonts w:ascii="Times New Roman;Times;serif" w:hAnsi="Times New Roman;Times;serif"/>
                <w:caps w:val="false"/>
                <w:smallCaps w:val="false"/>
                <w:sz w:val="20"/>
              </w:rPr>
              <w:t>, which allows customers to turn any screen into an interactive experience by allowing guests to engage using their mobile device</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iShowroomProX</w:t>
            </w:r>
            <w:r>
              <w:rPr>
                <w:rFonts w:ascii="Times New Roman;Times;serif" w:hAnsi="Times New Roman;Times;serif"/>
                <w:caps w:val="false"/>
                <w:smallCaps w:val="false"/>
                <w:sz w:val="20"/>
              </w:rPr>
              <w:t>, an omni-channel digital sales support platform targeted at original equipment manufacturers in the transportation sector, which integrates with dozens of key data services including dealer inventory at the VIN level</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OSx+</w:t>
            </w:r>
            <w:r>
              <w:rPr>
                <w:rFonts w:ascii="Times New Roman;Times;serif" w:hAnsi="Times New Roman;Times;serif"/>
                <w:caps w:val="false"/>
                <w:smallCaps w:val="false"/>
                <w:sz w:val="20"/>
              </w:rPr>
              <w:t>, a digital VIN-level checklist used to assist in the tracking and delivery of new vehicles in the transportation sector, providing measurable lift in customer satisfaction scores and connected vehicle enrollments and subscription activations.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believe that the adoption and evolution of our digital signage technology solutions will increase substantially in years to come in the industries in which we currently focus and in others; however it has been delayed in recent years. First, our current and potential customer base reduced capital expenditures as a result of the COVID-19 pandemic, including capital expenditures that we believe would have been used to implement digital technology solutions. The costs of hardware configurations and software media players used to process and display content have also increased recently. Throughout 2021, we faced significant supply chain challenges which limited the availability of each of these components to our sold solutions and expect the availability of those products to continue to face supply constraints at least through the first half of 2022. Nevertheless, we believe that the costs of such hardware will decrease over time as it has done so historically, and will do so at an accelerating rate. Flat panel displays and players typically constitute a large portion of the expenditure customers make relative to the entire cost of implementing a digital marketing system implementation and can be a barrier to customer deployment. As a result, we believe that the broader adoption of digital marketing technology solutions is likely to increase, although we cannot predict the rate at which such adoption will occur.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Another key component of our business strategy, given the evolving dynamics of the industry in which we operate, is to acquire and integrate other operating companies in the industry in conjunction with pursuing our organic growth objectives. We believe that the selective acquisition and successful integration of certain companies will: accelerate our growth in targeted vertical and operating markets; enable us to cost-effectively aggregate multiple customer bases onto a single business and technology platform; provide us with greater operating scale on a consolidated basis; enable us to leverage a common set of processes and tools, and cost efficiencies company-wide; and ultimately result in higher operating profitability and cash flow from operations. Our management team evaluates acquisition opportunities on an ongoing basis. Our management team and Board of Directors have broad experience with the execution, integration, and financing of acquisitions. We believe that the COVID-19 pandemic has adversely affected our smaller competitors, and as a result, there may exist acquisition opportunities in the future. We also believe that, based on the foregoing, we can successfully serve as a consolidator of multiple business and technology platforms serving similar markets. As part of our acquisition strategy, we acquired Allure in 2018, and Reflect in February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Business Strategy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believe that our existing business model is highly scalable and can be expanded successfully as we continue to grow organically, seek to acquire and integrate other companies in our target markets, strengthen our operational practices and procedures, further streamline our administrative office functions, and continue to capitalize on various marketing programs and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Industry Background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believe certain digital marketing technology industry trends are creating the opportunity for retailers, brands, venue-operators, enterprises, non-profits and other organizations to create innovative shopping, marketing, and informational experiences for their customers and other stakeholders in various venues worldwide. These trends include: (i) the expectations of technology-savvy consumers; (ii) addressing on-line competitors by improving physical experiences; (iii) a decline in the cost of hardware configurations (primarily flat panel displays) and software media players; (iv) the continued evolution of mobile, social, software and hardware technologies, applications and tools; (v) increasing sophistication of social networking platforms; (vi) increasingly complex customer requirements related to their specific digital marketing technology and solution objectives; and (vii) customers challenging service providers with the delivery of a satisfactory consumer experience with the traditional pressure on reducing installation and ongoing operating costs.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As a result, a growing number of retailers, brands, venue-operators and other organizations have identified the need and opportunity to implement increasingly cost-effective and “sales-lifting” digital marketing, and interactive experiences to market to their customers. These experiences include creating unique and customized experiences for targeted, timely offerings and relevant promotions; improving engagement resulting in increased sales; and increasing shopping basket size. We believe our clients consider capitalizing on these industry trends to be increasingly critical to any successful “store of the future” retail and brand sales environment, especially where sales staff turnover is high, training outcomes are inconsistent and product knowledge is 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Companies are implementing various digital marketing technology solutions, which: are implemented in multiple forms and types of configurations and locations; attempt to achieve any of a broad range of individual or combination of objectives; contain various levels of targeting; have the ability to instantly manage single or multiple locations remotely from a customer’s desktop or other connected device at each location; and are built to deliver or contain a standard or customized customer experience unique to and within the customer’s environment. Examples of such solutions include: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Digital Merchandising Systems, which aim to inform and interact with customers through various types of content in an integrated experience, improve in-store customer experiences and increase overall sales, upsells, and/or cross-sales;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Digital Sales Assistants, which aim to replace or augment existing sales resources and the level of interactive and informational sales assistance inside the store;</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Digital Way-Finders, which aim to help customers navigate their way around individual retail stores and multi-store locations or venues, or within individual brand categories;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Digital Kiosks, which aim to provide data, specialized and customized broadcasts, promotional information and coupons, train, and other forms of information and interaction with customers in a variety of deployment forms, types, configurations and experiences;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Digital Menu-Board Systems, which aim to enable various types of restaurant operators the ability to remotely and on a scheduled basis, update and modify menu information, promotions, and other forms of content dynamically;</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Dynamic Digital Signage, including Advertising Networks, which aim to deliver and manage in-store marketing and advertising campaigns, specialized and customized broadcasts, and various other forms of messaging targeting customers in a particular experience or environment.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Our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currently market and sell our marketing technology solutions through our direct sales force, inside sales team, and word-of-mouth referrals from existing customers. Select strategic partnerships and lead generation programs also drive business to the Company through targeted business development initiatives. We market to companies that seek digital marketing solutions across multiple connected devices and who specifically seek or could benefit from enhancements to the customer experience offered in their stores, venues, brands or organizations.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digital marketing technology solutions have application in a wide variety of industries. The industries in which we sell our solutions are established and include automotive, apparel &amp; accessories, banking, baby/children, beauty, CPG, department stores, digital out-of-home (“DOOH”), electronics, fashion, fitness, foodservice/quick service restaurant (“QSR”), financial services, gaming, luxury, mass merchants, mobile operators, and pharmacy retail; however, the planning, development, implementation and maintenance of technology-enabled experiences involving combinations of digital marketing technologies are relatively new and evolving. Moreover, a number of participants in these industries have only recently started considering or expanding the adoption of these types of technologies, solutions and experiences as part of their overall marketing strategies.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i/>
          <w:caps w:val="false"/>
          <w:smallCaps w:val="false"/>
          <w:sz w:val="20"/>
        </w:rPr>
      </w:pPr>
      <w:r>
        <w:rPr>
          <w:rFonts w:ascii="Times New Roman" w:hAnsi="Times New Roman"/>
          <w:i/>
          <w:caps w:val="false"/>
          <w:smallCaps w:val="false"/>
          <w:sz w:val="20"/>
        </w:rPr>
        <w:t>Seasonality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 portion of our customer activity is influenced by seasonal effects related to traditional end of calendar year peak retail sales periods, traditional spring stadium/venue opening seasons, and certain other factors that arise from our target customer base. Nevertheless, our revenues can be materially affected by the launch of new markets, the timing of production rollouts, and other factors, any of which have the ability to reduce or outweigh certain seasonal effects.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i/>
          <w:caps w:val="false"/>
          <w:smallCaps w:val="false"/>
          <w:sz w:val="20"/>
        </w:rPr>
      </w:pPr>
      <w:r>
        <w:rPr>
          <w:rFonts w:ascii="Times New Roman" w:hAnsi="Times New Roman"/>
          <w:i/>
          <w:caps w:val="false"/>
          <w:smallCaps w:val="false"/>
          <w:sz w:val="20"/>
        </w:rPr>
        <w:t>Effect of General Economic Conditions on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believe that demand for our services will increase in the future in part because of new construction and remodeling activities of pre-existing retail, convenience store, stadium and event venues. While we do see reductions in retail footprints across the U.S., we see a continued focus on integration of digital into the retail marketplace and a focus on digital refreshes within the retail space to stay relevant in an evolving e-commerce marketplace. Recent general economic improvements generally make it easier for our customers to justify decisions to invest in digital marketing technology solutions. A change in the macroeconomic trend in the U.S. could have a negative impact on our customers’ ability and/or willingness to advance their digital initiatives.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i/>
          <w:caps w:val="false"/>
          <w:smallCaps w:val="false"/>
          <w:sz w:val="20"/>
        </w:rPr>
      </w:pPr>
      <w:r>
        <w:rPr>
          <w:rFonts w:ascii="Times New Roman" w:hAnsi="Times New Roman"/>
          <w:i/>
          <w:caps w:val="false"/>
          <w:smallCaps w:val="false"/>
          <w:sz w:val="20"/>
        </w:rPr>
        <w:t>Effect of Supply Chain Constraints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 key component of our business includes the sale of digital media players and digital displays supplied by third parties, each of which require semiconductors to complete the manufacturing process. Throughout 2021 and the first half of 2022, we experienced disruptions and delays related to fulfillment of inventory purchases from vendors, which represent the key components to our digital signage solutions, because of a global shortage of semiconductor chips. In instances in which inventory was available, we experienced delays in transportation of these goods from manufacturers to the Company, and in delivery of our solutions to our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Regulation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are subject to regulation by various federal and state governmental agencies. Such regulation includes radio frequency emission regulatory activities of the U.S. Federal Communications Commission, the consumer protection laws of the U.S. Federal Trade Commission, product safety regulatory activities of the U.S. Consumer Product Safety Commission, and environmental regulation in areas in which we conduct business. Some of the hardware components that we supply to customers may contain hazardous or regulated substances, such as lead. A number of U.S. states have adopted or are considering “takeback” bills addressing the disposal of electronic waste, including CRT style and flat panel monitors and computers. Electronic waste legislation is developing. Some of the bills passed or under consideration may impose on us, or on our customers or suppliers, requirements for disposal of systems we sell and the payment of additional fees to pay costs of disposal and recycling. Presently, we do not believe that any such legislation or proposed legislation will have a materially adverse impact on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Competition</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While we believe there is presently no direct competitor with the comprehensive offering of technologies, solutions and services we provide to our customers, there are multiple individual competitors who offer pieces of our solutions. These include digital signage software companies such as Stratacache and Four Winds Interactive; marketing services companies such as Sapient Nitro or digital signage systems integrators such as SageNet. Some of these competitors may have significantly greater financial, technical and marketing resources than we do and may be able to respond more rapidly than we can to new or emerging technologies or changes in customer requirements. We believe that our holistic sales and business development capabilities, network operations / field service management capabilities, our comprehensive offering of digital signage technology and solutions, brand awareness, and proprietary processes are the primary factors providing our competitive advantage.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Major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had three (3) and two (2) customers that accounted for 44.0% and 41.1% of revenue for the years ended December 31, 2022 and 2021,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had three (3) and two (2) customers that in the aggregate accounted for 49.2% and 56.6% of accounts receivable as of December 31, 2022 and December 31, 2021,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Decisions by one or more of these key customers to not renew, terminate or substantially reduce their use of our products, technology, services, and platform could substantially slow our revenue growth and lead to a decline in revenue. Our business plan assumes continued growth in revenue, and it is unlikely that we will become profitable without a continued increase in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Territories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sell products and services primarily throughout North America, with limited software licensing agreements operating in other international jurisdictions.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Human Capital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have a workforce comprised of approximately 120 employees as of March 29, 2023, We do not have any employees that operate under collective-bargaining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principal offices are located at 13100 Magisterial Drive, Ste 100, Louisville, Kentucky 40223, and our telephone number at that office is (502) 791-8800. We have additional offices in the Dallas, TX, Atlanta, GA, and Windsor, Ontario (Canada) metro areas.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Corporate Organization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originally incorporated and organized as a Minnesota corporation under the name “Wireless Ronin Technologies, Inc.” in March 2003 and focused on our expertise in digital media marketing solutions, including digital signage, interactive kiosks, mobile, social media and web-based media solutions. We acquired the interactive marketing technology business that we currently operate in a 2014 merger with Creative Realities, LLC. Shortly after that merger, we changed our corporate name from “Wireless Ronin Technologies, Inc.” to “Creative Realities, Inc.” On October 15, 2015, we acquired the systems integration and marketing technology business of ConeXus World Global, LLC. On November 20, 2018, we acquired Allure Global Solutions, Inc., an enterprise software development company. On February 17, 2022, we acquired Reflect Systems,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bookmarkStart w:id="6" w:name="i1A"/>
      <w:bookmarkEnd w:id="6"/>
      <w:r>
        <w:rPr>
          <w:rFonts w:ascii="Times New Roman" w:hAnsi="Times New Roman"/>
          <w:b/>
          <w:caps w:val="false"/>
          <w:smallCaps w:val="false"/>
          <w:sz w:val="20"/>
        </w:rPr>
        <w:t>ITEM 1A</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i/>
          <w:caps w:val="false"/>
          <w:smallCaps w:val="false"/>
          <w:sz w:val="20"/>
        </w:rPr>
      </w:pPr>
      <w:r>
        <w:rPr>
          <w:rFonts w:ascii="Times New Roman" w:hAnsi="Times New Roman"/>
          <w:i/>
          <w:caps w:val="false"/>
          <w:smallCaps w:val="false"/>
          <w:sz w:val="20"/>
        </w:rPr>
        <w:t>Our business involves a high degree of risk. In evaluating our business, you should carefully consider the specific risks described below, and any risks described in our other filings with the Securities and Exchange Commission, pursuant to Sections 13(a), 13(c), 14, or 15(d) of the Securities Exchange Act of 1934. Any of the risks we describe below could cause our business, financial condition, results of operations or future prospects to be materially adversely affected. In addition, some of the following statements are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RISKS RELATED TO OUR BUSINESS AND OUR INDUSTRY</w:t>
      </w:r>
    </w:p>
    <w:p>
      <w:pPr>
        <w:pStyle w:val="TextBody"/>
        <w:spacing w:before="0" w:after="0"/>
        <w:ind w:left="160" w:right="0" w:firstLine="660"/>
        <w:rPr>
          <w:caps w:val="false"/>
          <w:smallCaps w:val="false"/>
        </w:rPr>
      </w:pPr>
      <w:r>
        <w:rPr>
          <w:caps w:val="false"/>
          <w:smallCaps w:val="false"/>
        </w:rPr>
        <w:t> </w:t>
      </w:r>
    </w:p>
    <w:p>
      <w:pPr>
        <w:pStyle w:val="TextBody"/>
        <w:spacing w:before="0" w:after="0"/>
        <w:ind w:left="0" w:right="0" w:firstLine="720"/>
        <w:rPr>
          <w:rFonts w:ascii="Times New Roman" w:hAnsi="Times New Roman"/>
          <w:b/>
          <w:i/>
          <w:caps w:val="false"/>
          <w:smallCaps w:val="false"/>
          <w:sz w:val="20"/>
        </w:rPr>
      </w:pPr>
      <w:r>
        <w:rPr>
          <w:rFonts w:ascii="Times New Roman" w:hAnsi="Times New Roman"/>
          <w:b/>
          <w:i/>
          <w:caps w:val="false"/>
          <w:smallCaps w:val="false"/>
          <w:sz w:val="20"/>
        </w:rPr>
        <w:t>We have generally incurred losses, and may never become or remain profitable.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have incurred historical net losses, and we have had negative cash flows from operations. While we have been able to achieve profitability in 2021 and 2022, it is uncertain whether we will be able to sustain or increase our profitability in successive periods.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have formulated our business plans and strategies based on certain assumptions regarding the acceptance of our business model and the marketing of our products and services. Nevertheless, our assessments regarding market size, market share, market acceptance of our products and services and a variety of other factors may prove incorrect. Our future success will depend upon many factors, including factors beyond our control and those that cannot be predicted at this time. The ongoing COVID-19 pandemic has also caused a significant increase in suspended, delayed, and cancelled customer projects, initiatives, and capital expenditures, and it is not known when these opportunities will be revived for the Company, if at 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Our digital marketing business is evolving in a rapidly changing market, and we cannot ensure the long-term successful operation of our business or the execution of our business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digital marketing technology and solutions are an evolving business offering and the markets in which we compete are rapidly changing. As a result, our prospects must be considered in light of the risks, expenses and difficulties frequently encountered by growing companies in new and rapidly evolving markets. We may be unable to accomplish any of the following, which would materially impact our ability to implement our business plan:</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and maintaining broad market acceptance of our technology, solutions, services, and platforms, and converting that acceptance into direct and indirect sources of revenue;</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and maintaining adoption of our technology, solutions, services, and platforms in and on a variety of environments, experiences, and device types;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timely and successfully developing new technology, solution, service, and platform features, and increasing the functionality and features of our existing technology, solution, service, and platform offerings;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developing technology, solutions, services, and platforms that result in a high degree of customer satisfaction and a high level of end-customer usage;</w:t>
            </w:r>
          </w:p>
        </w:tc>
      </w:tr>
    </w:tbl>
    <w:p>
      <w:pPr>
        <w:pStyle w:val="TextBody"/>
        <w:spacing w:before="0" w:after="0"/>
        <w:ind w:left="0" w:right="0" w:hanging="0"/>
        <w:rPr/>
      </w:pPr>
      <w:r>
        <w:rPr/>
        <w:t> </w:t>
      </w:r>
    </w:p>
    <w:tbl>
      <w:tblPr>
        <w:tblW w:w="8890" w:type="dxa"/>
        <w:jc w:val="left"/>
        <w:tblInd w:w="0" w:type="dxa"/>
        <w:tblCellMar>
          <w:top w:w="0" w:type="dxa"/>
          <w:left w:w="0" w:type="dxa"/>
          <w:bottom w:w="0" w:type="dxa"/>
          <w:right w:w="0" w:type="dxa"/>
        </w:tblCellMar>
      </w:tblPr>
      <w:tblGrid>
        <w:gridCol w:w="60"/>
        <w:gridCol w:w="170"/>
        <w:gridCol w:w="86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66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successfully responding to competition, including competition from emerging technologies and solutions;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developing and maintaining strategic relationships to enhance the distribution, features, content and utility of our technology, solutions, services, and platforms;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identifying, attracting and retaining talented engineering, network operations, program management, technical services, creative services, and other personnel at reasonable market compensation rates in the markets in which we employ such personnel; and</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integration of operations, personnel and technology from our acquisitions, including our acquisition of Reflect Systems, Inc.</w:t>
            </w:r>
          </w:p>
        </w:tc>
      </w:tr>
    </w:tbl>
    <w:p>
      <w:pPr>
        <w:pStyle w:val="TextBody"/>
        <w:spacing w:before="0" w:after="0"/>
        <w:ind w:left="0" w:right="0" w:hanging="0"/>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business strategy may be unsuccessful and we may be unable to address the risks we face in a cost-effective manner, if at all. If we are unable to successfully accomplish these tasks, our business will be harmed.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Adequate funds for our operations may not be available, requiring us to raise additional financing or else curtail our activities significantly.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During February of 2022, the Company completed a Debt Financing and Equity Financing (as further described in this Annual Report), which resulted in gross proceeds to the Company, prior to deducting placement agent and other offering fees, of approximately $20,000.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net proceeds from the forgoing financings were used to pay the cash portion of the merger consideration payable to former stockholders of Reflect in connection with our acquisition of Reflect in February 2022. As a result, we may be required to raise additional funding through public or private financings, including equity financings, through 2022 and beyond. We have an “at-the-market” offering in place, pursuant to which we may direct Roth Capital Partners, our sale agent, to sell shares of our common stock to investors in the market, subject to the terms and conditions of a sales agreement. These sales will dilute the percentages of ownership interest of then-current holders of our capital stock and may dilute our book value per share. Any additional equity financings may also be dilutive to shareholders and may be completed at a discount to the then-current market price of our securities. Debt financing, if available, may involve restrictive covenants on our operations or pertaining to future financing arrangements. Nevertheless, we may not successfully complete any future equity or debt financing. Adequate funds for our operations, whether from financial markets, collaborative or other arrangements, may not be available when needed or on terms attractive to us. If adequate funds are not available, our plans to operate our business may be adversely affected and we could be required to curtail our activities significantly and/or cease operating.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 xml:space="preserve">We do not have sufficient capital to engage in material research and development, which may harm our long-term growth.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 light of our limited resources in general, we have limited material investments in research and development over the past several years. This conserves capital in the short term. In the long term, as a result of our failure to invest in research and development, our technology and product offerings may not keep pace with the market, and we may lose any current existing competitive advantage. Over the long term, this may harm our revenues growth and our ability to become profitable.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variable sales cycle of our products will likely make it difficult to predict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revenues in any quarter depend substantially upon contracts signed and the related shipment and installation or delivery of hardware and software products in that quarter. It is therefore difficult for us to accurately predict revenues and this difficulty also will affect the Company. It is difficult to forecast the timing of large individual hardware and software sales with a high degree of certainty due to the extended length of the sales cycle and the generally more complex contractual terms that may be associated with our products that could result in the deferral of some or all of the revenue to future periods.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Accordingly, large individual sales have sometimes occurred in quarters subsequent to when we anticipated or not at all. If we receive any significant cancellation or deferral of customer orders, or it is unable to conclude license negotiations by the end of a fiscal quarter, our operating results may be lower than anticipated. In addition, any weakening or uncertainty in the economy may make it more difficult for the Company to predict quarterly results in the future, and could negatively impact our business, operating results and financial condition for an indefinite period of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 xml:space="preserve">We are reliant on the continued support of a related party for adequate financing of our operations.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As of March 29, 2023, our largest shareholder and investor, Slipstream Communications LLC (“Slipstream”) is the holder of 93% of our outstanding debt instruments, including three term loans, and has beneficial ownership of approximately 38% of our common stock (on an as-converted, fully diluted basis including conversion of outstanding warrants, and assuming no other convertible securities, options and warrants are converted or exercised by other parties). Slipstream has also provided us with a continued support letter through March 31, 2024. If we are unable to extend the maturity or replace our existing financing agreements in the future, our plans to operate our business may be adversely affected and we could be required to curtail our activities significantly and/or cease operating.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There has been, and we expect that there will continue to be, significant consolidation in our industry. Our failure or inability to lead that consolidation would have a severe adverse impact on our access to financing, customers, technology, and human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industry is currently composed of a large number of relatively small businesses; no single business dominates or provides integrated solutions and product offerings incorporating much of the available industry technology. Accordingly, we believe that substantial consolidation may occur in our industry in the near future. We believe that our prior acquisitions of Allure and Reflect illustrate acquisition opportunities that exist in our industry. If we do not play a positive role in that consolidation, either as a leader or as a participant whose capability is merged in a larger entity, we may be left out of this process, with product offerings of limited value compared with those of our competitors. Moreover, even if we lead the consolidation process, we may incur unknown liabilities in such consolidations, fail to fully integrate the operations, personnel or technology from such consolidations, and the market may not validate the decisions we make in that process.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Unpredictability in financing markets could impair our ability to grow our business through acquisitions.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anticipate that opportunities to acquire similar businesses will materially depend on, among other things, the availability of financing alternatives with acceptable terms. As a result, poor credit and other market conditions or uncertainty in financial markets could materially limit our ability to grow through acquisitions since such conditions and uncertainty make obtaining financing more difficult.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Our success depends on our interactive marketing technologies achieving and maintaining widespread acceptance in our targeted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success will depend to a large extent on broad market acceptance of our interactive marketing technologies among our current and prospective customers. Our prospective customers may still not use our solutions for a number of other reasons, including preference for static advertising, lack of familiarity with our technology, preference for competing technologies or perceived lack of reliability. We believe that the acceptance of our interactive marketing technologies by prospective customers will depend primarily on the following factors:</w:t>
      </w:r>
    </w:p>
    <w:p>
      <w:pPr>
        <w:pStyle w:val="TextBody"/>
        <w:spacing w:before="0" w:after="0"/>
        <w:ind w:left="0" w:right="0" w:hanging="0"/>
        <w:rPr>
          <w:caps w:val="false"/>
          <w:smallCaps w:val="false"/>
        </w:rPr>
      </w:pPr>
      <w:r>
        <w:rPr>
          <w:caps w:val="false"/>
          <w:smallCaps w:val="false"/>
        </w:rPr>
        <w:t> </w:t>
      </w:r>
    </w:p>
    <w:tbl>
      <w:tblPr>
        <w:tblW w:w="9265" w:type="dxa"/>
        <w:jc w:val="left"/>
        <w:tblInd w:w="0" w:type="dxa"/>
        <w:tblCellMar>
          <w:top w:w="0" w:type="dxa"/>
          <w:left w:w="0" w:type="dxa"/>
          <w:bottom w:w="0" w:type="dxa"/>
          <w:right w:w="0" w:type="dxa"/>
        </w:tblCellMar>
      </w:tblPr>
      <w:tblGrid>
        <w:gridCol w:w="60"/>
        <w:gridCol w:w="170"/>
        <w:gridCol w:w="90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03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demonstrate the economic and other benefits attendant to our interactive marketing technologies;</w:t>
            </w:r>
          </w:p>
        </w:tc>
      </w:tr>
    </w:tbl>
    <w:p>
      <w:pPr>
        <w:pStyle w:val="TextBody"/>
        <w:spacing w:before="0" w:after="0"/>
        <w:ind w:left="0" w:right="0" w:hanging="0"/>
        <w:rPr/>
      </w:pPr>
      <w:r>
        <w:rPr/>
        <w:t> </w:t>
      </w:r>
    </w:p>
    <w:tbl>
      <w:tblPr>
        <w:tblW w:w="7750" w:type="dxa"/>
        <w:jc w:val="left"/>
        <w:tblInd w:w="0" w:type="dxa"/>
        <w:tblCellMar>
          <w:top w:w="0" w:type="dxa"/>
          <w:left w:w="0" w:type="dxa"/>
          <w:bottom w:w="0" w:type="dxa"/>
          <w:right w:w="0" w:type="dxa"/>
        </w:tblCellMar>
      </w:tblPr>
      <w:tblGrid>
        <w:gridCol w:w="60"/>
        <w:gridCol w:w="170"/>
        <w:gridCol w:w="75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5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customers becoming comfortable with using our interactive marketing technologies; and</w:t>
            </w:r>
          </w:p>
        </w:tc>
      </w:tr>
    </w:tbl>
    <w:p>
      <w:pPr>
        <w:pStyle w:val="TextBody"/>
        <w:spacing w:before="0" w:after="0"/>
        <w:ind w:left="0" w:right="0" w:hanging="0"/>
        <w:rPr/>
      </w:pPr>
      <w:r>
        <w:rPr/>
        <w:t> </w:t>
      </w:r>
    </w:p>
    <w:tbl>
      <w:tblPr>
        <w:tblW w:w="4810" w:type="dxa"/>
        <w:jc w:val="left"/>
        <w:tblInd w:w="0" w:type="dxa"/>
        <w:tblCellMar>
          <w:top w:w="0" w:type="dxa"/>
          <w:left w:w="0" w:type="dxa"/>
          <w:bottom w:w="0" w:type="dxa"/>
          <w:right w:w="0" w:type="dxa"/>
        </w:tblCellMar>
      </w:tblPr>
      <w:tblGrid>
        <w:gridCol w:w="60"/>
        <w:gridCol w:w="170"/>
        <w:gridCol w:w="45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58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the reliability of our interactive marketing technologies.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interactive technologies are complex and must meet stringent user requirements. Some undetected errors or defects may only become apparent as new functions are added to our technologies and products. The need to repair or replace products with design or manufacturing defects could temporarily delay the sale of new products and adversely affect our reputation. Delays, costs and damage to our reputation due to product defects could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Our financial condition and potential for continued net losses may negatively impact our relationships with customers, prospective customers and third-party suppliers.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financial condition and potential for continued net losses may cause current and prospective customers to defer placing orders with us, to require terms that are less favorable to us, or to place their orders with our competitors, which could adversely affect our business, financial condition and results of operations. On the same basis, third-party suppliers may refuse to do business with us, or may do so only on terms that are unfavorable to us, which also could cause our expenses to increase.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Because we do not have long-term purchase commitments from our customers, the failure to obtain anticipated orders or the deferral or cancellation of commitments could have adverse effects on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business is characterized by short-term purchase orders and contracts that do not require that purchases be made by our customers. This makes forecasting our sales difficult. The failure to obtain anticipated orders and deferrals or cancellations of purchase commitments because of changes in customer requirements, or otherwise, could have a material adverse effect on our business, financial condition and results of operations. We have experienced such challenges in the past and may experience such challenges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Our continued growth and financial performance could be adversely affected by the loss of several key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had three (3) and two (2) customers that accounted for 44.0% and 41.1% of revenue for the years ended December 31, 2022 and 2021,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Decisions by one or more of these key customers to not renew, terminate or substantially reduce their use of our products, technology, services, and platform could substantially slow our revenue growth and lead to a decline in revenue. Our business plan assumes continued growth in revenue, and it is unlikely that we will become profitable without a continued increase in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Most of our contracts are terminable by our customers with limited notice and without penalty payments, and early terminations could have a material adverse effect on our business, operating results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Most of our contracts are terminable by our customers following limited notice and without early termination payments or liquidated damages due from them. In addition, each stage of a project often represents a separate contractual commitment, at the end of which the customers may elect to delay or not to proceed to the next stage of the project. We cannot assure you that one or more of our customers will not terminate a material contract or materially reduce the scope of a large project. The delay, cancellation or significant reduction in the scope of a large project or a number of projects could have a material adverse effect on our business, operating results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i/>
          <w:caps w:val="false"/>
          <w:smallCaps w:val="false"/>
          <w:sz w:val="20"/>
        </w:rPr>
        <w:t>It is common for our current and prospective customers to take a long time to evaluate our products, most especially during economic downturns that affect our customers</w:t>
      </w:r>
      <w:r>
        <w:rPr>
          <w:rFonts w:ascii="Times New Roman" w:hAnsi="Times New Roman"/>
          <w:caps w:val="false"/>
          <w:smallCaps w:val="false"/>
          <w:sz w:val="20"/>
        </w:rPr>
        <w:t xml:space="preserve">’ </w:t>
      </w:r>
      <w:r>
        <w:rPr>
          <w:rFonts w:ascii="Times New Roman" w:hAnsi="Times New Roman"/>
          <w:b/>
          <w:i/>
          <w:caps w:val="false"/>
          <w:smallCaps w:val="false"/>
          <w:sz w:val="20"/>
        </w:rPr>
        <w:t>businesses, as we saw during the COVID-19 pandemic. The lengthy and variable sales cycle makes it difficult to predict our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It is difficult for us to forecast the timing and recognition of revenue from sales of our products and services because our actual and prospective customers often take significant time to evaluate our products before committing to a purchase. Even after making their first purchases of our products and services, existing customers may not make significant purchases of those products and services for a long period of time following their initial purchases, if at all. The period between initial customer contact and a purchase by a customer may be years with potentially an even longer period separating initial purchases and any significant purchases thereafter. During the evaluation period, prospective customers may decide not to purchase or may scale down proposed orders of our products for various reasons, including:</w:t>
      </w:r>
    </w:p>
    <w:p>
      <w:pPr>
        <w:pStyle w:val="TextBody"/>
        <w:spacing w:before="0" w:after="0"/>
        <w:ind w:left="0" w:right="0" w:hanging="0"/>
        <w:rPr>
          <w:caps w:val="false"/>
          <w:smallCaps w:val="false"/>
        </w:rPr>
      </w:pPr>
      <w:r>
        <w:rPr>
          <w:caps w:val="false"/>
          <w:smallCaps w:val="false"/>
        </w:rPr>
        <w:t> </w:t>
      </w:r>
    </w:p>
    <w:tbl>
      <w:tblPr>
        <w:tblW w:w="5095" w:type="dxa"/>
        <w:jc w:val="left"/>
        <w:tblInd w:w="0" w:type="dxa"/>
        <w:tblCellMar>
          <w:top w:w="0" w:type="dxa"/>
          <w:left w:w="0" w:type="dxa"/>
          <w:bottom w:w="0" w:type="dxa"/>
          <w:right w:w="0" w:type="dxa"/>
        </w:tblCellMar>
      </w:tblPr>
      <w:tblGrid>
        <w:gridCol w:w="60"/>
        <w:gridCol w:w="170"/>
        <w:gridCol w:w="48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86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reduced need to upgrade existing visual marketing systems;</w:t>
            </w:r>
          </w:p>
        </w:tc>
      </w:tr>
    </w:tbl>
    <w:p>
      <w:pPr>
        <w:pStyle w:val="TextBody"/>
        <w:spacing w:before="0" w:after="0"/>
        <w:ind w:left="0" w:right="0" w:hanging="0"/>
        <w:rPr/>
      </w:pPr>
      <w:r>
        <w:rPr/>
        <w:t> </w:t>
      </w:r>
    </w:p>
    <w:tbl>
      <w:tblPr>
        <w:tblW w:w="3865" w:type="dxa"/>
        <w:jc w:val="left"/>
        <w:tblInd w:w="0" w:type="dxa"/>
        <w:tblCellMar>
          <w:top w:w="0" w:type="dxa"/>
          <w:left w:w="0" w:type="dxa"/>
          <w:bottom w:w="0" w:type="dxa"/>
          <w:right w:w="0" w:type="dxa"/>
        </w:tblCellMar>
      </w:tblPr>
      <w:tblGrid>
        <w:gridCol w:w="60"/>
        <w:gridCol w:w="170"/>
        <w:gridCol w:w="36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63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introduction of products by our competitors;</w:t>
            </w:r>
          </w:p>
        </w:tc>
      </w:tr>
    </w:tbl>
    <w:p>
      <w:pPr>
        <w:pStyle w:val="TextBody"/>
        <w:spacing w:before="0" w:after="0"/>
        <w:ind w:left="0" w:right="0" w:hanging="0"/>
        <w:rPr/>
      </w:pPr>
      <w:r>
        <w:rPr/>
        <w:t> </w:t>
      </w:r>
    </w:p>
    <w:tbl>
      <w:tblPr>
        <w:tblW w:w="3820" w:type="dxa"/>
        <w:jc w:val="left"/>
        <w:tblInd w:w="0" w:type="dxa"/>
        <w:tblCellMar>
          <w:top w:w="0" w:type="dxa"/>
          <w:left w:w="0" w:type="dxa"/>
          <w:bottom w:w="0" w:type="dxa"/>
          <w:right w:w="0" w:type="dxa"/>
        </w:tblCellMar>
      </w:tblPr>
      <w:tblGrid>
        <w:gridCol w:w="60"/>
        <w:gridCol w:w="170"/>
        <w:gridCol w:w="35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59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lower prices offered by our competitors; and</w:t>
            </w:r>
          </w:p>
        </w:tc>
      </w:tr>
    </w:tbl>
    <w:p>
      <w:pPr>
        <w:pStyle w:val="TextBody"/>
        <w:spacing w:before="0" w:after="0"/>
        <w:ind w:left="0" w:right="0" w:hanging="0"/>
        <w:rPr/>
      </w:pPr>
      <w:r>
        <w:rPr/>
        <w:t> </w:t>
      </w:r>
    </w:p>
    <w:tbl>
      <w:tblPr>
        <w:tblW w:w="3925" w:type="dxa"/>
        <w:jc w:val="left"/>
        <w:tblInd w:w="0" w:type="dxa"/>
        <w:tblCellMar>
          <w:top w:w="0" w:type="dxa"/>
          <w:left w:w="0" w:type="dxa"/>
          <w:bottom w:w="0" w:type="dxa"/>
          <w:right w:w="0" w:type="dxa"/>
        </w:tblCellMar>
      </w:tblPr>
      <w:tblGrid>
        <w:gridCol w:w="60"/>
        <w:gridCol w:w="170"/>
        <w:gridCol w:w="36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69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budgets and purchasing priorities.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prospective customers routinely require education regarding the use and benefit of our products. This may also lead to delays in receiving customers’ orders.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Our industry is characterized by frequent technological change. If we are unable to adapt our products and services and develop new products and services to keep up with these rapid changes, we will not be able to obtain or maintain market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market for our products and services is characterized by rapidly changing technology, evolving industry standards, changes in customer needs, heavy competition and frequent new product and service introductions. If we fail to develop new products and services or modify or improve existing products and services in response to these changes in technology, customer demands or industry standards, our products and services could become less competitive or obsolete.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must respond to changing technology and industry standards in a timely and cost-effective manner. We may not be successful in using new technologies, developing new products and services or enhancing existing products and services in a timely and cost-effective manner. Furthermore, even if we successfully adapt our products and services, these new technologies or enhancements may not achieve market acceptance.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A portion of our business involves the use of software technology that we have developed or licensed. Industries involving the ownership and licensing of software-based intellectual property are characterized by frequent intellectual-property litigation, and we could face claims of infringement by others in the industry. Such claims are costly and add uncertainty to our operational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 portion of our business involves our ownership and licensing of software. This market space is characterized by frequent intellectual property claims and litigation. We could be subject to claims of infringement of third-party intellectual-property rights resulting in significant expense and the potential loss of our own intellectual property rights. From time to time, third parties may assert copyright, trademark, patent or other intellectual property rights to technologies that are important to our business. Any litigation to determine the validity of these claims, including claims arising through our contractual indemnification of our business partners, regardless of their merit or resolution, would likely be costly and time consuming and divert the efforts and attention of our management and technical personnel. If any such litigation resulted in an adverse ruling, we could be required to:</w:t>
      </w:r>
    </w:p>
    <w:p>
      <w:pPr>
        <w:pStyle w:val="TextBody"/>
        <w:spacing w:before="0" w:after="0"/>
        <w:ind w:left="0" w:right="0" w:hanging="0"/>
        <w:rPr>
          <w:caps w:val="false"/>
          <w:smallCaps w:val="false"/>
        </w:rPr>
      </w:pPr>
      <w:r>
        <w:rPr>
          <w:caps w:val="false"/>
          <w:smallCaps w:val="false"/>
        </w:rPr>
        <w:t> </w:t>
      </w:r>
    </w:p>
    <w:tbl>
      <w:tblPr>
        <w:tblW w:w="2290" w:type="dxa"/>
        <w:jc w:val="left"/>
        <w:tblInd w:w="0" w:type="dxa"/>
        <w:tblCellMar>
          <w:top w:w="0" w:type="dxa"/>
          <w:left w:w="0" w:type="dxa"/>
          <w:bottom w:w="0" w:type="dxa"/>
          <w:right w:w="0" w:type="dxa"/>
        </w:tblCellMar>
      </w:tblPr>
      <w:tblGrid>
        <w:gridCol w:w="60"/>
        <w:gridCol w:w="170"/>
        <w:gridCol w:w="20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06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pay substantial damages;</w:t>
            </w:r>
          </w:p>
        </w:tc>
      </w:tr>
    </w:tbl>
    <w:p>
      <w:pPr>
        <w:pStyle w:val="TextBody"/>
        <w:spacing w:before="0" w:after="0"/>
        <w:ind w:left="0" w:right="0" w:hanging="0"/>
        <w:rPr/>
      </w:pPr>
      <w:r>
        <w:rPr/>
        <w:t> </w:t>
      </w:r>
    </w:p>
    <w:tbl>
      <w:tblPr>
        <w:tblW w:w="5755" w:type="dxa"/>
        <w:jc w:val="left"/>
        <w:tblInd w:w="0" w:type="dxa"/>
        <w:tblCellMar>
          <w:top w:w="0" w:type="dxa"/>
          <w:left w:w="0" w:type="dxa"/>
          <w:bottom w:w="0" w:type="dxa"/>
          <w:right w:w="0" w:type="dxa"/>
        </w:tblCellMar>
      </w:tblPr>
      <w:tblGrid>
        <w:gridCol w:w="60"/>
        <w:gridCol w:w="170"/>
        <w:gridCol w:w="55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5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cease the development, use, licensing or sale of infringing products;</w:t>
            </w:r>
          </w:p>
        </w:tc>
      </w:tr>
    </w:tbl>
    <w:p>
      <w:pPr>
        <w:pStyle w:val="TextBody"/>
        <w:spacing w:before="0" w:after="0"/>
        <w:ind w:left="0" w:right="0" w:hanging="0"/>
        <w:rPr/>
      </w:pPr>
      <w:r>
        <w:rPr/>
        <w:t> </w:t>
      </w:r>
    </w:p>
    <w:tbl>
      <w:tblPr>
        <w:tblW w:w="3880" w:type="dxa"/>
        <w:jc w:val="left"/>
        <w:tblInd w:w="0" w:type="dxa"/>
        <w:tblCellMar>
          <w:top w:w="0" w:type="dxa"/>
          <w:left w:w="0" w:type="dxa"/>
          <w:bottom w:w="0" w:type="dxa"/>
          <w:right w:w="0" w:type="dxa"/>
        </w:tblCellMar>
      </w:tblPr>
      <w:tblGrid>
        <w:gridCol w:w="60"/>
        <w:gridCol w:w="170"/>
        <w:gridCol w:w="36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65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discontinue the use of certain technology; or</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obtain a license under the intellectual property rights of the third party claiming infringement, which license may not be available on reasonable terms or at all.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Our proprietary platform architectures and data tracking technology underlying certain of our services are complex and may contain unknown errors in design or implementation that could result in system performance failures or inability to scale.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platform architecture, data tracking technology and integration layers underlying our proprietary platforms, our contract administration, procurement, timekeeping, content and network management, network services, device management, virtualized services, software automation and other tools, and back-end services are complex and include specially developed software and code. This software and code are developed internally, licensed from third parties, or integrated by in-house personnel and third parties. Any of the system architecture, system administration, integration layers, software or code may contain errors, or may be implemented or interpreted incorrectly, particularly when they are first introduced or when new versions or enhancements to our tools and services are released. Consequently, our systems could experience performance failure, or we may be unable to scale our systems, which may:</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adversely impact our relationship with customers and others who experience system failure, possibly leading to a loss of affected and unaffected customers;</w:t>
            </w:r>
          </w:p>
        </w:tc>
      </w:tr>
    </w:tbl>
    <w:p>
      <w:pPr>
        <w:pStyle w:val="TextBody"/>
        <w:spacing w:before="0" w:after="0"/>
        <w:ind w:left="0" w:right="0" w:hanging="0"/>
        <w:rPr/>
      </w:pPr>
      <w:r>
        <w:rPr/>
        <w:t> </w:t>
      </w:r>
    </w:p>
    <w:tbl>
      <w:tblPr>
        <w:tblW w:w="6085" w:type="dxa"/>
        <w:jc w:val="left"/>
        <w:tblInd w:w="0" w:type="dxa"/>
        <w:tblCellMar>
          <w:top w:w="0" w:type="dxa"/>
          <w:left w:w="0" w:type="dxa"/>
          <w:bottom w:w="0" w:type="dxa"/>
          <w:right w:w="0" w:type="dxa"/>
        </w:tblCellMar>
      </w:tblPr>
      <w:tblGrid>
        <w:gridCol w:w="60"/>
        <w:gridCol w:w="170"/>
        <w:gridCol w:w="58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85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our costs related to product development or service delivery; or</w:t>
            </w:r>
          </w:p>
        </w:tc>
      </w:tr>
    </w:tbl>
    <w:p>
      <w:pPr>
        <w:pStyle w:val="TextBody"/>
        <w:spacing w:before="0" w:after="0"/>
        <w:ind w:left="0" w:right="0" w:hanging="0"/>
        <w:rPr/>
      </w:pPr>
      <w:r>
        <w:rPr/>
        <w:t> </w:t>
      </w:r>
    </w:p>
    <w:tbl>
      <w:tblPr>
        <w:tblW w:w="3775" w:type="dxa"/>
        <w:jc w:val="left"/>
        <w:tblInd w:w="0" w:type="dxa"/>
        <w:tblCellMar>
          <w:top w:w="0" w:type="dxa"/>
          <w:left w:w="0" w:type="dxa"/>
          <w:bottom w:w="0" w:type="dxa"/>
          <w:right w:w="0" w:type="dxa"/>
        </w:tblCellMar>
      </w:tblPr>
      <w:tblGrid>
        <w:gridCol w:w="60"/>
        <w:gridCol w:w="170"/>
        <w:gridCol w:w="35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54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adversely affect our revenues and expenses.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Our business may be adversely affected by malicious applications that interfere with, or exploit security flaws in, our products and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business may be adversely affected by malicious applications that make changes to our customers’ computer systems and interfere with the operation and use of our products or products that impact our business. These applications may attempt to interfere with our ability to communicate with our customers’ devices. The interference may occur without disclosure to or consent from our customers, resulting in a negative experience that our customers may associate with our products and services. These applications may be difficult or impossible to uninstall or disable, may reinstall themselves and may circumvent other applications’ efforts to block or remove them. The ability to provide customers with a superior interactive marketing technology experience is critical to our success. If our efforts to combat these malicious applications fail, or if our products and services have actual or perceived vulnerabilities, there may be claims based on such failure or our reputation may be harmed, which would damage our business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We compete with other companies that have more resources, which puts us at a competitive disadvantage.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market for interactive marketing technologies is generally highly competitive and we expect competition to increase in the future. Some of our competitors or potential competitors may have significantly greater financial, technical and marketing resources than us. These competitors may be able to respond more rapidly than we can to new or emerging technologies or changes in customer requirements. They may also devote greater resources to the development, promotion and sale of their products than 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expect competitors to continue to improve the performance of their current products and to introduce new products, services and technologies. Successful new product and service introductions or enhancements by our competitors could reduce sales and the market acceptance of our products and services, cause intense price competition or make our products and services obsolete. To be competitive, we must continue to invest significant resources in research and development, sales and marketing and customer support. If we do not have sufficient resources to make these investments or are unable to make the technological advances necessary to be competitive, our competitive position will suffer. Increased competition could result in price reductions, fewer customer orders, reduced margins and loss of market share. Our failure to compete successfully against current or future competitors could adversely affect our business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Our future success depends on key personnel and our ability to attract and retain additional personnel.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key personnel include:</w:t>
      </w:r>
    </w:p>
    <w:p>
      <w:pPr>
        <w:pStyle w:val="TextBody"/>
        <w:spacing w:before="0" w:after="0"/>
        <w:ind w:left="0" w:right="0" w:hanging="0"/>
        <w:rPr>
          <w:caps w:val="false"/>
          <w:smallCaps w:val="false"/>
        </w:rPr>
      </w:pPr>
      <w:r>
        <w:rPr>
          <w:caps w:val="false"/>
          <w:smallCaps w:val="false"/>
        </w:rPr>
        <w:t> </w:t>
      </w:r>
    </w:p>
    <w:tbl>
      <w:tblPr>
        <w:tblW w:w="3505" w:type="dxa"/>
        <w:jc w:val="left"/>
        <w:tblInd w:w="0" w:type="dxa"/>
        <w:tblCellMar>
          <w:top w:w="0" w:type="dxa"/>
          <w:left w:w="0" w:type="dxa"/>
          <w:bottom w:w="0" w:type="dxa"/>
          <w:right w:w="0" w:type="dxa"/>
        </w:tblCellMar>
      </w:tblPr>
      <w:tblGrid>
        <w:gridCol w:w="60"/>
        <w:gridCol w:w="170"/>
        <w:gridCol w:w="32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2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Rick Mills, our Chief Executive Officer;</w:t>
            </w:r>
          </w:p>
        </w:tc>
      </w:tr>
    </w:tbl>
    <w:p>
      <w:pPr>
        <w:pStyle w:val="TextBody"/>
        <w:spacing w:before="0" w:after="0"/>
        <w:ind w:left="0" w:right="0" w:hanging="0"/>
        <w:rPr>
          <w:caps w:val="false"/>
          <w:smallCaps w:val="false"/>
        </w:rPr>
      </w:pPr>
      <w:r>
        <w:rPr>
          <w:caps w:val="false"/>
          <w:smallCaps w:val="false"/>
        </w:rPr>
        <w:t> </w:t>
      </w:r>
    </w:p>
    <w:tbl>
      <w:tblPr>
        <w:tblW w:w="3850" w:type="dxa"/>
        <w:jc w:val="left"/>
        <w:tblInd w:w="0" w:type="dxa"/>
        <w:tblCellMar>
          <w:top w:w="0" w:type="dxa"/>
          <w:left w:w="0" w:type="dxa"/>
          <w:bottom w:w="0" w:type="dxa"/>
          <w:right w:w="0" w:type="dxa"/>
        </w:tblCellMar>
      </w:tblPr>
      <w:tblGrid>
        <w:gridCol w:w="60"/>
        <w:gridCol w:w="170"/>
        <w:gridCol w:w="36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6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Will Logan, our Chief Financial Officer; and</w:t>
            </w:r>
          </w:p>
        </w:tc>
      </w:tr>
    </w:tbl>
    <w:p>
      <w:pPr>
        <w:pStyle w:val="TextBody"/>
        <w:spacing w:before="0" w:after="0"/>
        <w:ind w:left="0" w:right="0" w:hanging="0"/>
        <w:rPr/>
      </w:pPr>
      <w:r>
        <w:rPr/>
        <w:t> </w:t>
      </w:r>
    </w:p>
    <w:tbl>
      <w:tblPr>
        <w:tblW w:w="3310" w:type="dxa"/>
        <w:jc w:val="left"/>
        <w:tblInd w:w="0" w:type="dxa"/>
        <w:tblCellMar>
          <w:top w:w="0" w:type="dxa"/>
          <w:left w:w="0" w:type="dxa"/>
          <w:bottom w:w="0" w:type="dxa"/>
          <w:right w:w="0" w:type="dxa"/>
        </w:tblCellMar>
      </w:tblPr>
      <w:tblGrid>
        <w:gridCol w:w="60"/>
        <w:gridCol w:w="170"/>
        <w:gridCol w:w="30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08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Lee Summers, our President of Media.</w:t>
            </w:r>
          </w:p>
        </w:tc>
      </w:tr>
    </w:tbl>
    <w:p>
      <w:pPr>
        <w:pStyle w:val="TextBody"/>
        <w:spacing w:before="0" w:after="0"/>
        <w:ind w:left="0" w:right="0" w:hanging="0"/>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If we fail to retain our key personnel or to attract, retain and motivate other qualified employees, our ability to maintain and develop our business may be adversely affected. Our future success depends significantly on the continued service of our key technical, sales and senior management personnel and their ability to execute our growth strategy. The loss of the services of our key employees could harm our business. We may be unable to retain our employees or to attract, assimilate and retain other highly qualified employees who could migrate to other employers who offer competitive or superior compensation packages.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We are subject to cyber security risks and interruptions or failures in our information technology systems and will likely need to expend additional resources to enhance our protection from such risks. Notwithstanding our efforts, a cyber incident could occur and result in information theft, data corruption, operational disruption and/or financial loss.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depend on digital technologies to process and record financial and operating data and rely on sophisticated information technology systems and infrastructure to support our business, including process control technology. At the same time, cyber incidents, including deliberate attacks, have increased. The U.S. government has issued public warnings that indicate that energy assets might be specific targets of cyber security threats. Our technologies, systems and networks and those of our vendors, suppliers and other business partners may become the target of cyberattacks or information security breaches that could result in the unauthorized release, gathering, monitoring, misuse, loss or destruction of proprietary and other information, or other disruption of business operations. In addition, certain cyber incidents, such as surveillance, may remain undetected for an extended period. Our systems for protecting against cyber security risks may not be sufficient. As the sophistication of cyber incidents continues to evolve, we will likely be required to expend additional resources to continue to modify or enhance our protective measures or to investigate and remediate any vulnerability to cyber incidents. Additionally, any of these systems may be susceptible to outages due to fire, floods, power loss, telecommunications failures, usage errors by employees, computer viruses, cyber-attacks or other security breaches or similar events. The failure of any of our information technology systems may cause disruptions in our operations, which could adversely affect our revenues and profitability.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Our reliance on information management and transaction systems to operate our business exposes us to cyber incidents and hacking of our sensitive information if our outsourced service provider experiences a security breach.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Effective information security internal controls are necessary for us to protect our sensitive information from illegal activities and unauthorized disclosure in addition to denial of service attacks and corruption of our data. In addition, we rely on the information security internal controls maintained by our outsourced service provider. Breaches of our information management system could also adversely affect our business reputation. Finally, significant information system disruptions could adversely affect our ability to effectively manage operations or reliably report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Because our technology, products, platform, and services are complex and are deployed in and across complex environments, they may have errors or defects that could seriously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technology, proprietary platforms, products and services are highly complex and are designed to operate in and across data centers, large and complex networks, and other elements of the digital media workflow that we do not own or control. On an ongoing basis, we need to perform proactive maintenance services on our platform and related software services to correct errors and defects. In the future, there may be additional errors and defects in our software that may adversely affect our services. We may not have in place adequate reporting, tracking, monitoring, and quality assurance procedures to ensure that we detect errors in our software in a timely manner. If we are unable to efficiently and cost-effectively fix errors or other problems that may be identified, or if there are unidentified errors that allow persons to improperly access our services, we could experience loss of revenues and market share, damage to our reputation, increased expenses and legal actions by our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We may have insufficient network or server capacity, which could result in interruptions in our services and loss of 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operations are dependent in part upon: network capacity provided by third-party telecommunications networks; data center services provider owned and leased infrastructure and capacity; our dedicated and virtualized server capacity located at its data center services provider partner and a geo-redundant micro-data center location; and our own infrastructure and equipment. Collectively, this infrastructure, equipment, and capacity must be sufficiently robust to handle all of our customers’ web-traffic, particularly in the event of unexpected surges in high-definition video traffic and network services incidents. We (and our service providers) may not be adequately prepared for unexpected increases in bandwidth and related infrastructure demands from our customers. In addition, the bandwidth we have contracted to purchase may become unavailable for a variety of reasons, including payment disputes, outages, or such service providers going out of business. Any failure of these service providers or our own infrastructure to provide the capacity we require, due to financial or other reasons, may result in a reduction in, or interruption of, service to our customers, leading to an immediate decline in revenue and possible additional decline in revenue as a result of subsequent customer losses.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Our business operations are susceptible to interruptions caused by events beyond our control.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business operations are susceptible to interruptions caused by events beyond our control. For example, the COVID-19 pandemic resulted in authorities implementing numerous preventative measures to contain or mitigate the outbreak of the virus, such as travel bans and restrictions, limitations on business activity, quarantines, and shelter-in-place orders. These measures caused business slowdowns and shutdowns in certain affected areas, both regionally and worldwide, which significantly adversely impacted our business and results of operations. We are vulnerable to the following potential problems when events beyond our control arise, including, among others: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platform, technology, products, and services and underlying infrastructure, or that of our key suppliers, may be damaged or destroyed by events beyond our control, such as fires, earthquakes, floods, power outages or telecommunications failures;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and our customers and/or partners may experience interruptions in service as a result of the accidental or malicious actions of Internet users, hackers or current or former employees;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may face liability for transmitting viruses to third parties that damage or impair their access to computer networks, programs, data or information. Eliminating computer viruses and alleviating other security problems may require interruptions, delays or cessation of service to our customers;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failure of our systems or those of our suppliers may disrupt service to our customers (and from our customers to their customers), which could materially impact our operations (and the operations of our customers), adversely affect our relationships with our customers and lead to lawsuits and contingent liability;</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product development or releases, or reductions in manufacturing production and sales of consumer hardware, as a result of inventory shortages, supply chain or labor shortages;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volatility and disruption of global financial markets, which could negatively impact our ability to access capital in the future;</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recognize revenue, collect payment, or generate future revenue from customers, including from those that have been or may be forced to close their businesses or are otherwise impacted by any resulting economic downturn;</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negative impact on our workforce productivity, product development, and research and development due to difficulties resulting from our personnel working remotely</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illnesses to key employees, or a significant portion of our workforce, which may result in inefficiencies, delays, and disruptions in our business; and</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volatility and uncertainty in the financial projections we use as the basis for estimate used in our financial statements.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occurrence of any of the foregoing could result in claims for consequential and other damages, significant repair and recovery expenses and extensive customer losses and otherwise have a material adverse effect on our business,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Our competitors are constantly evolving, and we may be unable to compete successfully against existing or future competitors to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market in which we operate is becoming increasingly competitive.  Our current competitors generally include general digital signage companies, specialized digital signage operators targeting certain vertical markets (e.g., financial services), content management software companies, or integrators and vertical solution providers who develop single implementations of content distribution, digital marketing technology, and related services. These competitors, including future new competitors who may emerge, may be able to develop a comparable or superior solution capabilities, software platform, technology stack, and/or series of services that provide a similar or more robust set of features and functionality than the technology, products and services we offer. If this occurs, we may be unable to grow as necessary to make our business profitable.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Whether or not we have superior products, many of these current and potential future competitors have a longer operating histories in their current respective business areas and greater market presence, brand recognition, engineering and marketing capabilities, and financial, technological and personnel resources than we do. Existing and potential competitors with an extended operating history, even if not directly related to our business, have an inherent marketing advantage because of the reluctance of many potential customers to entrust key operations to a company that may be perceived as new, inexperienced or unproven. In addition, our existing and potential future competitors may be able to use their extensive resources to:</w:t>
      </w:r>
    </w:p>
    <w:p>
      <w:pPr>
        <w:pStyle w:val="TextBody"/>
        <w:spacing w:before="0" w:after="0"/>
        <w:ind w:left="0" w:right="0" w:hanging="0"/>
        <w:rPr>
          <w:caps w:val="false"/>
          <w:smallCaps w:val="false"/>
        </w:rPr>
      </w:pPr>
      <w:r>
        <w:rPr>
          <w:caps w:val="false"/>
          <w:smallCaps w:val="false"/>
        </w:rPr>
        <w:t> </w:t>
      </w:r>
    </w:p>
    <w:tbl>
      <w:tblPr>
        <w:tblW w:w="7480" w:type="dxa"/>
        <w:jc w:val="left"/>
        <w:tblInd w:w="0" w:type="dxa"/>
        <w:tblCellMar>
          <w:top w:w="0" w:type="dxa"/>
          <w:left w:w="0" w:type="dxa"/>
          <w:bottom w:w="0" w:type="dxa"/>
          <w:right w:w="0" w:type="dxa"/>
        </w:tblCellMar>
      </w:tblPr>
      <w:tblGrid>
        <w:gridCol w:w="60"/>
        <w:gridCol w:w="170"/>
        <w:gridCol w:w="72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25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develop and deploy new products and services more quickly and effectively than we can;</w:t>
            </w:r>
          </w:p>
        </w:tc>
      </w:tr>
    </w:tbl>
    <w:p>
      <w:pPr>
        <w:pStyle w:val="TextBody"/>
        <w:spacing w:before="0" w:after="0"/>
        <w:ind w:left="0" w:right="0" w:hanging="0"/>
        <w:rPr>
          <w:caps w:val="false"/>
          <w:smallCaps w:val="false"/>
        </w:rPr>
      </w:pPr>
      <w:r>
        <w:rPr>
          <w:caps w:val="false"/>
          <w:smallCaps w:val="false"/>
        </w:rPr>
        <w:t> </w:t>
      </w:r>
    </w:p>
    <w:tbl>
      <w:tblPr>
        <w:tblW w:w="8230" w:type="dxa"/>
        <w:jc w:val="left"/>
        <w:tblInd w:w="0" w:type="dxa"/>
        <w:tblCellMar>
          <w:top w:w="0" w:type="dxa"/>
          <w:left w:w="0" w:type="dxa"/>
          <w:bottom w:w="0" w:type="dxa"/>
          <w:right w:w="0" w:type="dxa"/>
        </w:tblCellMar>
      </w:tblPr>
      <w:tblGrid>
        <w:gridCol w:w="60"/>
        <w:gridCol w:w="170"/>
        <w:gridCol w:w="800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00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develop, improve and expand their platforms and related infrastructures more quickly than we can;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offer less expensive products, technology, platform, and services as a result of a lower cost structure, greater capital reserves or otherwise;</w:t>
            </w:r>
          </w:p>
        </w:tc>
      </w:tr>
    </w:tbl>
    <w:p>
      <w:pPr>
        <w:pStyle w:val="TextBody"/>
        <w:spacing w:before="0" w:after="0"/>
        <w:ind w:left="0" w:right="0" w:hanging="0"/>
        <w:rPr>
          <w:caps w:val="false"/>
          <w:smallCaps w:val="false"/>
        </w:rPr>
      </w:pPr>
      <w:r>
        <w:rPr>
          <w:caps w:val="false"/>
          <w:smallCaps w:val="false"/>
        </w:rPr>
        <w:t> </w:t>
      </w:r>
    </w:p>
    <w:tbl>
      <w:tblPr>
        <w:tblW w:w="8950" w:type="dxa"/>
        <w:jc w:val="left"/>
        <w:tblInd w:w="0" w:type="dxa"/>
        <w:tblCellMar>
          <w:top w:w="0" w:type="dxa"/>
          <w:left w:w="0" w:type="dxa"/>
          <w:bottom w:w="0" w:type="dxa"/>
          <w:right w:w="0" w:type="dxa"/>
        </w:tblCellMar>
      </w:tblPr>
      <w:tblGrid>
        <w:gridCol w:w="60"/>
        <w:gridCol w:w="170"/>
        <w:gridCol w:w="87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7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adapt more swiftly and completely to new or emerging technologies and changes in customer requirements;</w:t>
            </w:r>
          </w:p>
        </w:tc>
      </w:tr>
    </w:tbl>
    <w:p>
      <w:pPr>
        <w:pStyle w:val="TextBody"/>
        <w:spacing w:before="0" w:after="0"/>
        <w:ind w:left="0" w:right="0" w:hanging="0"/>
        <w:rPr>
          <w:caps w:val="false"/>
          <w:smallCaps w:val="false"/>
        </w:rPr>
      </w:pPr>
      <w:r>
        <w:rPr>
          <w:caps w:val="false"/>
          <w:smallCaps w:val="false"/>
        </w:rPr>
        <w:t> </w:t>
      </w:r>
    </w:p>
    <w:tbl>
      <w:tblPr>
        <w:tblW w:w="6070" w:type="dxa"/>
        <w:jc w:val="left"/>
        <w:tblInd w:w="0" w:type="dxa"/>
        <w:tblCellMar>
          <w:top w:w="0" w:type="dxa"/>
          <w:left w:w="0" w:type="dxa"/>
          <w:bottom w:w="0" w:type="dxa"/>
          <w:right w:w="0" w:type="dxa"/>
        </w:tblCellMar>
      </w:tblPr>
      <w:tblGrid>
        <w:gridCol w:w="60"/>
        <w:gridCol w:w="170"/>
        <w:gridCol w:w="58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84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take advantage of acquisition and other opportunities more readily; and</w:t>
            </w:r>
          </w:p>
        </w:tc>
      </w:tr>
    </w:tbl>
    <w:p>
      <w:pPr>
        <w:pStyle w:val="TextBody"/>
        <w:spacing w:before="0" w:after="0"/>
        <w:ind w:left="0" w:right="0" w:hanging="0"/>
        <w:rPr>
          <w:caps w:val="false"/>
          <w:smallCaps w:val="false"/>
        </w:rPr>
      </w:pPr>
      <w:r>
        <w:rPr>
          <w:caps w:val="false"/>
          <w:smallCaps w:val="false"/>
        </w:rPr>
        <w:t> </w:t>
      </w:r>
    </w:p>
    <w:tbl>
      <w:tblPr>
        <w:tblW w:w="8665" w:type="dxa"/>
        <w:jc w:val="left"/>
        <w:tblInd w:w="0" w:type="dxa"/>
        <w:tblCellMar>
          <w:top w:w="0" w:type="dxa"/>
          <w:left w:w="0" w:type="dxa"/>
          <w:bottom w:w="0" w:type="dxa"/>
          <w:right w:w="0" w:type="dxa"/>
        </w:tblCellMar>
      </w:tblPr>
      <w:tblGrid>
        <w:gridCol w:w="60"/>
        <w:gridCol w:w="170"/>
        <w:gridCol w:w="84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43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devote greater resources to the marketing and sales of their products, technology, platform, and services.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If we are unable to compete effectively in our various markets, or if competitive pressures place downward pressure on the prices at which we offer our products and services, our business, financial condition and results of operations may suffer.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RISKS RELATED TO OUR SECURITIES AND OUR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sz w:val="20"/>
        </w:rPr>
      </w:pPr>
      <w:r>
        <w:rPr>
          <w:rFonts w:ascii="Times New Roman" w:hAnsi="Times New Roman"/>
          <w:b w:val="false"/>
          <w:i/>
          <w:sz w:val="20"/>
        </w:rPr>
        <w:t xml:space="preserve">Our largest shareholder and senior lender possesses significant voting power with respect to our common </w:t>
      </w:r>
      <w:r>
        <w:rPr>
          <w:rFonts w:ascii="Times New Roman" w:hAnsi="Times New Roman"/>
          <w:b/>
          <w:i/>
          <w:sz w:val="20"/>
        </w:rPr>
        <w:t>stock and</w:t>
      </w:r>
      <w:r>
        <w:rPr>
          <w:rFonts w:ascii="Times New Roman;Times;serif" w:hAnsi="Times New Roman;Times;serif"/>
          <w:b w:val="false"/>
          <w:i/>
          <w:sz w:val="20"/>
        </w:rPr>
        <w:t> </w:t>
      </w:r>
      <w:r>
        <w:rPr>
          <w:rFonts w:ascii="Times New Roman" w:hAnsi="Times New Roman"/>
          <w:b w:val="false"/>
          <w:i/>
          <w:sz w:val="20"/>
        </w:rPr>
        <w:t>has proposed a transaction to purchase all of our common stock that is not beneficially owned by such shareholder and its affiliates.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As of March 29, 2023, our largest shareholder and investor, Slipstream Communications LLC (“Slipstream”) is the holder of 93% of our outstanding debt instruments, including three term loans, and has beneficial ownership of approximately 38% of our common stock (on an as-converted, fully diluted basis including conversion of outstanding warrants, and assuming no other convertible securities, options and warrants are converted or exercised by other parties). Slipstream has also provided us with a continued support letter through March 31, 2024.  </w:t>
      </w:r>
    </w:p>
    <w:p>
      <w:pPr>
        <w:pStyle w:val="TextBody"/>
        <w:spacing w:before="0" w:after="0"/>
        <w:ind w:left="0" w:right="0" w:firstLine="720"/>
        <w:rPr>
          <w:caps w:val="false"/>
          <w:smallCaps w:val="false"/>
        </w:rPr>
      </w:pPr>
      <w:r>
        <w:rPr>
          <w:caps w:val="false"/>
          <w:smallCaps w:val="false"/>
        </w:rPr>
        <w:t> </w:t>
      </w:r>
    </w:p>
    <w:p>
      <w:pPr>
        <w:pStyle w:val="TextBody"/>
        <w:spacing w:before="0" w:after="0"/>
        <w:ind w:left="160" w:right="0" w:firstLine="540"/>
        <w:rPr>
          <w:rFonts w:ascii="Times New Roman" w:hAnsi="Times New Roman"/>
          <w:caps w:val="false"/>
          <w:smallCaps w:val="false"/>
          <w:sz w:val="20"/>
        </w:rPr>
      </w:pPr>
      <w:r>
        <w:rPr>
          <w:rFonts w:ascii="Times New Roman" w:hAnsi="Times New Roman"/>
          <w:caps w:val="false"/>
          <w:smallCaps w:val="false"/>
          <w:sz w:val="20"/>
        </w:rPr>
        <w:t>On February 2, 2023, we received an unsolicited proposal from Pegasus Capital Advisors, L.P., on behalf of itself and certain of its affiliates, including Slipstream (collectively, “Pegasus”), to acquire all of the outstanding shares of common stock of the Company that are not owned by Pegasus for a purchase price of $0.83 per share in cash (or, as a result of our recent reverse stock split $2.49 per share). Pegasus is the beneficial owner of our common stock owned of record by Slipstream. The Special Committee of the Company’s Board of Directors (the “Special Committee”) has concluded that such proposal undervalues the Company based on the Special Committee’s views of the intrinsic value of the Company’s existing business and current and future prospects, and is not in the best interests of the Company’s existing shareholders. Consequently, the Special Committee has advised Pegasus that it has rejected the proposal.</w:t>
      </w:r>
    </w:p>
    <w:p>
      <w:pPr>
        <w:pStyle w:val="TextBody"/>
        <w:spacing w:before="0" w:after="0"/>
        <w:ind w:left="160" w:right="0" w:firstLine="540"/>
        <w:rPr>
          <w:caps w:val="false"/>
          <w:smallCaps w:val="false"/>
        </w:rPr>
      </w:pPr>
      <w:r>
        <w:rPr>
          <w:caps w:val="false"/>
          <w:smallCaps w:val="false"/>
        </w:rPr>
        <w:t> </w:t>
      </w:r>
    </w:p>
    <w:p>
      <w:pPr>
        <w:pStyle w:val="TextBody"/>
        <w:spacing w:before="0" w:after="0"/>
        <w:ind w:left="160" w:right="0" w:firstLine="540"/>
        <w:rPr>
          <w:rFonts w:ascii="Times New Roman" w:hAnsi="Times New Roman"/>
          <w:caps w:val="false"/>
          <w:smallCaps w:val="false"/>
          <w:sz w:val="20"/>
        </w:rPr>
      </w:pPr>
      <w:r>
        <w:rPr>
          <w:rFonts w:ascii="Times New Roman" w:hAnsi="Times New Roman"/>
          <w:caps w:val="false"/>
          <w:smallCaps w:val="false"/>
          <w:sz w:val="20"/>
        </w:rPr>
        <w:t>Pegasus may or may not determine to revise its proposal. The Special Committee remains available to evaluate and respond to a revised proposal by Pegasus. There can be no assurance that any revised proposal or definitive offer will be made or accepted, that any agreement will be executed, or that any transaction will be consummated.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Slipstream has significant influence on our management and affairs, including the election and removal of our Board of Directors and all other matters requiring shareholder approval, including the future merger, consolidation or sale of all or substantially all of our assets. This stockholder position, especially in light of Pegasus' proposal, may discourage others from initiating any potential merger, takeover or other change-of-control transaction that may otherwise be beneficial to our shareholders. Furthermore, this concentrated ownership will limit the practical effect of your participation in Company matters, through shareholder votes and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Our Articles of Incorporation grant our Board of Directors the power to issue additional shares of common and preferred stock and to designate other classes of preferred stock, all without shareholder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authorized capital consists of 116,666,666 shares of capital stock, 50,000,000 of which is undesignated preferred stock. Pursuant to authority granted by our Articles of Incorporation, our Board of Directors, without any action by our shareholders, may designate and issue shares in such classes or series (including other classes or series of preferred stock) as it deems appropriate and establish the rights, preferences and privileges of such shares, including dividends, liquidation and voting rights, provided such designation is consistent with Minnesota law. The rights of holders of other classes or series of stock that may be issued could be superior to the rights of holders of our common shares. The designation and issuance of shares of capital stock having preferential rights could adversely affect other rights appurtenant to shares of our common stock. Furthermore, any issuances of additional stock (common or preferred) will dilute the percentage of ownership interest of then-current holders of our capital stock and may dilute our book value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We do not intend to pay dividends on our common stock for the foreseeable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do not plan to pay dividends on our common stock for the foreseeable future. Earnings of the business will be reinvested in future growth strategies or utilized to repay outstanding debt.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We do not have significant tangible assets that could be sold upon liquidation.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have nominal tangible assets. As a result, if we become insolvent or otherwise must dissolve, there will be no tangible assets to liquidate and no corresponding proceeds to disburse to our shareholders. If we become insolvent or otherwise must dissolve, shareholders will likely not receive any cash proceeds on account of their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We can provide no assurance that our securities will continue to meet Nasdaq listing requirements. If we fail to comply with the continuing listing standards of the Nasdaq, our securities could be delisted.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On April 14, 2022, the Company received a letter (the “Notice”) from The Nasdaq Stock Market LLC (“Nasdaq”) advising the Company that for 30 consecutive trading days preceding the date of the Notice, the bid price of the Company’s common stock had closed below the $1.00 per share minimum required for continued listing on The Nasdaq Capital Market pursuant to Nasdaq Listing Rule 5550(a)(2) (the “Minimum Bid Price Requirement”).  The Notice stated that the Company had 180 days, or until October 11, 2022, to demonstrate compliance by maintaining a minimum closing bid price of at least $1.00 for a minimum of 10 consecutive trading days.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On October 12, 2022, Nasdaq notified the Company that while the Company had not regained compliance with the Minimum Bid Price Requirement, it was eligible for an additional 180-day grace period, or until April 10, 2023, to regain compliance with the Minimum Bid Price Requirement. Nasdaq’s determination was based on the Company having met the continued listing requirement for market value of publicly held shares and all other applicable requirements for initial listing on The Nasdaq Capital Market, with the exception of the Minimum Bid Price Requirement, and on the Company’s written notice to Nasdaq of its intention to cure the deficiency during the second compliance period by effecting a reverse stock split, if necessary. Effective March 27, 2023, we effectuated a one-for-three reverse stock split of the shares of the Company’s common stock seeking to regain compliance with the Minimum Bid Price Requirement. There is no guarantee that we will be successful in satisfying the Minimum Bid Price Requirement by April 10,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If the Company does not regain compliance with the Minimum Bid Price Requirement by April 10, 2023, Nasdaq will provide written notification to the Company that its common stock will be delisted. At that time, the Company may appeal Nasdaq’s delisting determination to a Hearings Panel (the “Panel”). The Company’s common stock would remain listed pending the Panel’s decision. There can be no assurance that if the Company does appeal such a delisting determination by Nasdaq to the Panel, that such appeal would be successful.</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 the event our common stock is delisted from The Nasdaq Capital Market and we are also unable to maintain listing on another alternate exchange, trading in our common stock could thereafter be conducted in FINRA’s OTC Bulletin Board or in the over-the-counter markets in the so-called pink sheets. In such event, the liquidity of our common stock would likely be impaired, not only in the number of shares which could be bought and sold, but also through delays in the timing of the transactions, and there would likely be a reduction in our coverage by security analysts and the news media, thereby resulting in lower prices for our common stock than might otherwise prevail.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The impact of our 1-for-3 reverse stock split on the future market price of our common stock, and our ability to maintain the listing of our common stock on Nasdaq, is uncertain.</w:t>
      </w:r>
    </w:p>
    <w:p>
      <w:pPr>
        <w:pStyle w:val="TextBody"/>
        <w:spacing w:before="0" w:after="0"/>
        <w:ind w:left="16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On March 23, 2023, we filed Articles of Amendment with the Secretary of State of the State of Minnesota to effectuate, effective March 27, 2023, a one-for-three reverse stock split of the shares of the Company’s common stock, par value $0.01 per share. The Company’s common stock began trading on a split-adjusted basis on March 27, 2023. In connection with the reverse stock split, the total number of shares of common stock authorized for issuance was reduced from 200,000,000 shares to 66,666,666 shares in proportion to the reverse stock split.</w:t>
      </w:r>
    </w:p>
    <w:p>
      <w:pPr>
        <w:pStyle w:val="TextBody"/>
        <w:spacing w:before="0" w:after="0"/>
        <w:ind w:left="16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cannot assure shareholders that the reverse stock split will sufficiently increase our stock price by April 10, 2023, the deadline for the Company to comply with the Minimum Bid Requirement. The effect of the reverse stock split on our stock price cannot be predicted with any certainty, and the history of reverse stock splits for us and other companies, is varied, particularly since some investors may view a reverse stock split negatively. It is possible that our stock price after a reverse stock split will not increase in the same proportion as the reduction in the number of shares outstanding, causing a reduction in our overall market capitalization. Further, our stock price may decline due to various factors, including our future performance and general industry, market and economic conditions. This percentage decline, as an absolute number and as a percentage of our overall market capitalization, may be greater than would occur in the absence of the reverse stock split. If we continue to fail to meet Nasdaq’s listing requirements, Nasdaq may suspend trading and commence delisting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 addition, the reverse stock split may decrease the liquidity of our common stock and result in higher transaction costs. The liquidity of our common stock may be negatively impacted by the reduced number of shares outstanding after the reverse stock split, which would be exacerbated if the stock price does not increase following the reverse stock split. In addition, the reverse stock split increased the number of stockholders owning “odd lots” of fewer than 100 shares, which generally means that trading our stock results in higher transaction costs. Accordingly, the reverse stock split may not achieve the desired results of increasing marketability and liquidity.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implementation of the reverse stock split did not have an effect on the actual or intrinsic value of our business or a shareholder’s proportional ownership interest (subject to the treatment of fractional shares as a result of the reverse stock split). However, should the overall value of our common stock decline after the reverse stock split, then the actual or intrinsic value of shares held by shareholders will also proportionately decrease as a result of the overall decline in value.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Significant issuances of our common stock, or the perception that significant issuances may occur in the future, could adversely affect the market price for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Significant actual or perceived potential future issuance of our common stock could adversely affect the market price of our common stock. Generally, issuances of substantial amounts of common stock in the public market, and the availability of shares for future sale, could adversely affect the prevailing market price of our common stock and could cause the market price of our common stock to remain low for a substantial amount of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cannot foresee the impact of potential securities issuances of common shares on the market for our common stock, but it is possible that the market for our shares may be adversely affected, perhaps significantly. It is also unclear whether or not the market for our common stock could absorb a large number of attempted sales in a short period of time, regardless of the price at which they might be offered.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There may not be an active market for shares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 general, there has been minimal trading volume in our common stock. Small trading volumes would likely make it difficult for our shareholders to sell their shares as and when they choose. Furthermore, small trading volumes are generally understood to depress market prices. As a result, you may not always be able to resell shares of our common stock publicly at the time and prices that you feel are fair or appropriate.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GENERAL 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Because of our limited internal resources, we may not have in place various processes and protections common to more mature companies and may be more susceptible to adverse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have limited internal resources. As a result, we may not have in place systems, processes and protections that many of our competitors have or that may be essential to protect against various risks. For example, we have in place only limited resources and processes addressing human resources, timekeeping, data protection, business continuity, personnel redundancy, and knowledge institutionalization concerns. As a result, we are at risk that one or more adverse events in these and other areas may materially harm our business, financial condition, and results from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General global market and economic conditions may have an adverse impact on our operating performance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business has been and could continue to be affected by general global economic and market conditions. Any downturn in the United States and worldwide economy could have a negative effect on our operating results, including a decrease in revenue and operating cash flow. To the extent our customers are unable to profitably leverage various forms of digital marketing technology and solutions, and/or the content we create, deliver and publish on their behalf, they may reduce or eliminate their purchase of our products and services. Such reductions in traffic would lead to a reduction in our revenues. Additionally, in a down-cycle economic environment, we may experience the negative effects of increased competitive pricing pressure, customer loss, slowdown in commerce over the Internet and corresponding decrease in traffic delivered over our network and failures by our customers to pay amounts owed to us on a timely basis or at all. Suppliers on which we rely for equipment, field services, servers, bandwidth, co-location and other services could also be negatively impacted by economic conditions that, in turn, could have a negative impact on our operations or revenues. Flat or worsening economic conditions may harm our operating results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 addition, our business could be adversely affected by the effects of a widespread outbreak of contagious disease, including another outbreak of COVID-19 or another respiratory illness. A significant outbreak of contagious diseases in the human population could result in a widespread health crisis that could adversely affect the economies and financial markets of many countries, resulting in an economic downturn that could affect demand for our products, our ability to collect against existing trade receivables and our operating results. Specifically, such event may cause us, our customers or suppliers to temporarily suspend operations in the affected city or country, and customers may suspend or terminate capital improvements including in-store digital deployments or refresh projects, all of which may have a material adverse effect on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bookmarkStart w:id="7" w:name="i2"/>
      <w:bookmarkEnd w:id="7"/>
      <w:r>
        <w:rPr>
          <w:rFonts w:ascii="Times New Roman" w:hAnsi="Times New Roman"/>
          <w:b/>
          <w:caps w:val="false"/>
          <w:smallCaps w:val="false"/>
          <w:sz w:val="20"/>
        </w:rPr>
        <w:t>ITEM 2</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PROPERTIES </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(All currency is rounded to the nearest thousands, except share and per share amounts.)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headquarters is located at 13100 Magisterial Drive, Suite 100, Louisville, KY 40223. There, we have approximately 17,500 square-feet of office space, including approximately 6,500 square-feet of warehouse space, which we believe is sufficient for our projected near-term future growth. The lease was modified and extended during 2022 and the monthly lease amount is currently $27 and escalates 1% annually through the end of the lease term in December 2025.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also lease office space of approximately 6,000 square feet to support our Canadian operations at a facility located at 4600 Rhodes Drives, Unit 3&amp; 4, Windsor, Ontario under a lease that expires November 30, 2025 and with a monthly rental, inclusive of CAMS and related realty taxes, of $7 per month.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also lease office space of approximately 4,500 square feet to support our Atlanta operations at a facility known as Northridge Center II and and having as its street address at 365 Northridge Road, Atlanta, GA 30350. This property lease began in March 2022 and expires in July 2027 with a monthly rental of $8, escalating 3% annually.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also lease office space of approximately 15,350 square feet to support the Reflect operations at a facility located at 2221 Lakeside Blvd, Richardson, TX 75082 under a lease that expires March 2024 and with a monthly rental, inclusive of CAMS and related realty taxes, of $38 per month.</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corporate phone number is (502) 791-8800.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8" w:name="i3"/>
      <w:bookmarkEnd w:id="8"/>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LEGAL PROCEEDINGS </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Information regarding legal proceedings can be found in </w:t>
      </w:r>
      <w:hyperlink w:anchor="note9">
        <w:r>
          <w:rPr>
            <w:rStyle w:val="InternetLink"/>
            <w:rFonts w:ascii="Times New Roman" w:hAnsi="Times New Roman"/>
            <w:caps w:val="false"/>
            <w:smallCaps w:val="false"/>
            <w:sz w:val="20"/>
          </w:rPr>
          <w:t xml:space="preserve">Note 9 </w:t>
        </w:r>
      </w:hyperlink>
      <w:hyperlink w:anchor="note9">
        <w:r>
          <w:rPr>
            <w:rStyle w:val="InternetLink"/>
            <w:rFonts w:ascii="Times New Roman" w:hAnsi="Times New Roman"/>
            <w:i/>
            <w:caps w:val="false"/>
            <w:smallCaps w:val="false"/>
            <w:sz w:val="20"/>
          </w:rPr>
          <w:t>Commitments and Contingencies</w:t>
        </w:r>
      </w:hyperlink>
      <w:r>
        <w:rPr>
          <w:rFonts w:ascii="Times New Roman" w:hAnsi="Times New Roman"/>
          <w:caps w:val="false"/>
          <w:smallCaps w:val="false"/>
          <w:sz w:val="20"/>
        </w:rPr>
        <w:t xml:space="preserve"> to the Company’s Consolidated Financial Statements included in this Annual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9" w:name="i4"/>
      <w:bookmarkEnd w:id="9"/>
      <w:r>
        <w:rPr>
          <w:rFonts w:ascii="Times New Roman" w:hAnsi="Times New Roman"/>
          <w:b/>
          <w:caps w:val="false"/>
          <w:smallCaps w:val="false"/>
          <w:sz w:val="20"/>
        </w:rPr>
        <w:t>ITEM 4</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MINE SAFETY DISCLOSURES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10" w:name="p2"/>
      <w:bookmarkEnd w:id="10"/>
      <w:r>
        <w:rPr>
          <w:rFonts w:ascii="Times New Roman" w:hAnsi="Times New Roman"/>
          <w:b/>
          <w:caps w:val="false"/>
          <w:smallCaps w:val="false"/>
          <w:sz w:val="20"/>
        </w:rPr>
        <w:t>PART 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11" w:name="i5"/>
      <w:bookmarkEnd w:id="11"/>
      <w:r>
        <w:rPr>
          <w:rFonts w:ascii="Times New Roman" w:hAnsi="Times New Roman"/>
          <w:b/>
          <w:caps w:val="false"/>
          <w:smallCaps w:val="false"/>
          <w:sz w:val="20"/>
        </w:rPr>
        <w:t>ITEM 5</w:t>
      </w:r>
      <w:r>
        <w:rPr>
          <w:rFonts w:ascii="Times New Roman" w:hAnsi="Times New Roman"/>
          <w:caps w:val="false"/>
          <w:smallCaps w:val="false"/>
          <w:sz w:val="20"/>
        </w:rPr>
        <w:t xml:space="preserve"> </w:t>
      </w:r>
      <w:r>
        <w:rPr>
          <w:rFonts w:ascii="Times New Roman" w:hAnsi="Times New Roman"/>
          <w:b/>
          <w:caps w:val="false"/>
          <w:smallCaps w:val="false"/>
          <w:sz w:val="20"/>
        </w:rPr>
        <w:t>MARKET FOR REGISTRANT</w:t>
      </w:r>
      <w:r>
        <w:rPr>
          <w:rFonts w:ascii="Times New Roman" w:hAnsi="Times New Roman"/>
          <w:caps w:val="false"/>
          <w:smallCaps w:val="false"/>
          <w:sz w:val="20"/>
        </w:rPr>
        <w:t>’</w:t>
      </w:r>
      <w:r>
        <w:rPr>
          <w:rFonts w:ascii="Times New Roman" w:hAnsi="Times New Roman"/>
          <w:b/>
          <w:caps w:val="false"/>
          <w:smallCaps w:val="false"/>
          <w:sz w:val="20"/>
        </w:rPr>
        <w:t xml:space="preserve">S COMMON EQUITY, RELATED STOCKHOLDER MATTERS AND ISSUER PURCHASES OF EQUITY SECURITIES </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(All currency is rounded to the nearest thousands, except share and per share amounts.)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Market Information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common stock is listed for trading on the Nasdaq Capital Markets (“Nasdaq”) under the symbol “CREX”. The transfer agent and registrar for our common stock is Computershare Limited, 401 2nd Avenue North, Minneapolis, Minnesota 55401.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Shareholders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As of March 29, 2023, we had 395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Dividend Policy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have never declared or paid cash dividends on our common stock. We currently intend to retain future earnings, if any, to operate and expand our business and to finance the development and expansion of our business. We do not anticipate paying cash dividends on our common stock in the foreseeable future. Any payment of cash dividends in the future will be at the discretion of our Board of Directors and will depend upon our results of operations, earnings, capital requirements, contractual restrictions and other factors deemed relevant by our Board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Holders of our common stock are entitled to share pro rata in dividends and distributions with respect to the common stock when, as and if declared by our Board of Directors out of funds legally available therefor. Our future dividend policy is subject to the sole discretion of our Board of Directors and will depend upon a number of factors, including future earnings, capital requirements and our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Recent Sales of Unregistered Securities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Securities Authorized for Issuance Under Equity Compensation Plans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Information about our equity compensation plans is set forth in Item 12 of Part III of this Annual Report, which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bookmarkStart w:id="12" w:name="i6"/>
      <w:bookmarkEnd w:id="12"/>
      <w:r>
        <w:rPr>
          <w:rFonts w:ascii="Times New Roman" w:hAnsi="Times New Roman"/>
          <w:b/>
          <w:caps w:val="false"/>
          <w:smallCaps w:val="false"/>
          <w:sz w:val="20"/>
        </w:rPr>
        <w:t>ITEM 6 [RESERVED]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rFonts w:ascii="Times New Roman" w:hAnsi="Times New Roman"/>
          <w:caps w:val="false"/>
          <w:smallCaps w:val="false"/>
          <w:sz w:val="20"/>
        </w:rPr>
      </w:pPr>
      <w:bookmarkStart w:id="13" w:name="i7"/>
      <w:bookmarkEnd w:id="13"/>
      <w:r>
        <w:rPr>
          <w:rFonts w:ascii="Times New Roman" w:hAnsi="Times New Roman"/>
          <w:b/>
          <w:caps w:val="false"/>
          <w:smallCaps w:val="false"/>
          <w:sz w:val="20"/>
        </w:rPr>
        <w:t>ITEM 7</w:t>
      </w:r>
      <w:r>
        <w:rPr>
          <w:rFonts w:ascii="Times New Roman" w:hAnsi="Times New Roman"/>
          <w:caps w:val="false"/>
          <w:smallCaps w:val="false"/>
          <w:sz w:val="20"/>
        </w:rPr>
        <w:t xml:space="preserve">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w:t>
      </w:r>
      <w:r>
        <w:rPr>
          <w:rFonts w:ascii="Times New Roman" w:hAnsi="Times New Roman"/>
          <w:caps w:val="false"/>
          <w:smallCaps w:val="false"/>
          <w:sz w:val="20"/>
        </w:rPr>
        <w:t> </w:t>
      </w:r>
      <w:r>
        <w:rPr>
          <w:rFonts w:ascii="Times New Roman" w:hAnsi="Times New Roman"/>
          <w:b/>
          <w:caps w:val="false"/>
          <w:smallCaps w:val="false"/>
          <w:sz w:val="20"/>
        </w:rPr>
        <w:t xml:space="preserve">OF FINANCIAL CONDITION AND RESULTS OF OPERATIONS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(All currency is rounded to the nearest thousands, except share and per share amounts.)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i/>
          <w:caps w:val="false"/>
          <w:smallCaps w:val="false"/>
          <w:sz w:val="20"/>
        </w:rPr>
        <w:t>The following discussion should be read in conjunction with the financial statements and related for the years ended December 31, 2022 and 2021, which are included elsewhere in this Annual Report on Form 10-K. This 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w:t>
      </w:r>
      <w:r>
        <w:rPr>
          <w:rFonts w:ascii="Times New Roman" w:hAnsi="Times New Roman"/>
          <w:caps w:val="false"/>
          <w:smallCaps w:val="false"/>
          <w:sz w:val="20"/>
        </w:rPr>
        <w:t>“</w:t>
      </w:r>
      <w:r>
        <w:rPr>
          <w:rFonts w:ascii="Times New Roman" w:hAnsi="Times New Roman"/>
          <w:i/>
          <w:caps w:val="false"/>
          <w:smallCaps w:val="false"/>
          <w:sz w:val="20"/>
        </w:rPr>
        <w:t>continue,</w:t>
      </w:r>
      <w:r>
        <w:rPr>
          <w:rFonts w:ascii="Times New Roman" w:hAnsi="Times New Roman"/>
          <w:caps w:val="false"/>
          <w:smallCaps w:val="false"/>
          <w:sz w:val="20"/>
        </w:rPr>
        <w:t xml:space="preserve">” </w:t>
      </w:r>
      <w:r>
        <w:rPr>
          <w:rFonts w:ascii="Times New Roman" w:hAnsi="Times New Roman"/>
          <w:i/>
          <w:caps w:val="false"/>
          <w:smallCaps w:val="false"/>
          <w:sz w:val="20"/>
        </w:rPr>
        <w:t>and similar expressions or variations.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i/>
          <w:caps w:val="false"/>
          <w:smallCaps w:val="false"/>
          <w:sz w:val="20"/>
        </w:rPr>
      </w:pPr>
      <w:r>
        <w:rPr>
          <w:rFonts w:ascii="Times New Roman" w:hAnsi="Times New Roman"/>
          <w:i/>
          <w:caps w:val="false"/>
          <w:smallCaps w:val="false"/>
          <w:sz w:val="20"/>
        </w:rPr>
        <w:t>You should review the "Cautionary Note Regarding Forward-Looking Statements; Risk Factor Summary", and "Risk Factors" sections of this Annual Report on Form 10-K for a discussion of important factors that could cause actual results to differ materially from the results described in or implied by the forward-looking statements described in the following discussion and analysis.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Creative Realities, Inc. (“Creative Realities”, or the “Company”) transforms environments through digital solutions by providing innovative digital signage solutions for key market segments and use cases, including:</w:t>
      </w:r>
    </w:p>
    <w:p>
      <w:pPr>
        <w:pStyle w:val="TextBody"/>
        <w:spacing w:before="0" w:after="0"/>
        <w:ind w:left="0" w:right="0" w:hanging="0"/>
        <w:rPr/>
      </w:pPr>
      <w:r>
        <w:rPr/>
        <w:t> </w:t>
      </w:r>
    </w:p>
    <w:tbl>
      <w:tblPr>
        <w:tblW w:w="745" w:type="dxa"/>
        <w:jc w:val="left"/>
        <w:tblInd w:w="0" w:type="dxa"/>
        <w:tblCellMar>
          <w:top w:w="0" w:type="dxa"/>
          <w:left w:w="0" w:type="dxa"/>
          <w:bottom w:w="0" w:type="dxa"/>
          <w:right w:w="0" w:type="dxa"/>
        </w:tblCellMar>
      </w:tblPr>
      <w:tblGrid>
        <w:gridCol w:w="60"/>
        <w:gridCol w:w="170"/>
        <w:gridCol w:w="5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1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r>
    </w:tbl>
    <w:p>
      <w:pPr>
        <w:pStyle w:val="TextBody"/>
        <w:spacing w:before="0" w:after="0"/>
        <w:ind w:left="0" w:right="0" w:hanging="0"/>
        <w:rPr/>
      </w:pPr>
      <w:r>
        <w:rPr/>
        <w:t> </w:t>
      </w:r>
    </w:p>
    <w:tbl>
      <w:tblPr>
        <w:tblW w:w="2950" w:type="dxa"/>
        <w:jc w:val="left"/>
        <w:tblInd w:w="0" w:type="dxa"/>
        <w:tblCellMar>
          <w:top w:w="0" w:type="dxa"/>
          <w:left w:w="0" w:type="dxa"/>
          <w:bottom w:w="0" w:type="dxa"/>
          <w:right w:w="0" w:type="dxa"/>
        </w:tblCellMar>
      </w:tblPr>
      <w:tblGrid>
        <w:gridCol w:w="60"/>
        <w:gridCol w:w="170"/>
        <w:gridCol w:w="27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7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Entertainment and Sports Venues</w:t>
            </w:r>
          </w:p>
        </w:tc>
      </w:tr>
    </w:tbl>
    <w:p>
      <w:pPr>
        <w:pStyle w:val="TextBody"/>
        <w:spacing w:before="0" w:after="0"/>
        <w:ind w:left="0" w:right="0" w:hanging="0"/>
        <w:rPr/>
      </w:pPr>
      <w:r>
        <w:rPr/>
        <w:t> </w:t>
      </w:r>
    </w:p>
    <w:tbl>
      <w:tblPr>
        <w:tblW w:w="4705" w:type="dxa"/>
        <w:jc w:val="left"/>
        <w:tblInd w:w="0" w:type="dxa"/>
        <w:tblCellMar>
          <w:top w:w="0" w:type="dxa"/>
          <w:left w:w="0" w:type="dxa"/>
          <w:bottom w:w="0" w:type="dxa"/>
          <w:right w:w="0" w:type="dxa"/>
        </w:tblCellMar>
      </w:tblPr>
      <w:tblGrid>
        <w:gridCol w:w="60"/>
        <w:gridCol w:w="170"/>
        <w:gridCol w:w="44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4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Restaurants, including quick-serve restaurants (“QSR”)</w:t>
            </w:r>
          </w:p>
        </w:tc>
      </w:tr>
    </w:tbl>
    <w:p>
      <w:pPr>
        <w:pStyle w:val="TextBody"/>
        <w:spacing w:before="0" w:after="0"/>
        <w:ind w:left="0" w:right="0" w:hanging="0"/>
        <w:rPr/>
      </w:pPr>
      <w:r>
        <w:rPr/>
        <w:t> </w:t>
      </w:r>
    </w:p>
    <w:tbl>
      <w:tblPr>
        <w:tblW w:w="1870" w:type="dxa"/>
        <w:jc w:val="left"/>
        <w:tblInd w:w="0" w:type="dxa"/>
        <w:tblCellMar>
          <w:top w:w="0" w:type="dxa"/>
          <w:left w:w="0" w:type="dxa"/>
          <w:bottom w:w="0" w:type="dxa"/>
          <w:right w:w="0" w:type="dxa"/>
        </w:tblCellMar>
      </w:tblPr>
      <w:tblGrid>
        <w:gridCol w:w="60"/>
        <w:gridCol w:w="170"/>
        <w:gridCol w:w="16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64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Convenience Stores</w:t>
            </w:r>
          </w:p>
        </w:tc>
      </w:tr>
    </w:tbl>
    <w:p>
      <w:pPr>
        <w:pStyle w:val="TextBody"/>
        <w:spacing w:before="0" w:after="0"/>
        <w:ind w:left="0" w:right="0" w:hanging="0"/>
        <w:rPr/>
      </w:pPr>
      <w:r>
        <w:rPr/>
        <w:t> </w:t>
      </w:r>
    </w:p>
    <w:tbl>
      <w:tblPr>
        <w:tblW w:w="1735" w:type="dxa"/>
        <w:jc w:val="left"/>
        <w:tblInd w:w="0" w:type="dxa"/>
        <w:tblCellMar>
          <w:top w:w="0" w:type="dxa"/>
          <w:left w:w="0" w:type="dxa"/>
          <w:bottom w:w="0" w:type="dxa"/>
          <w:right w:w="0" w:type="dxa"/>
        </w:tblCellMar>
      </w:tblPr>
      <w:tblGrid>
        <w:gridCol w:w="60"/>
        <w:gridCol w:w="170"/>
        <w:gridCol w:w="15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50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Services</w:t>
            </w:r>
          </w:p>
        </w:tc>
      </w:tr>
    </w:tbl>
    <w:p>
      <w:pPr>
        <w:pStyle w:val="TextBody"/>
        <w:spacing w:before="0" w:after="0"/>
        <w:ind w:left="0" w:right="0" w:hanging="0"/>
        <w:rPr/>
      </w:pPr>
      <w:r>
        <w:rPr/>
        <w:t> </w:t>
      </w:r>
    </w:p>
    <w:tbl>
      <w:tblPr>
        <w:tblW w:w="1225" w:type="dxa"/>
        <w:jc w:val="left"/>
        <w:tblInd w:w="0" w:type="dxa"/>
        <w:tblCellMar>
          <w:top w:w="0" w:type="dxa"/>
          <w:left w:w="0" w:type="dxa"/>
          <w:bottom w:w="0" w:type="dxa"/>
          <w:right w:w="0" w:type="dxa"/>
        </w:tblCellMar>
      </w:tblPr>
      <w:tblGrid>
        <w:gridCol w:w="60"/>
        <w:gridCol w:w="170"/>
        <w:gridCol w:w="9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Automotive</w:t>
            </w:r>
          </w:p>
        </w:tc>
      </w:tr>
    </w:tbl>
    <w:p>
      <w:pPr>
        <w:pStyle w:val="TextBody"/>
        <w:spacing w:before="0" w:after="0"/>
        <w:ind w:left="0" w:right="0" w:hanging="0"/>
        <w:rPr/>
      </w:pPr>
      <w:r>
        <w:rPr/>
        <w:t> </w:t>
      </w:r>
    </w:p>
    <w:tbl>
      <w:tblPr>
        <w:tblW w:w="2980" w:type="dxa"/>
        <w:jc w:val="left"/>
        <w:tblInd w:w="0" w:type="dxa"/>
        <w:tblCellMar>
          <w:top w:w="0" w:type="dxa"/>
          <w:left w:w="0" w:type="dxa"/>
          <w:bottom w:w="0" w:type="dxa"/>
          <w:right w:w="0" w:type="dxa"/>
        </w:tblCellMar>
      </w:tblPr>
      <w:tblGrid>
        <w:gridCol w:w="60"/>
        <w:gridCol w:w="170"/>
        <w:gridCol w:w="27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75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Medical and Healthcare Facilities</w:t>
            </w:r>
          </w:p>
        </w:tc>
      </w:tr>
    </w:tbl>
    <w:p>
      <w:pPr>
        <w:pStyle w:val="TextBody"/>
        <w:spacing w:before="0" w:after="0"/>
        <w:ind w:left="0" w:right="0" w:hanging="0"/>
        <w:rPr/>
      </w:pPr>
      <w:r>
        <w:rPr/>
        <w:t> </w:t>
      </w:r>
    </w:p>
    <w:tbl>
      <w:tblPr>
        <w:tblW w:w="2350" w:type="dxa"/>
        <w:jc w:val="left"/>
        <w:tblInd w:w="0" w:type="dxa"/>
        <w:tblCellMar>
          <w:top w:w="0" w:type="dxa"/>
          <w:left w:w="0" w:type="dxa"/>
          <w:bottom w:w="0" w:type="dxa"/>
          <w:right w:w="0" w:type="dxa"/>
        </w:tblCellMar>
      </w:tblPr>
      <w:tblGrid>
        <w:gridCol w:w="60"/>
        <w:gridCol w:w="170"/>
        <w:gridCol w:w="21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1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Mixed Use Developments</w:t>
            </w:r>
          </w:p>
        </w:tc>
      </w:tr>
    </w:tbl>
    <w:p>
      <w:pPr>
        <w:pStyle w:val="TextBody"/>
        <w:spacing w:before="0" w:after="0"/>
        <w:ind w:left="0" w:right="0" w:hanging="0"/>
        <w:rPr/>
      </w:pPr>
      <w:r>
        <w:rPr/>
        <w:t> </w:t>
      </w:r>
    </w:p>
    <w:tbl>
      <w:tblPr>
        <w:tblW w:w="4375" w:type="dxa"/>
        <w:jc w:val="left"/>
        <w:tblInd w:w="0" w:type="dxa"/>
        <w:tblCellMar>
          <w:top w:w="0" w:type="dxa"/>
          <w:left w:w="0" w:type="dxa"/>
          <w:bottom w:w="0" w:type="dxa"/>
          <w:right w:w="0" w:type="dxa"/>
        </w:tblCellMar>
      </w:tblPr>
      <w:tblGrid>
        <w:gridCol w:w="60"/>
        <w:gridCol w:w="170"/>
        <w:gridCol w:w="41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14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Communications, Employee Experience</w:t>
            </w:r>
          </w:p>
        </w:tc>
      </w:tr>
    </w:tbl>
    <w:p>
      <w:pPr>
        <w:pStyle w:val="TextBody"/>
        <w:spacing w:before="0" w:after="0"/>
        <w:ind w:left="0" w:right="0" w:hanging="0"/>
        <w:rPr/>
      </w:pPr>
      <w:r>
        <w:rPr/>
        <w:t> </w:t>
      </w:r>
    </w:p>
    <w:tbl>
      <w:tblPr>
        <w:tblW w:w="4390" w:type="dxa"/>
        <w:jc w:val="left"/>
        <w:tblInd w:w="0" w:type="dxa"/>
        <w:tblCellMar>
          <w:top w:w="0" w:type="dxa"/>
          <w:left w:w="0" w:type="dxa"/>
          <w:bottom w:w="0" w:type="dxa"/>
          <w:right w:w="0" w:type="dxa"/>
        </w:tblCellMar>
      </w:tblPr>
      <w:tblGrid>
        <w:gridCol w:w="60"/>
        <w:gridCol w:w="170"/>
        <w:gridCol w:w="41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16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Digital out of Home (DOOH) Advertising Networks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pStyle w:val="TextBody"/>
        <w:spacing w:before="0" w:after="0"/>
        <w:ind w:left="0" w:right="0" w:hanging="0"/>
        <w:rPr>
          <w:caps w:val="false"/>
          <w:smallCaps w:val="false"/>
        </w:rPr>
      </w:pPr>
      <w:r>
        <w:rPr>
          <w:caps w:val="false"/>
          <w:smallCaps w:val="false"/>
        </w:rPr>
        <w:t> </w:t>
      </w:r>
    </w:p>
    <w:tbl>
      <w:tblPr>
        <w:tblW w:w="2380" w:type="dxa"/>
        <w:jc w:val="left"/>
        <w:tblInd w:w="0" w:type="dxa"/>
        <w:tblCellMar>
          <w:top w:w="0" w:type="dxa"/>
          <w:left w:w="0" w:type="dxa"/>
          <w:bottom w:w="0" w:type="dxa"/>
          <w:right w:w="0" w:type="dxa"/>
        </w:tblCellMar>
      </w:tblPr>
      <w:tblGrid>
        <w:gridCol w:w="60"/>
        <w:gridCol w:w="170"/>
        <w:gridCol w:w="21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15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brand awareness</w:t>
            </w:r>
          </w:p>
        </w:tc>
      </w:tr>
    </w:tbl>
    <w:p>
      <w:pPr>
        <w:pStyle w:val="TextBody"/>
        <w:spacing w:before="0" w:after="0"/>
        <w:ind w:left="0" w:right="0" w:hanging="0"/>
        <w:rPr>
          <w:caps w:val="false"/>
          <w:smallCaps w:val="false"/>
        </w:rPr>
      </w:pPr>
      <w:r>
        <w:rPr>
          <w:caps w:val="false"/>
          <w:smallCaps w:val="false"/>
        </w:rPr>
        <w:t> </w:t>
      </w:r>
    </w:p>
    <w:tbl>
      <w:tblPr>
        <w:tblW w:w="2470" w:type="dxa"/>
        <w:jc w:val="left"/>
        <w:tblInd w:w="0" w:type="dxa"/>
        <w:tblCellMar>
          <w:top w:w="0" w:type="dxa"/>
          <w:left w:w="0" w:type="dxa"/>
          <w:bottom w:w="0" w:type="dxa"/>
          <w:right w:w="0" w:type="dxa"/>
        </w:tblCellMar>
      </w:tblPr>
      <w:tblGrid>
        <w:gridCol w:w="60"/>
        <w:gridCol w:w="170"/>
        <w:gridCol w:w="22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24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Improved customer support</w:t>
            </w:r>
          </w:p>
        </w:tc>
      </w:tr>
    </w:tbl>
    <w:p>
      <w:pPr>
        <w:pStyle w:val="TextBody"/>
        <w:spacing w:before="0" w:after="0"/>
        <w:ind w:left="0" w:right="0" w:hanging="0"/>
        <w:rPr>
          <w:caps w:val="false"/>
          <w:smallCaps w:val="false"/>
        </w:rPr>
      </w:pPr>
      <w:r>
        <w:rPr>
          <w:caps w:val="false"/>
          <w:smallCaps w:val="false"/>
        </w:rPr>
        <w:t> </w:t>
      </w:r>
    </w:p>
    <w:tbl>
      <w:tblPr>
        <w:tblW w:w="4285" w:type="dxa"/>
        <w:jc w:val="left"/>
        <w:tblInd w:w="0" w:type="dxa"/>
        <w:tblCellMar>
          <w:top w:w="0" w:type="dxa"/>
          <w:left w:w="0" w:type="dxa"/>
          <w:bottom w:w="0" w:type="dxa"/>
          <w:right w:w="0" w:type="dxa"/>
        </w:tblCellMar>
      </w:tblPr>
      <w:tblGrid>
        <w:gridCol w:w="60"/>
        <w:gridCol w:w="170"/>
        <w:gridCol w:w="40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05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Enhanced employee productivity and satisfaction</w:t>
            </w:r>
          </w:p>
        </w:tc>
      </w:tr>
    </w:tbl>
    <w:p>
      <w:pPr>
        <w:pStyle w:val="TextBody"/>
        <w:spacing w:before="0" w:after="0"/>
        <w:ind w:left="0" w:right="0" w:hanging="0"/>
        <w:rPr>
          <w:caps w:val="false"/>
          <w:smallCaps w:val="false"/>
        </w:rPr>
      </w:pPr>
      <w:r>
        <w:rPr>
          <w:caps w:val="false"/>
          <w:smallCaps w:val="false"/>
        </w:rPr>
        <w:t> </w:t>
      </w:r>
    </w:p>
    <w:tbl>
      <w:tblPr>
        <w:tblW w:w="3085" w:type="dxa"/>
        <w:jc w:val="left"/>
        <w:tblInd w:w="0" w:type="dxa"/>
        <w:tblCellMar>
          <w:top w:w="0" w:type="dxa"/>
          <w:left w:w="0" w:type="dxa"/>
          <w:bottom w:w="0" w:type="dxa"/>
          <w:right w:w="0" w:type="dxa"/>
        </w:tblCellMar>
      </w:tblPr>
      <w:tblGrid>
        <w:gridCol w:w="60"/>
        <w:gridCol w:w="170"/>
        <w:gridCol w:w="28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85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revenue and profitability</w:t>
            </w:r>
          </w:p>
        </w:tc>
      </w:tr>
    </w:tbl>
    <w:p>
      <w:pPr>
        <w:pStyle w:val="TextBody"/>
        <w:spacing w:before="0" w:after="0"/>
        <w:ind w:left="0" w:right="0" w:hanging="0"/>
        <w:rPr>
          <w:caps w:val="false"/>
          <w:smallCaps w:val="false"/>
        </w:rPr>
      </w:pPr>
      <w:r>
        <w:rPr>
          <w:caps w:val="false"/>
          <w:smallCaps w:val="false"/>
        </w:rPr>
        <w:t> </w:t>
      </w:r>
    </w:p>
    <w:tbl>
      <w:tblPr>
        <w:tblW w:w="2440" w:type="dxa"/>
        <w:jc w:val="left"/>
        <w:tblInd w:w="0" w:type="dxa"/>
        <w:tblCellMar>
          <w:top w:w="0" w:type="dxa"/>
          <w:left w:w="0" w:type="dxa"/>
          <w:bottom w:w="0" w:type="dxa"/>
          <w:right w:w="0" w:type="dxa"/>
        </w:tblCellMar>
      </w:tblPr>
      <w:tblGrid>
        <w:gridCol w:w="60"/>
        <w:gridCol w:w="170"/>
        <w:gridCol w:w="22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21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Improved guest experience</w:t>
            </w:r>
          </w:p>
        </w:tc>
      </w:tr>
    </w:tbl>
    <w:p>
      <w:pPr>
        <w:pStyle w:val="TextBody"/>
        <w:spacing w:before="0" w:after="0"/>
        <w:ind w:left="0" w:right="0" w:hanging="0"/>
        <w:rPr/>
      </w:pPr>
      <w:r>
        <w:rPr/>
        <w:t> </w:t>
      </w:r>
    </w:p>
    <w:tbl>
      <w:tblPr>
        <w:tblW w:w="3325" w:type="dxa"/>
        <w:jc w:val="left"/>
        <w:tblInd w:w="0" w:type="dxa"/>
        <w:tblCellMar>
          <w:top w:w="0" w:type="dxa"/>
          <w:left w:w="0" w:type="dxa"/>
          <w:bottom w:w="0" w:type="dxa"/>
          <w:right w:w="0" w:type="dxa"/>
        </w:tblCellMar>
      </w:tblPr>
      <w:tblGrid>
        <w:gridCol w:w="60"/>
        <w:gridCol w:w="170"/>
        <w:gridCol w:w="30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09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customer/guest engagement</w:t>
            </w:r>
          </w:p>
        </w:tc>
      </w:tr>
    </w:tbl>
    <w:p>
      <w:pPr>
        <w:pStyle w:val="TextBody"/>
        <w:spacing w:before="0" w:after="0"/>
        <w:ind w:left="0" w:right="0" w:hanging="0"/>
        <w:rPr/>
      </w:pPr>
      <w:r>
        <w:rPr/>
        <w:t> </w:t>
      </w:r>
    </w:p>
    <w:tbl>
      <w:tblPr>
        <w:tblW w:w="2470" w:type="dxa"/>
        <w:jc w:val="left"/>
        <w:tblInd w:w="0" w:type="dxa"/>
        <w:tblCellMar>
          <w:top w:w="0" w:type="dxa"/>
          <w:left w:w="0" w:type="dxa"/>
          <w:bottom w:w="0" w:type="dxa"/>
          <w:right w:w="0" w:type="dxa"/>
        </w:tblCellMar>
      </w:tblPr>
      <w:tblGrid>
        <w:gridCol w:w="60"/>
        <w:gridCol w:w="170"/>
        <w:gridCol w:w="22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24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Improved patient outcomes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Through a combination of organically grown platforms and a series of strategic acquisitions, including our recent acquisition of Reflect Systems, Inc. in February 2022, the Company assist clients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Client engagements focus on consultative conversations that ensure the Company’s solutions are positioned to help clients achieve their business objectives in the most cost-effective manner possible.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When comparing Creative Realities to other digital signage providers, our customers value the following competitive advantages: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Breadth of solutions</w:t>
            </w:r>
            <w:r>
              <w:rPr>
                <w:rFonts w:ascii="Times New Roman;Times;serif" w:hAnsi="Times New Roman;Times;serif"/>
                <w:caps w:val="false"/>
                <w:smallCaps w:val="false"/>
                <w:sz w:val="20"/>
              </w:rPr>
              <w:t> – Creative Realities is one of only a few companies in the industry capable of providing the full portfolio of products and services required to implement and run an effective digital signage network. We leverage a ‘single vendor’ approach, providing clients with a one-stop-shop for sourcing digital signage solutions from design through day two services.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Managed labor pool</w:t>
            </w:r>
            <w:r>
              <w:rPr>
                <w:rFonts w:ascii="Times New Roman;Times;serif" w:hAnsi="Times New Roman;Times;serif"/>
                <w:caps w:val="false"/>
                <w:smallCaps w:val="false"/>
                <w:sz w:val="20"/>
              </w:rPr>
              <w:t> – Unlike most companies in our industry, we have a curated labor pool including thousands of qualified and vetted field technicians available to service clients quickly nationwide. We can meet tight schedules even in exceptionally large deployments and still ensure quality and consistency.</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In-house creative resources</w:t>
            </w:r>
            <w:r>
              <w:rPr>
                <w:rFonts w:ascii="Times New Roman;Times;serif" w:hAnsi="Times New Roman;Times;serif"/>
                <w:caps w:val="false"/>
                <w:smallCaps w:val="false"/>
                <w:sz w:val="20"/>
              </w:rPr>
              <w:t> – We assist clients in repurposing existing content for digital signage experiences or creating new content, an activity for which the Company has won several design awards in recent years. In each instance, our services can be essential in helping clients develop an effective content program.</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Network scalability and reliability</w:t>
            </w:r>
            <w:r>
              <w:rPr>
                <w:rFonts w:ascii="Times New Roman;Times;serif" w:hAnsi="Times New Roman;Times;serif"/>
                <w:caps w:val="false"/>
                <w:smallCaps w:val="false"/>
                <w:sz w:val="20"/>
              </w:rPr>
              <w:t> – Our software as a service (“SaaS”) content management platforms power some of the largest and most 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clients.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Ad management platform</w:t>
            </w:r>
            <w:r>
              <w:rPr>
                <w:rFonts w:ascii="Times New Roman;Times;serif" w:hAnsi="Times New Roman;Times;serif"/>
                <w:caps w:val="false"/>
                <w:smallCaps w:val="false"/>
                <w:sz w:val="20"/>
              </w:rPr>
              <w:t> – Our customers are increasingly interested in monetizing their digital signage networks through advertising content. However, efficiently scheduling advertising content into digital signage playlists to meet campaign objectives can be a challenging and labor-intensive process. AdLogic, our home-grown, content management-agnostic platform, automates this process, allowing network owners to capture more revenue with less expense.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Media sales</w:t>
            </w:r>
            <w:r>
              <w:rPr>
                <w:rFonts w:ascii="Times New Roman;Times;serif" w:hAnsi="Times New Roman;Times;serif"/>
                <w:caps w:val="false"/>
                <w:smallCaps w:val="false"/>
                <w:sz w:val="20"/>
              </w:rPr>
              <w:t> – Few, if any other digital signage solution providers, can offer their clients media sales as a service. We have in-house media sales expertise to elevate conversations with clients interested in better understanding network monetization. We believe this meaningful differentiation in the sales process provides an additional revenue stream to Creative Realities compared to our competitors.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Market sector expertise</w:t>
            </w:r>
            <w:r>
              <w:rPr>
                <w:rFonts w:ascii="Times New Roman;Times;serif" w:hAnsi="Times New Roman;Times;serif"/>
                <w:caps w:val="false"/>
                <w:smallCaps w:val="false"/>
                <w:sz w:val="20"/>
              </w:rPr>
              <w:t> – Creative Realities has in-house experts in key market segments such as automotive, retail, quick-serve restaurants (QSR), convenience stores, and Digital Out of Home (DOOH) advertising. Our expertise in these business segments enables our teams to provide meaningful business conversations and offer tailored solutions with prospects and customers to their unique business objectives. These experts build industry relationships and create thought leadership that drives lead flow and new opportunities for our business.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Logistics</w:t>
            </w:r>
            <w:r>
              <w:rPr>
                <w:rFonts w:ascii="Times New Roman;Times;serif" w:hAnsi="Times New Roman;Times;serif"/>
                <w:caps w:val="false"/>
                <w:smallCaps w:val="false"/>
                <w:sz w:val="20"/>
              </w:rPr>
              <w:t> – Implementing a large digital signage project can be a logistics nightmare that can stall an initiative even before deployment. Our expertise in logistics improves deployment efficiency, reduces delays and problems, and saves customers time and money.</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Technical support</w:t>
            </w:r>
            <w:r>
              <w:rPr>
                <w:rFonts w:ascii="Times New Roman;Times;serif" w:hAnsi="Times New Roman;Times;serif"/>
                <w:caps w:val="false"/>
                <w:smallCaps w:val="false"/>
                <w:sz w:val="20"/>
              </w:rPr>
              <w:t> – Digital signage networks present unique challenges for corporate IT departments. Creative Realities helps simplify and improve end user support by leveraging our own Network Operations Center (“NOC”) in Louisville, Kentucky. The NOC resolves many issues remotely and when field support is required, it can be dispatched from the NOC, leveraging our managed labor pool to resolve customer issues quickly and effectively.</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Integrations and Application Development</w:t>
            </w:r>
            <w:r>
              <w:rPr>
                <w:rFonts w:ascii="Times New Roman;Times;serif" w:hAnsi="Times New Roman;Times;serif"/>
                <w:caps w:val="false"/>
                <w:smallCaps w:val="false"/>
                <w:sz w:val="20"/>
              </w:rPr>
              <w:t> – The future of digital signage is not still images and videos on a screen. Interactive applications and integrations with other data sources will dominate the future. From social media feeds to corporate data stores to Point of Sale (“POS”) systems, our proven ability to build scalable applications and integrations is a key advantage clients can leverage to deliver more compelling and engaging experiences for their customers.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Hardware support</w:t>
            </w:r>
            <w:r>
              <w:rPr>
                <w:rFonts w:ascii="Times New Roman;Times;serif" w:hAnsi="Times New Roman;Times;serif"/>
                <w:caps w:val="false"/>
                <w:smallCaps w:val="false"/>
                <w:sz w:val="20"/>
              </w:rPr>
              <w:t> – A number of digital signage providers sell a proprietary media player or align themselves with just one operating system. We utilize a range of media players including Windows, Android and BrightSign to provide clients the flexibility they need to select the appropriate hardware for any application knowing the entire network can still be served by a single digital signage platform, reducing complexity and improving the productivity of their teams.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Our Sources of Revenue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three primary sources of revenue for the company are: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Hardware sales from reselling digital signage hardware from original equipment manufacturers such as Samsung and BrightSign.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9160" w:type="dxa"/>
        <w:jc w:val="left"/>
        <w:tblInd w:w="0" w:type="dxa"/>
        <w:tblCellMar>
          <w:top w:w="0" w:type="dxa"/>
          <w:left w:w="0" w:type="dxa"/>
          <w:bottom w:w="0" w:type="dxa"/>
          <w:right w:w="0" w:type="dxa"/>
        </w:tblCellMar>
      </w:tblPr>
      <w:tblGrid>
        <w:gridCol w:w="60"/>
        <w:gridCol w:w="170"/>
        <w:gridCol w:w="89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93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revenue from helping customers design, deploy and manage their digital signage network, including:</w:t>
            </w:r>
          </w:p>
        </w:tc>
      </w:tr>
    </w:tbl>
    <w:p>
      <w:pPr>
        <w:pStyle w:val="TextBody"/>
        <w:spacing w:before="0" w:after="0"/>
        <w:ind w:left="0" w:right="0" w:hanging="0"/>
        <w:rPr>
          <w:caps w:val="false"/>
          <w:smallCaps w:val="false"/>
        </w:rPr>
      </w:pPr>
      <w:r>
        <w:rPr>
          <w:caps w:val="false"/>
          <w:smallCaps w:val="false"/>
        </w:rPr>
        <w:t> </w:t>
      </w:r>
    </w:p>
    <w:tbl>
      <w:tblPr>
        <w:tblW w:w="3190" w:type="dxa"/>
        <w:jc w:val="left"/>
        <w:tblInd w:w="0" w:type="dxa"/>
        <w:tblCellMar>
          <w:top w:w="0" w:type="dxa"/>
          <w:left w:w="0" w:type="dxa"/>
          <w:bottom w:w="0" w:type="dxa"/>
          <w:right w:w="0" w:type="dxa"/>
        </w:tblCellMar>
      </w:tblPr>
      <w:tblGrid>
        <w:gridCol w:w="60"/>
        <w:gridCol w:w="125"/>
        <w:gridCol w:w="3005"/>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300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Hardware system design/engineering</w:t>
            </w:r>
          </w:p>
        </w:tc>
      </w:tr>
    </w:tbl>
    <w:p>
      <w:pPr>
        <w:pStyle w:val="TextBody"/>
        <w:spacing w:before="0" w:after="0"/>
        <w:ind w:left="0" w:right="0" w:hanging="0"/>
        <w:rPr/>
      </w:pPr>
      <w:r>
        <w:rPr/>
        <w:t> </w:t>
      </w:r>
    </w:p>
    <w:tbl>
      <w:tblPr>
        <w:tblW w:w="1945" w:type="dxa"/>
        <w:jc w:val="left"/>
        <w:tblInd w:w="0" w:type="dxa"/>
        <w:tblCellMar>
          <w:top w:w="0" w:type="dxa"/>
          <w:left w:w="0" w:type="dxa"/>
          <w:bottom w:w="0" w:type="dxa"/>
          <w:right w:w="0" w:type="dxa"/>
        </w:tblCellMar>
      </w:tblPr>
      <w:tblGrid>
        <w:gridCol w:w="60"/>
        <w:gridCol w:w="125"/>
        <w:gridCol w:w="176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76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Hardware installation</w:t>
            </w:r>
          </w:p>
        </w:tc>
      </w:tr>
    </w:tbl>
    <w:p>
      <w:pPr>
        <w:pStyle w:val="TextBody"/>
        <w:spacing w:before="0" w:after="0"/>
        <w:ind w:left="0" w:right="0" w:hanging="0"/>
        <w:rPr/>
      </w:pPr>
      <w:r>
        <w:rPr/>
        <w:t> </w:t>
      </w:r>
    </w:p>
    <w:tbl>
      <w:tblPr>
        <w:tblW w:w="1975" w:type="dxa"/>
        <w:jc w:val="left"/>
        <w:tblInd w:w="0" w:type="dxa"/>
        <w:tblCellMar>
          <w:top w:w="0" w:type="dxa"/>
          <w:left w:w="0" w:type="dxa"/>
          <w:bottom w:w="0" w:type="dxa"/>
          <w:right w:w="0" w:type="dxa"/>
        </w:tblCellMar>
      </w:tblPr>
      <w:tblGrid>
        <w:gridCol w:w="60"/>
        <w:gridCol w:w="125"/>
        <w:gridCol w:w="179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79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Content development</w:t>
            </w:r>
          </w:p>
        </w:tc>
      </w:tr>
    </w:tbl>
    <w:p>
      <w:pPr>
        <w:pStyle w:val="TextBody"/>
        <w:spacing w:before="0" w:after="0"/>
        <w:ind w:left="0" w:right="0" w:hanging="0"/>
        <w:rPr/>
      </w:pPr>
      <w:r>
        <w:rPr/>
        <w:t> </w:t>
      </w:r>
    </w:p>
    <w:tbl>
      <w:tblPr>
        <w:tblW w:w="1810" w:type="dxa"/>
        <w:jc w:val="left"/>
        <w:tblInd w:w="0" w:type="dxa"/>
        <w:tblCellMar>
          <w:top w:w="0" w:type="dxa"/>
          <w:left w:w="0" w:type="dxa"/>
          <w:bottom w:w="0" w:type="dxa"/>
          <w:right w:w="0" w:type="dxa"/>
        </w:tblCellMar>
      </w:tblPr>
      <w:tblGrid>
        <w:gridCol w:w="60"/>
        <w:gridCol w:w="125"/>
        <w:gridCol w:w="1625"/>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6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Content scheduling</w:t>
            </w:r>
          </w:p>
        </w:tc>
      </w:tr>
    </w:tbl>
    <w:p>
      <w:pPr>
        <w:pStyle w:val="TextBody"/>
        <w:spacing w:before="0" w:after="0"/>
        <w:ind w:left="0" w:right="0" w:hanging="0"/>
        <w:rPr/>
      </w:pPr>
      <w:r>
        <w:rPr/>
        <w:t> </w:t>
      </w:r>
    </w:p>
    <w:tbl>
      <w:tblPr>
        <w:tblW w:w="3715" w:type="dxa"/>
        <w:jc w:val="left"/>
        <w:tblInd w:w="0" w:type="dxa"/>
        <w:tblCellMar>
          <w:top w:w="0" w:type="dxa"/>
          <w:left w:w="0" w:type="dxa"/>
          <w:bottom w:w="0" w:type="dxa"/>
          <w:right w:w="0" w:type="dxa"/>
        </w:tblCellMar>
      </w:tblPr>
      <w:tblGrid>
        <w:gridCol w:w="60"/>
        <w:gridCol w:w="125"/>
        <w:gridCol w:w="353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353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Post-deployment network and field support</w:t>
            </w:r>
          </w:p>
        </w:tc>
      </w:tr>
    </w:tbl>
    <w:p>
      <w:pPr>
        <w:pStyle w:val="TextBody"/>
        <w:spacing w:before="0" w:after="0"/>
        <w:ind w:left="0" w:right="0" w:hanging="0"/>
        <w:rPr/>
      </w:pPr>
      <w:r>
        <w:rPr/>
        <w:t> </w:t>
      </w:r>
    </w:p>
    <w:tbl>
      <w:tblPr>
        <w:tblW w:w="4375" w:type="dxa"/>
        <w:jc w:val="left"/>
        <w:tblInd w:w="0" w:type="dxa"/>
        <w:tblCellMar>
          <w:top w:w="0" w:type="dxa"/>
          <w:left w:w="0" w:type="dxa"/>
          <w:bottom w:w="0" w:type="dxa"/>
          <w:right w:w="0" w:type="dxa"/>
        </w:tblCellMar>
      </w:tblPr>
      <w:tblGrid>
        <w:gridCol w:w="60"/>
        <w:gridCol w:w="125"/>
        <w:gridCol w:w="419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419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Media sales, as a result of our acquisition of Reflect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Recurring subscription licensing and support revenue from our digital signage software platforms, which are generally sold via a SaaS model. These include: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ReflectView</w:t>
            </w:r>
            <w:r>
              <w:rPr>
                <w:rFonts w:ascii="Times New Roman;Times;serif" w:hAnsi="Times New Roman;Times;serif"/>
                <w:caps w:val="false"/>
                <w:smallCaps w:val="false"/>
                <w:sz w:val="20"/>
              </w:rPr>
              <w:t>, the Company’s core digital signage platform for most applications, scalable and cost effective from 10 to 100,000+ devices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Reflect Xperience</w:t>
            </w:r>
            <w:r>
              <w:rPr>
                <w:rFonts w:ascii="Times New Roman;Times;serif" w:hAnsi="Times New Roman;Times;serif"/>
                <w:caps w:val="false"/>
                <w:smallCaps w:val="false"/>
                <w:sz w:val="20"/>
              </w:rPr>
              <w:t>, a web-based interface that allows customers to give content scheduling access to local users via the web or mobile devices, while still maintaining centralized programming control</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Reflect AdLogic</w:t>
            </w:r>
            <w:r>
              <w:rPr>
                <w:rFonts w:ascii="Times New Roman;Times;serif" w:hAnsi="Times New Roman;Times;serif"/>
                <w:caps w:val="false"/>
                <w:smallCaps w:val="false"/>
                <w:sz w:val="20"/>
              </w:rPr>
              <w:t>, the Company’s ad management platform for digital signage networks, which presently delivers approximately 50 million ads daily</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Reflect Clarity</w:t>
            </w:r>
            <w:r>
              <w:rPr>
                <w:rFonts w:ascii="Times New Roman;Times;serif" w:hAnsi="Times New Roman;Times;serif"/>
                <w:caps w:val="false"/>
                <w:smallCaps w:val="false"/>
                <w:sz w:val="20"/>
              </w:rPr>
              <w:t>, the Company’s menu board solution, which has become a market leader for a range of restaurant and convenience store applications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Reflect Zero Touch</w:t>
            </w:r>
            <w:r>
              <w:rPr>
                <w:rFonts w:ascii="Times New Roman;Times;serif" w:hAnsi="Times New Roman;Times;serif"/>
                <w:caps w:val="false"/>
                <w:smallCaps w:val="false"/>
                <w:sz w:val="20"/>
              </w:rPr>
              <w:t>, which allows customers to turn any screen into an interactive experience by allowing guests to engage using their mobile device</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iShowroomProX</w:t>
            </w:r>
            <w:r>
              <w:rPr>
                <w:rFonts w:ascii="Times New Roman;Times;serif" w:hAnsi="Times New Roman;Times;serif"/>
                <w:caps w:val="false"/>
                <w:smallCaps w:val="false"/>
                <w:sz w:val="20"/>
              </w:rPr>
              <w:t>, an omni-channel digital sales support platform targeted at original equipment manufacturers in the transportation sector, which integrates with dozens of key data services including dealer inventory at the VIN level</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OSx+</w:t>
            </w:r>
            <w:r>
              <w:rPr>
                <w:rFonts w:ascii="Times New Roman;Times;serif" w:hAnsi="Times New Roman;Times;serif"/>
                <w:caps w:val="false"/>
                <w:smallCaps w:val="false"/>
                <w:sz w:val="20"/>
              </w:rPr>
              <w:t>, a digital VIN-level checklist used to assist in the tracking and delivery of new vehicles in the transportation sector, providing measurable lift in customer satisfaction scores and connected vehicle enrollments and subscription activations.</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Our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rPr>
          <w:rFonts w:ascii="Times New Roman" w:hAnsi="Times New Roman"/>
          <w:i/>
          <w:caps w:val="false"/>
          <w:smallCaps w:val="false"/>
          <w:sz w:val="20"/>
        </w:rPr>
      </w:pPr>
      <w:r>
        <w:rPr>
          <w:rFonts w:ascii="Times New Roman" w:hAnsi="Times New Roman"/>
          <w:i/>
          <w:caps w:val="false"/>
          <w:smallCaps w:val="false"/>
          <w:sz w:val="20"/>
        </w:rPr>
        <w:t>Reverse stock split</w:t>
      </w:r>
    </w:p>
    <w:p>
      <w:pPr>
        <w:pStyle w:val="TextBody"/>
        <w:spacing w:before="0" w:after="0"/>
        <w:ind w:left="16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On March 23, 2023, the Company filed Articles of Amendment with the Secretary of State of the State of Minnesota to effectuate, effective March 27, 2023, a one-for-three stock split of the shares of the Company's common stock, par value $0.01 per share.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As a result of the reverse stock split, effective 12:01 am on March 27, 2023, every three shares of common stock then-issued and outstanding automatically combined into one share of common stock, with no change in par value per share.  No fractional shares were outstanding following the reverse stock split and any fractional shares resulting from the reverse split were rounded up to the nearest whole share of common stock.  In connection with the reverse stock split, the total number of shares of common stock authorized for issuance was reduced from 200,000,000 shares to 66,666,666 shares in proportion to the reverse stock split.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Effective as of the same time as the reverse stock split, the number of shares of common stock available for issuance under the Company's equity compensation plans were reduced in proportion to the reverse stock split.  The reverse stock split also resulted in the number of shares of shares of common stock issuable upon exercise of outstanding warrants, or the exercise or vesting of equity awards, in proportion to the reverse stock split and caused a proportionate increase in exercise price or share-based performance criteria, where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160" w:right="0" w:hanging="0"/>
        <w:rPr>
          <w:rFonts w:ascii="Times New Roman" w:hAnsi="Times New Roman"/>
          <w:i/>
          <w:caps w:val="false"/>
          <w:smallCaps w:val="false"/>
          <w:sz w:val="20"/>
        </w:rPr>
      </w:pPr>
      <w:r>
        <w:rPr>
          <w:rFonts w:ascii="Times New Roman" w:hAnsi="Times New Roman"/>
          <w:i/>
          <w:caps w:val="false"/>
          <w:smallCaps w:val="false"/>
          <w:sz w:val="20"/>
        </w:rPr>
        <w:t>Rejection of unsolicited offer</w:t>
      </w:r>
    </w:p>
    <w:p>
      <w:pPr>
        <w:pStyle w:val="TextBody"/>
        <w:spacing w:before="0" w:after="0"/>
        <w:ind w:left="16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On February 2, 2023, we received an unsolicited proposal from Pegasus Capital Advisors, L.P., on behalf of itself and certain of its affiliates, including Slipstream (collectively, “Pegasus”), to acquire all of the outstanding shares of common stock of the Company that are not owned by Pegasus for a purchase price of $0.83 per share (or, as a result of our recent reverse stock split, $2.49 per share) in cash. Pegasus is the beneficial owner of our common stock owned of record by Slipstream. The Special Committee of the Company’s Board of Directors (the “Special Committee”) has concluded that such proposal undervalues the Company based on the Special Committee’s views of the intrinsic value of the Company’s existing business and current and future prospects, and is not in the best interests of the Company’s existing shareholders. Consequently, the Special Committee has advised Pegasus that it has rejected the proposal.</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Pegasus may or may not determine to revise its proposal. The Special Committee remains available to evaluate and respond to a revised proposal by Pegasus. There can be no assurance that any revised proposal or definitive offer will be made or accepted, that any agreement will be executed, or that any transaction will be consummated.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Please see </w:t>
      </w:r>
      <w:hyperlink w:anchor="note8">
        <w:r>
          <w:rPr>
            <w:rStyle w:val="InternetLink"/>
            <w:rFonts w:ascii="Times New Roman" w:hAnsi="Times New Roman"/>
            <w:caps w:val="false"/>
            <w:smallCaps w:val="false"/>
            <w:sz w:val="20"/>
          </w:rPr>
          <w:t xml:space="preserve">Note 8 </w:t>
        </w:r>
      </w:hyperlink>
      <w:hyperlink w:anchor="note8">
        <w:r>
          <w:rPr>
            <w:rStyle w:val="InternetLink"/>
            <w:rFonts w:ascii="Times New Roman" w:hAnsi="Times New Roman"/>
            <w:i/>
            <w:caps w:val="false"/>
            <w:smallCaps w:val="false"/>
            <w:sz w:val="20"/>
          </w:rPr>
          <w:t>Loans Payable</w:t>
        </w:r>
      </w:hyperlink>
      <w:r>
        <w:rPr>
          <w:rFonts w:ascii="Times New Roman" w:hAnsi="Times New Roman"/>
          <w:caps w:val="false"/>
          <w:smallCaps w:val="false"/>
          <w:sz w:val="20"/>
        </w:rPr>
        <w:t>, </w:t>
      </w:r>
      <w:hyperlink w:anchor="note10">
        <w:r>
          <w:rPr>
            <w:rStyle w:val="InternetLink"/>
            <w:rFonts w:ascii="Times New Roman" w:hAnsi="Times New Roman"/>
            <w:caps w:val="false"/>
            <w:smallCaps w:val="false"/>
            <w:sz w:val="20"/>
          </w:rPr>
          <w:t>Note 10 </w:t>
        </w:r>
      </w:hyperlink>
      <w:hyperlink w:anchor="note10">
        <w:r>
          <w:rPr>
            <w:rStyle w:val="InternetLink"/>
            <w:rFonts w:ascii="Times New Roman" w:hAnsi="Times New Roman"/>
            <w:i/>
            <w:caps w:val="false"/>
            <w:smallCaps w:val="false"/>
            <w:sz w:val="20"/>
          </w:rPr>
          <w:t>Business Combinations</w:t>
        </w:r>
      </w:hyperlink>
      <w:r>
        <w:rPr>
          <w:rFonts w:ascii="Times New Roman" w:hAnsi="Times New Roman"/>
          <w:caps w:val="false"/>
          <w:smallCaps w:val="false"/>
          <w:sz w:val="20"/>
        </w:rPr>
        <w:t xml:space="preserve">, </w:t>
      </w:r>
      <w:hyperlink w:anchor="note12">
        <w:r>
          <w:rPr>
            <w:rStyle w:val="InternetLink"/>
            <w:rFonts w:ascii="Times New Roman" w:hAnsi="Times New Roman"/>
            <w:caps w:val="false"/>
            <w:smallCaps w:val="false"/>
            <w:sz w:val="20"/>
          </w:rPr>
          <w:t xml:space="preserve">Note 12 </w:t>
        </w:r>
      </w:hyperlink>
      <w:hyperlink w:anchor="note12">
        <w:r>
          <w:rPr>
            <w:rStyle w:val="InternetLink"/>
            <w:rFonts w:ascii="Times New Roman" w:hAnsi="Times New Roman"/>
            <w:i/>
            <w:caps w:val="false"/>
            <w:smallCaps w:val="false"/>
            <w:sz w:val="20"/>
          </w:rPr>
          <w:t>Warrants</w:t>
        </w:r>
      </w:hyperlink>
      <w:r>
        <w:rPr>
          <w:rFonts w:ascii="Times New Roman" w:hAnsi="Times New Roman"/>
          <w:caps w:val="false"/>
          <w:smallCaps w:val="false"/>
          <w:sz w:val="20"/>
        </w:rPr>
        <w:t xml:space="preserve">, and </w:t>
      </w:r>
      <w:hyperlink w:anchor="note13">
        <w:r>
          <w:rPr>
            <w:rStyle w:val="InternetLink"/>
            <w:rFonts w:ascii="Times New Roman" w:hAnsi="Times New Roman"/>
            <w:caps w:val="false"/>
            <w:smallCaps w:val="false"/>
            <w:sz w:val="20"/>
          </w:rPr>
          <w:t xml:space="preserve">Note 13 </w:t>
        </w:r>
      </w:hyperlink>
      <w:hyperlink w:anchor="note13">
        <w:r>
          <w:rPr>
            <w:rStyle w:val="InternetLink"/>
            <w:rFonts w:ascii="Times New Roman" w:hAnsi="Times New Roman"/>
            <w:i/>
            <w:caps w:val="false"/>
            <w:smallCaps w:val="false"/>
            <w:sz w:val="20"/>
          </w:rPr>
          <w:t>Stock-based Compensation</w:t>
        </w:r>
      </w:hyperlink>
      <w:r>
        <w:rPr>
          <w:rFonts w:ascii="Times New Roman" w:hAnsi="Times New Roman"/>
          <w:caps w:val="false"/>
          <w:smallCaps w:val="false"/>
          <w:sz w:val="20"/>
        </w:rPr>
        <w:t xml:space="preserve"> to the Company’s Consolidated Financial Statements contained in this Report for a description of other recent developments of the Company that occurred during, and subsequent to, the year ended December 31, 2022.</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Our management is responsible for our financial statements and has evaluated the accounting policies to be used in their preparation. Our management believes these policies are reasonable and appropriate. The Company’s significant accounting policies are described in </w:t>
      </w:r>
      <w:hyperlink w:anchor="note2">
        <w:r>
          <w:rPr>
            <w:rStyle w:val="InternetLink"/>
            <w:rFonts w:ascii="Times New Roman" w:hAnsi="Times New Roman"/>
            <w:caps w:val="false"/>
            <w:smallCaps w:val="false"/>
            <w:sz w:val="20"/>
          </w:rPr>
          <w:t xml:space="preserve">Note 2 </w:t>
        </w:r>
      </w:hyperlink>
      <w:hyperlink w:anchor="note2">
        <w:r>
          <w:rPr>
            <w:rStyle w:val="InternetLink"/>
            <w:rFonts w:ascii="Times New Roman" w:hAnsi="Times New Roman"/>
            <w:i/>
            <w:caps w:val="false"/>
            <w:smallCaps w:val="false"/>
            <w:sz w:val="20"/>
          </w:rPr>
          <w:t>Summary of Significant Accounting Policies</w:t>
        </w:r>
      </w:hyperlink>
      <w:r>
        <w:rPr>
          <w:rFonts w:ascii="Times New Roman" w:hAnsi="Times New Roman"/>
          <w:caps w:val="false"/>
          <w:smallCaps w:val="false"/>
          <w:sz w:val="20"/>
        </w:rPr>
        <w:t> of the Company’s Consolidated Financial Statements included within Part II, ITEM 8 of this Annual Report. The following discussion identifies those accounting policies that we believe are critical in the preparation of our financial statements, the judgments and uncertainties affecting the application of those policies and the possibility that materially different amounts will be reported under different conditions or using different assumptions.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that management make estimates and assumptions that affect the reported amounts of assets and liabilities and disclosure of commitments and contingencies at the date of the financial statements and the reported amounts of revenues and expenses during the reporting period. Our actual results could differ from those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recognized revenue in accordance with Financial Accounting Standards Board (“FASB”) Accounting Standards Codification (“ASC”)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606”). Under ASC 606, we account for revenue using the following steps:</w:t>
      </w:r>
    </w:p>
    <w:p>
      <w:pPr>
        <w:pStyle w:val="TextBody"/>
        <w:spacing w:before="0" w:after="0"/>
        <w:ind w:left="0" w:right="0" w:hanging="0"/>
        <w:rPr>
          <w:caps w:val="false"/>
          <w:smallCaps w:val="false"/>
        </w:rPr>
      </w:pPr>
      <w:r>
        <w:rPr>
          <w:caps w:val="false"/>
          <w:smallCaps w:val="false"/>
        </w:rPr>
        <w:t> </w:t>
      </w:r>
    </w:p>
    <w:tbl>
      <w:tblPr>
        <w:tblW w:w="4300" w:type="dxa"/>
        <w:jc w:val="left"/>
        <w:tblInd w:w="0" w:type="dxa"/>
        <w:tblCellMar>
          <w:top w:w="0" w:type="dxa"/>
          <w:left w:w="0" w:type="dxa"/>
          <w:bottom w:w="0" w:type="dxa"/>
          <w:right w:w="0" w:type="dxa"/>
        </w:tblCellMar>
      </w:tblPr>
      <w:tblGrid>
        <w:gridCol w:w="60"/>
        <w:gridCol w:w="170"/>
        <w:gridCol w:w="40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07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Identify the contract, or contracts, with a customer</w:t>
            </w:r>
          </w:p>
        </w:tc>
      </w:tr>
    </w:tbl>
    <w:p>
      <w:pPr>
        <w:pStyle w:val="TextBody"/>
        <w:spacing w:before="0" w:after="0"/>
        <w:ind w:left="0" w:right="0" w:hanging="0"/>
        <w:rPr/>
      </w:pPr>
      <w:r>
        <w:rPr/>
        <w:t> </w:t>
      </w:r>
    </w:p>
    <w:tbl>
      <w:tblPr>
        <w:tblW w:w="4435" w:type="dxa"/>
        <w:jc w:val="left"/>
        <w:tblInd w:w="0" w:type="dxa"/>
        <w:tblCellMar>
          <w:top w:w="0" w:type="dxa"/>
          <w:left w:w="0" w:type="dxa"/>
          <w:bottom w:w="0" w:type="dxa"/>
          <w:right w:w="0" w:type="dxa"/>
        </w:tblCellMar>
      </w:tblPr>
      <w:tblGrid>
        <w:gridCol w:w="60"/>
        <w:gridCol w:w="170"/>
        <w:gridCol w:w="42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20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Identify the performance obligations in the contract</w:t>
            </w:r>
          </w:p>
        </w:tc>
      </w:tr>
    </w:tbl>
    <w:p>
      <w:pPr>
        <w:pStyle w:val="TextBody"/>
        <w:spacing w:before="0" w:after="0"/>
        <w:ind w:left="0" w:right="0" w:hanging="0"/>
        <w:rPr/>
      </w:pPr>
      <w:r>
        <w:rPr/>
        <w:t> </w:t>
      </w:r>
    </w:p>
    <w:tbl>
      <w:tblPr>
        <w:tblW w:w="2785" w:type="dxa"/>
        <w:jc w:val="left"/>
        <w:tblInd w:w="0" w:type="dxa"/>
        <w:tblCellMar>
          <w:top w:w="0" w:type="dxa"/>
          <w:left w:w="0" w:type="dxa"/>
          <w:bottom w:w="0" w:type="dxa"/>
          <w:right w:w="0" w:type="dxa"/>
        </w:tblCellMar>
      </w:tblPr>
      <w:tblGrid>
        <w:gridCol w:w="60"/>
        <w:gridCol w:w="170"/>
        <w:gridCol w:w="25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55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Determine the transaction price</w:t>
            </w:r>
          </w:p>
        </w:tc>
      </w:tr>
    </w:tbl>
    <w:p>
      <w:pPr>
        <w:pStyle w:val="TextBody"/>
        <w:spacing w:before="0" w:after="0"/>
        <w:ind w:left="0" w:right="0" w:hanging="0"/>
        <w:rPr/>
      </w:pPr>
      <w:r>
        <w:rPr/>
        <w:t> </w:t>
      </w:r>
    </w:p>
    <w:tbl>
      <w:tblPr>
        <w:tblW w:w="6010" w:type="dxa"/>
        <w:jc w:val="left"/>
        <w:tblInd w:w="0" w:type="dxa"/>
        <w:tblCellMar>
          <w:top w:w="0" w:type="dxa"/>
          <w:left w:w="0" w:type="dxa"/>
          <w:bottom w:w="0" w:type="dxa"/>
          <w:right w:w="0" w:type="dxa"/>
        </w:tblCellMar>
      </w:tblPr>
      <w:tblGrid>
        <w:gridCol w:w="60"/>
        <w:gridCol w:w="170"/>
        <w:gridCol w:w="57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78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Allocate the transaction price to the identified performance obligations</w:t>
            </w:r>
          </w:p>
        </w:tc>
      </w:tr>
    </w:tbl>
    <w:p>
      <w:pPr>
        <w:pStyle w:val="TextBody"/>
        <w:spacing w:before="0" w:after="0"/>
        <w:ind w:left="0" w:right="0" w:hanging="0"/>
        <w:rPr/>
      </w:pPr>
      <w:r>
        <w:rPr/>
        <w:t> </w:t>
      </w:r>
    </w:p>
    <w:tbl>
      <w:tblPr>
        <w:tblW w:w="5980" w:type="dxa"/>
        <w:jc w:val="left"/>
        <w:tblInd w:w="0" w:type="dxa"/>
        <w:tblCellMar>
          <w:top w:w="0" w:type="dxa"/>
          <w:left w:w="0" w:type="dxa"/>
          <w:bottom w:w="0" w:type="dxa"/>
          <w:right w:w="0" w:type="dxa"/>
        </w:tblCellMar>
      </w:tblPr>
      <w:tblGrid>
        <w:gridCol w:w="60"/>
        <w:gridCol w:w="170"/>
        <w:gridCol w:w="57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75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 revenue when, or as, we satisfy our performance obligations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See </w:t>
      </w:r>
      <w:hyperlink w:anchor="note2">
        <w:r>
          <w:rPr>
            <w:rStyle w:val="InternetLink"/>
            <w:rFonts w:ascii="Times New Roman" w:hAnsi="Times New Roman"/>
            <w:caps w:val="false"/>
            <w:smallCaps w:val="false"/>
            <w:sz w:val="20"/>
          </w:rPr>
          <w:t xml:space="preserve">Note 2 </w:t>
        </w:r>
      </w:hyperlink>
      <w:hyperlink w:anchor="note2">
        <w:r>
          <w:rPr>
            <w:rStyle w:val="InternetLink"/>
            <w:rFonts w:ascii="Times New Roman" w:hAnsi="Times New Roman"/>
            <w:i/>
            <w:caps w:val="false"/>
            <w:smallCaps w:val="false"/>
            <w:sz w:val="20"/>
          </w:rPr>
          <w:t>Summary of Significant Accounting Policies</w:t>
        </w:r>
      </w:hyperlink>
      <w:r>
        <w:rPr>
          <w:rFonts w:ascii="Times New Roman" w:hAnsi="Times New Roman"/>
          <w:caps w:val="false"/>
          <w:smallCaps w:val="false"/>
          <w:sz w:val="20"/>
        </w:rPr>
        <w:t xml:space="preserve"> and </w:t>
      </w:r>
      <w:hyperlink w:anchor="note4">
        <w:r>
          <w:rPr>
            <w:rStyle w:val="InternetLink"/>
            <w:rFonts w:ascii="Times New Roman" w:hAnsi="Times New Roman"/>
            <w:caps w:val="false"/>
            <w:smallCaps w:val="false"/>
            <w:sz w:val="20"/>
          </w:rPr>
          <w:t xml:space="preserve">Note 4 </w:t>
        </w:r>
      </w:hyperlink>
      <w:hyperlink w:anchor="note4">
        <w:r>
          <w:rPr>
            <w:rStyle w:val="InternetLink"/>
            <w:rFonts w:ascii="Times New Roman" w:hAnsi="Times New Roman"/>
            <w:i/>
            <w:caps w:val="false"/>
            <w:smallCaps w:val="false"/>
            <w:sz w:val="20"/>
          </w:rPr>
          <w:t>Revenue Recognition</w:t>
        </w:r>
      </w:hyperlink>
      <w:r>
        <w:rPr>
          <w:rFonts w:ascii="Times New Roman" w:hAnsi="Times New Roman"/>
          <w:i/>
          <w:caps w:val="false"/>
          <w:smallCaps w:val="false"/>
          <w:sz w:val="20"/>
        </w:rPr>
        <w:t xml:space="preserve"> </w:t>
      </w:r>
      <w:r>
        <w:rPr>
          <w:rFonts w:ascii="Times New Roman" w:hAnsi="Times New Roman"/>
          <w:caps w:val="false"/>
          <w:smallCaps w:val="false"/>
          <w:sz w:val="20"/>
        </w:rPr>
        <w:t>in our Consolidated Financial Statements, included in Part II, ITEM 8 of this Annual Report, for a complete discussion of our revenue recognition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Allowance for Doubtful Accounts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have not made any material changes in the accounting methodology we use to measure the estimated liability for doubtful accounts during the past two fiscal years. The Company’s methodology for calculating the allowance for doubtful accounts consists of (1) reserving for specific receivables which (a) are known to be facing serious financial problems, (b) have a trade dispute with the Company, or (c) are significantly aged and/or unresponsive, and (2) a general reserve for unaged accounts receivable based on a percentage of revenue each period. We do not believe there is a reasonable likelihood that there will be a material change in the future estimates or assumptions we use to establish the liability for doubtful accounts. However, if actual results are not consistent with our estimates or assumptions, we may be exposed to losses or gains that could be material.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Goodwill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Goodwill is evaluated for impairment annually as of September 30 and whenever events or circumstances make it more likely than not that impairment may have occurred. We have no other indefinite-lived intangible assets. We test goodwill for impairment by comparing the book value to the fair value at the reporting unit level. We have only one reporting unit, and therefore the entire goodwill is allocated to that reporting unit. The fair value of the reporting unit is determined by using a discounted cash flow analyses consisting of various assumptions, including expectations of future cash flows based on projections or forecasts derived from analysis of business prospects and economic or market trends that may occur. We use these same expectations in other valuation models throughout the business. In addition to the discounted cash flow analysis, we utilize a leveraged buy-out model, trading comps and market capitalization to ultimately determine an estimated fair value of our reporting unit based on weighted average calculations from these models. We base our fair value estimates on assumptions we believe to be reasonable but that are unpredictable and inherently uncertain. If the carrying amount exceeds the fair value, further analysis is performed to measure the impairment loss.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 addition, our market capitalization could fluctuate from time to time. Such fluctuation may be an indicator of possible impairment of goodwill if our market capitalization falls below its book value. If this situation occurs, we perform the required detailed analysis to determine if there is impairment.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 impairment was recorded as a result of our annual assessment completed as of September 30, 2022.  At December 31, 2022, we concluded the decline in our market value represented an interim indicator of potential impairment.  Based on a quantitative assessment of our fair value performed at December 31, 2022, using the same approach as our annual impairment performed at September 30, described above, we concluded that the carrying value of our goodwill did not exceed the reporting unit fair value.  There was no impairment during the year-ended December 31, 2022.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valuation of goodwill is subject to a high degree of judgment, uncertainty and complexity. We do not believe there is a reasonable likelihood that there will be a material change in the future estimates or assumptions we use to test for impairment losses on goodwill. However, if actual results are not consistent with our estimates or assumptions, we may be exposed to an impairment charge that could be material.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Accounting for income taxes requires recognition of deferred tax liabilities and assets for the expected future tax consequences of events that have been included in the financial statements or tax returns. Under this method, deferred tax assets and liabilities are determined based on the difference between the financial statement and tax bases of assets and liabilities. These deferred taxes are measured by applying the provisions of tax laws in effect at the balance sheet date, including the impact of the Tax Cuts and Jobs Act (the “Tax Act”) enacted on December 22, 2017.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recognize in income the effect of a change in tax rates on deferred tax assets and liabilities in the period that includes the enactment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As of December 31, 2022, a full valuation allowance is recorded against our deferred tax. The valuation allowance is based, in part, on our estimate of future taxable income, the expected utilization of federal and state tax loss carryforwards, and credits and the expiration dates of such tax loss carryforwards. Significant assumptions are used in developing the analysis of future taxable income for purposes of determining the valuation allowance for deferred tax assets which, in our opinion, are reasonable under the circumstances.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Impact of Recently Issued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Refer to </w:t>
      </w:r>
      <w:hyperlink w:anchor="note3">
        <w:r>
          <w:rPr>
            <w:rStyle w:val="InternetLink"/>
            <w:rFonts w:ascii="Times New Roman" w:hAnsi="Times New Roman"/>
            <w:caps w:val="false"/>
            <w:smallCaps w:val="false"/>
            <w:sz w:val="20"/>
          </w:rPr>
          <w:t xml:space="preserve">Note 3 </w:t>
        </w:r>
      </w:hyperlink>
      <w:hyperlink w:anchor="note3">
        <w:r>
          <w:rPr>
            <w:rStyle w:val="InternetLink"/>
            <w:rFonts w:ascii="Times New Roman" w:hAnsi="Times New Roman"/>
            <w:i/>
            <w:caps w:val="false"/>
            <w:smallCaps w:val="false"/>
            <w:sz w:val="20"/>
          </w:rPr>
          <w:t>Recently Issued Accounting Pronouncements</w:t>
        </w:r>
      </w:hyperlink>
      <w:r>
        <w:rPr>
          <w:rFonts w:ascii="Times New Roman" w:hAnsi="Times New Roman"/>
          <w:i/>
          <w:caps w:val="false"/>
          <w:smallCaps w:val="false"/>
          <w:sz w:val="20"/>
        </w:rPr>
        <w:t xml:space="preserve"> </w:t>
      </w:r>
      <w:r>
        <w:rPr>
          <w:rFonts w:ascii="Times New Roman" w:hAnsi="Times New Roman"/>
          <w:caps w:val="false"/>
          <w:smallCaps w:val="false"/>
          <w:sz w:val="20"/>
        </w:rPr>
        <w:t>in our Consolidated Financial Statements included in Part II, ITEM 8 of this Annual Report, for a full description of recent accounting pronouncements, including the expected dates of adoption and estimated effects on results of operations and financial condition, which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Times New Roman" w:hAnsi="Times New Roman"/>
          <w:i/>
          <w:caps w:val="false"/>
          <w:smallCaps w:val="false"/>
          <w:sz w:val="20"/>
        </w:rPr>
      </w:pPr>
      <w:r>
        <w:rPr>
          <w:rFonts w:ascii="Times New Roman" w:hAnsi="Times New Roman"/>
          <w:i/>
          <w:caps w:val="false"/>
          <w:smallCaps w:val="false"/>
          <w:sz w:val="20"/>
        </w:rPr>
        <w:t>Note: All dollar amounts reported in Results of Operations are in thousands, except per-share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Year Ended December 31, 2022 Compared to Year Ended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tables presented below compare our results of operations from one period to another, and present the results for each period and the change in those results from one period to another in both dollars and percentage change.</w:t>
      </w:r>
    </w:p>
    <w:p>
      <w:pPr>
        <w:pStyle w:val="TextBody"/>
        <w:spacing w:before="0" w:after="0"/>
        <w:ind w:left="0" w:right="0" w:hanging="0"/>
        <w:rPr>
          <w:caps w:val="false"/>
          <w:smallCaps w:val="false"/>
        </w:rPr>
      </w:pPr>
      <w:r>
        <w:rPr>
          <w:caps w:val="false"/>
          <w:smallCaps w:val="false"/>
        </w:rPr>
        <w:t> </w:t>
      </w:r>
    </w:p>
    <w:tbl>
      <w:tblPr>
        <w:tblW w:w="7284" w:type="dxa"/>
        <w:jc w:val="left"/>
        <w:tblInd w:w="0" w:type="dxa"/>
        <w:tblCellMar>
          <w:top w:w="0" w:type="dxa"/>
          <w:left w:w="0" w:type="dxa"/>
          <w:bottom w:w="0" w:type="dxa"/>
          <w:right w:w="0" w:type="dxa"/>
        </w:tblCellMar>
      </w:tblPr>
      <w:tblGrid>
        <w:gridCol w:w="3365"/>
        <w:gridCol w:w="60"/>
        <w:gridCol w:w="177"/>
        <w:gridCol w:w="836"/>
        <w:gridCol w:w="113"/>
        <w:gridCol w:w="85"/>
        <w:gridCol w:w="177"/>
        <w:gridCol w:w="836"/>
        <w:gridCol w:w="80"/>
        <w:gridCol w:w="60"/>
        <w:gridCol w:w="125"/>
        <w:gridCol w:w="590"/>
        <w:gridCol w:w="80"/>
        <w:gridCol w:w="60"/>
        <w:gridCol w:w="60"/>
        <w:gridCol w:w="395"/>
        <w:gridCol w:w="185"/>
      </w:tblGrid>
      <w:tr>
        <w:trPr/>
        <w:tc>
          <w:tcPr>
            <w:tcW w:w="33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24"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1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spacing w:before="0" w:after="283"/>
              <w:rPr/>
            </w:pPr>
            <w:r>
              <w:rPr/>
              <w:t> </w:t>
            </w:r>
          </w:p>
        </w:tc>
      </w:tr>
      <w:tr>
        <w:trPr/>
        <w:tc>
          <w:tcPr>
            <w:tcW w:w="33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13"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ind w:left="0" w:right="0" w:hanging="0"/>
              <w:rPr/>
            </w:pPr>
            <w:r>
              <w:rPr/>
              <w:t> </w:t>
            </w:r>
          </w:p>
        </w:tc>
        <w:tc>
          <w:tcPr>
            <w:tcW w:w="101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55" w:type="dxa"/>
            <w:gridSpan w:val="2"/>
            <w:tcBorders>
              <w:bottom w:val="single" w:sz="2" w:space="0" w:color="000000"/>
            </w:tcBorders>
            <w:shd w:fill="FFFFFF" w:val="clear"/>
            <w:tcMar>
              <w:bottom w:w="28" w:type="dxa"/>
            </w:tcMar>
            <w:vAlign w:val="center"/>
          </w:tcPr>
          <w:p>
            <w:pPr>
              <w:pStyle w:val="TableContents"/>
              <w:spacing w:before="0" w:after="283"/>
              <w:jc w:val="center"/>
              <w:rPr/>
            </w:pPr>
            <w:r>
              <w:rPr/>
              <w:t> </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Sales</w:t>
            </w:r>
          </w:p>
        </w:tc>
        <w:tc>
          <w:tcPr>
            <w:tcW w:w="60" w:type="dxa"/>
            <w:tcBorders/>
            <w:shd w:fill="CCEEFF" w:val="clear"/>
            <w:vAlign w:val="center"/>
          </w:tcPr>
          <w:p>
            <w:pPr>
              <w:pStyle w:val="TableContents"/>
              <w:spacing w:before="0" w:after="283"/>
              <w:ind w:left="0" w:right="0" w:hanging="0"/>
              <w:rPr/>
            </w:pPr>
            <w:r>
              <w:rPr/>
              <w:t> </w:t>
            </w:r>
          </w:p>
        </w:tc>
        <w:tc>
          <w:tcPr>
            <w:tcW w:w="17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43,350</w:t>
            </w:r>
          </w:p>
        </w:tc>
        <w:tc>
          <w:tcPr>
            <w:tcW w:w="113"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ind w:left="0" w:right="0" w:hanging="0"/>
              <w:rPr/>
            </w:pPr>
            <w:r>
              <w:rPr/>
              <w:t> </w:t>
            </w:r>
          </w:p>
        </w:tc>
        <w:tc>
          <w:tcPr>
            <w:tcW w:w="17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18,437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24,913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Cost of sales</w:t>
            </w:r>
          </w:p>
        </w:tc>
        <w:tc>
          <w:tcPr>
            <w:tcW w:w="60" w:type="dxa"/>
            <w:tcBorders/>
            <w:shd w:fill="FFFFFF" w:val="clear"/>
            <w:vAlign w:val="center"/>
          </w:tcPr>
          <w:p>
            <w:pPr>
              <w:pStyle w:val="TableContents"/>
              <w:spacing w:before="0" w:after="283"/>
              <w:rPr/>
            </w:pPr>
            <w:r>
              <w:rPr/>
              <w:t> </w:t>
            </w:r>
          </w:p>
        </w:tc>
        <w:tc>
          <w:tcPr>
            <w:tcW w:w="17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25,611</w:t>
            </w:r>
          </w:p>
        </w:tc>
        <w:tc>
          <w:tcPr>
            <w:tcW w:w="113"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c>
          <w:tcPr>
            <w:tcW w:w="17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10,080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15,531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154</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Gross profit</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17,739</w:t>
            </w:r>
          </w:p>
        </w:tc>
        <w:tc>
          <w:tcPr>
            <w:tcW w:w="113"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8,357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9,382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Sales and marketing expenses</w:t>
            </w:r>
          </w:p>
        </w:tc>
        <w:tc>
          <w:tcPr>
            <w:tcW w:w="60"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3,651</w:t>
            </w:r>
          </w:p>
        </w:tc>
        <w:tc>
          <w:tcPr>
            <w:tcW w:w="113"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217</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Research and development expenses</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1,251</w:t>
            </w:r>
          </w:p>
        </w:tc>
        <w:tc>
          <w:tcPr>
            <w:tcW w:w="113"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127</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General and administrative expenses</w:t>
            </w:r>
          </w:p>
        </w:tc>
        <w:tc>
          <w:tcPr>
            <w:tcW w:w="60"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11,892</w:t>
            </w:r>
          </w:p>
        </w:tc>
        <w:tc>
          <w:tcPr>
            <w:tcW w:w="113"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4,571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Depreciation and amortization expense</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2,833</w:t>
            </w:r>
          </w:p>
        </w:tc>
        <w:tc>
          <w:tcPr>
            <w:tcW w:w="113"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Deal and transaction</w:t>
            </w:r>
          </w:p>
        </w:tc>
        <w:tc>
          <w:tcPr>
            <w:tcW w:w="60" w:type="dxa"/>
            <w:tcBorders/>
            <w:shd w:fill="FFFFFF" w:val="clear"/>
            <w:vAlign w:val="center"/>
          </w:tcPr>
          <w:p>
            <w:pPr>
              <w:pStyle w:val="TableContents"/>
              <w:spacing w:before="0" w:after="283"/>
              <w:rPr/>
            </w:pPr>
            <w:r>
              <w:rPr/>
              <w:t> </w:t>
            </w:r>
          </w:p>
        </w:tc>
        <w:tc>
          <w:tcPr>
            <w:tcW w:w="17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592</w:t>
            </w:r>
          </w:p>
        </w:tc>
        <w:tc>
          <w:tcPr>
            <w:tcW w:w="113"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c>
          <w:tcPr>
            <w:tcW w:w="17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spacing w:before="0" w:after="283"/>
              <w:rPr/>
            </w:pPr>
            <w:r>
              <w:rPr/>
              <w:t> </w:t>
            </w:r>
          </w:p>
        </w:tc>
        <w:tc>
          <w:tcPr>
            <w:tcW w:w="17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20,219</w:t>
            </w:r>
          </w:p>
        </w:tc>
        <w:tc>
          <w:tcPr>
            <w:tcW w:w="113"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7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10,906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9,313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Operating loss</w:t>
            </w:r>
          </w:p>
        </w:tc>
        <w:tc>
          <w:tcPr>
            <w:tcW w:w="60"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(2,480</w:t>
            </w:r>
          </w:p>
        </w:tc>
        <w:tc>
          <w:tcPr>
            <w:tcW w:w="11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income/(expenses):</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95"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36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Interest expense</w:t>
            </w:r>
          </w:p>
        </w:tc>
        <w:tc>
          <w:tcPr>
            <w:tcW w:w="60"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(2,743</w:t>
            </w:r>
          </w:p>
        </w:tc>
        <w:tc>
          <w:tcPr>
            <w:tcW w:w="11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(1,938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241</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Change in fair value of warrant liability</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7,902</w:t>
            </w:r>
          </w:p>
        </w:tc>
        <w:tc>
          <w:tcPr>
            <w:tcW w:w="113"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7,902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Change in fair value of equity guarantee</w:t>
            </w:r>
          </w:p>
        </w:tc>
        <w:tc>
          <w:tcPr>
            <w:tcW w:w="60"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1,074</w:t>
            </w:r>
          </w:p>
        </w:tc>
        <w:tc>
          <w:tcPr>
            <w:tcW w:w="113"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 in fair value of Convertible Loan</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13"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 on debt waiver consent</w:t>
            </w:r>
          </w:p>
        </w:tc>
        <w:tc>
          <w:tcPr>
            <w:tcW w:w="60"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(1,212</w:t>
            </w:r>
          </w:p>
        </w:tc>
        <w:tc>
          <w:tcPr>
            <w:tcW w:w="11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 on warrant amendment</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(345</w:t>
            </w:r>
          </w:p>
        </w:tc>
        <w:tc>
          <w:tcPr>
            <w:tcW w:w="11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5"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ind w:left="0" w:right="0" w:hanging="0"/>
              <w:rPr/>
            </w:pPr>
            <w:r>
              <w:rPr/>
              <w:t> </w:t>
            </w:r>
          </w:p>
        </w:tc>
        <w:tc>
          <w:tcPr>
            <w:tcW w:w="8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Gain/(loss) on settlement of debt</w:t>
            </w:r>
          </w:p>
        </w:tc>
        <w:tc>
          <w:tcPr>
            <w:tcW w:w="60"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w:t>
            </w:r>
          </w:p>
        </w:tc>
        <w:tc>
          <w:tcPr>
            <w:tcW w:w="11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8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3,449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(3,686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 expense</w:t>
            </w:r>
          </w:p>
        </w:tc>
        <w:tc>
          <w:tcPr>
            <w:tcW w:w="60" w:type="dxa"/>
            <w:tcBorders/>
            <w:shd w:fill="CCEEFF" w:val="clear"/>
            <w:vAlign w:val="center"/>
          </w:tcPr>
          <w:p>
            <w:pPr>
              <w:pStyle w:val="TableContents"/>
              <w:spacing w:before="0" w:after="283"/>
              <w:rPr/>
            </w:pPr>
            <w:r>
              <w:rPr/>
              <w:t> </w:t>
            </w:r>
          </w:p>
        </w:tc>
        <w:tc>
          <w:tcPr>
            <w:tcW w:w="17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11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5" w:type="dxa"/>
            <w:tcBorders/>
            <w:shd w:fill="CCEEFF" w:val="clear"/>
            <w:vAlign w:val="center"/>
          </w:tcPr>
          <w:p>
            <w:pPr>
              <w:pStyle w:val="TableContents"/>
              <w:spacing w:before="0" w:after="283"/>
              <w:rPr/>
            </w:pPr>
            <w:r>
              <w:rPr/>
              <w:t> </w:t>
            </w:r>
          </w:p>
        </w:tc>
        <w:tc>
          <w:tcPr>
            <w:tcW w:w="17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other income/(expense)</w:t>
            </w:r>
          </w:p>
        </w:tc>
        <w:tc>
          <w:tcPr>
            <w:tcW w:w="60" w:type="dxa"/>
            <w:tcBorders/>
            <w:shd w:fill="FFFFFF" w:val="clear"/>
            <w:vAlign w:val="center"/>
          </w:tcPr>
          <w:p>
            <w:pPr>
              <w:pStyle w:val="TableContents"/>
              <w:spacing w:before="0" w:after="283"/>
              <w:rPr/>
            </w:pPr>
            <w:r>
              <w:rPr/>
              <w:t> </w:t>
            </w:r>
          </w:p>
        </w:tc>
        <w:tc>
          <w:tcPr>
            <w:tcW w:w="17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4,435</w:t>
            </w:r>
          </w:p>
        </w:tc>
        <w:tc>
          <w:tcPr>
            <w:tcW w:w="113"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c>
          <w:tcPr>
            <w:tcW w:w="17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2,803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1,632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income before income taxes</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1,955</w:t>
            </w:r>
          </w:p>
        </w:tc>
        <w:tc>
          <w:tcPr>
            <w:tcW w:w="113"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83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254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1,701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9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670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36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Income tax expense</w:t>
            </w:r>
          </w:p>
        </w:tc>
        <w:tc>
          <w:tcPr>
            <w:tcW w:w="60" w:type="dxa"/>
            <w:tcBorders/>
            <w:shd w:fill="FFFFFF" w:val="clear"/>
            <w:vAlign w:val="center"/>
          </w:tcPr>
          <w:p>
            <w:pPr>
              <w:pStyle w:val="TableContents"/>
              <w:spacing w:before="0" w:after="283"/>
              <w:rPr/>
            </w:pPr>
            <w:r>
              <w:rPr/>
              <w:t> </w:t>
            </w:r>
          </w:p>
        </w:tc>
        <w:tc>
          <w:tcPr>
            <w:tcW w:w="17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w:t>
            </w:r>
          </w:p>
        </w:tc>
        <w:tc>
          <w:tcPr>
            <w:tcW w:w="11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spacing w:before="0" w:after="283"/>
              <w:rPr/>
            </w:pPr>
            <w:r>
              <w:rPr/>
              <w:t> </w:t>
            </w:r>
          </w:p>
        </w:tc>
        <w:tc>
          <w:tcPr>
            <w:tcW w:w="17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w:t>
            </w:r>
          </w:p>
        </w:tc>
        <w:tc>
          <w:tcPr>
            <w:tcW w:w="18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income</w:t>
            </w:r>
          </w:p>
        </w:tc>
        <w:tc>
          <w:tcPr>
            <w:tcW w:w="60" w:type="dxa"/>
            <w:tcBorders/>
            <w:shd w:fill="CCEEFF" w:val="clear"/>
            <w:vAlign w:val="center"/>
          </w:tcPr>
          <w:p>
            <w:pPr>
              <w:pStyle w:val="TableContents"/>
              <w:spacing w:before="0" w:after="0"/>
              <w:ind w:left="0" w:right="0" w:hanging="0"/>
              <w:rPr/>
            </w:pPr>
            <w:r>
              <w:rPr/>
              <w:t> </w:t>
            </w:r>
          </w:p>
        </w:tc>
        <w:tc>
          <w:tcPr>
            <w:tcW w:w="17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1,876</w:t>
            </w:r>
          </w:p>
        </w:tc>
        <w:tc>
          <w:tcPr>
            <w:tcW w:w="113" w:type="dxa"/>
            <w:tcBorders/>
            <w:shd w:fill="CCEEFF" w:val="clear"/>
            <w:vAlign w:val="center"/>
          </w:tcPr>
          <w:p>
            <w:pPr>
              <w:pStyle w:val="TableContents"/>
              <w:spacing w:before="0" w:after="0"/>
              <w:ind w:left="0" w:right="0" w:hanging="0"/>
              <w:rPr/>
            </w:pPr>
            <w:r>
              <w:rPr/>
              <w:t> </w:t>
            </w:r>
          </w:p>
        </w:tc>
        <w:tc>
          <w:tcPr>
            <w:tcW w:w="85" w:type="dxa"/>
            <w:tcBorders/>
            <w:shd w:fill="CCEEFF" w:val="clear"/>
            <w:vAlign w:val="center"/>
          </w:tcPr>
          <w:p>
            <w:pPr>
              <w:pStyle w:val="TableContents"/>
              <w:spacing w:before="0" w:after="0"/>
              <w:ind w:left="0" w:right="0" w:hanging="0"/>
              <w:rPr/>
            </w:pPr>
            <w:r>
              <w:rPr/>
              <w:t> </w:t>
            </w:r>
          </w:p>
        </w:tc>
        <w:tc>
          <w:tcPr>
            <w:tcW w:w="17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232</w:t>
            </w:r>
          </w:p>
        </w:tc>
        <w:tc>
          <w:tcPr>
            <w:tcW w:w="8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1,644</w:t>
            </w:r>
          </w:p>
        </w:tc>
        <w:tc>
          <w:tcPr>
            <w:tcW w:w="8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6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39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709</w:t>
            </w:r>
          </w:p>
        </w:tc>
        <w:tc>
          <w:tcPr>
            <w:tcW w:w="1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Sales increased by $24,913, or 135%, in 2022 as compared to 2021 driven in part by the acquisition of Reflect Systems, Inc. ("Reflect") via merger (the "Merger") on February 17, 2022, and the Company's successful sales activities as a combined company post-Merger.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Hardware revenues were $19,895 in 2022, an increase of $10,445 or 111%, as compared to the prior year.  The increase was driven by large scale LED deployments during the year by multiple customers and the acquisition of Reflect.  Services and other revenues were $23,455 in 2022, an increase of $14,468, driven by the acquisition of Reflect and the Company's successful sales activities post-Merger.  Managed services revenue, which includes both SaaS and help desk technical subscription services were $14,320 for the year ended December 31, 2022 as compared to $5,596 for the year ended December 31, 2021.  The increase is driven by the addition of Reflect's SaaS subscription revenue in the current year.  This represents a year-over-year growth rate of 156% in our higher margin, typically subscription-based, managed service revenue.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Gross profit increased $9,382 to $17,739 in 2022 from $8,357 in 2021, or 112%, through a combination of a 135% increase in revenue offset partially by a 4.4% reduction in gross margin percentage.  Gross margin decreased to 40.9% from 45.3% driven by (i) revenue mix during 2022 related to several material customer hardware rollouts in the year that had a lower gross profit margin than our software services and (ii) a $1,249 increase in our inventory reserve related to Safe Space Solutions. We are no longer actively promoting the sale of our Safe Space Solutions or purchasing inventory to support such solutions. We expect the contraction in gross margin to be less severe as we move beyond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Sales and Marketing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Sales and marketing expenses generally include the salaries, taxes, and benefits of our sales and marketing personnel, as well as trade show activities, travel, and other related sales and marketing costs. Sales and marketing expenses increased by $2,498, or 217%, for the year ended December 31, 2022 as compared to the same period in 2021 driven primarily by (i) the inclusion in the prior year of a benefit of $232 related Employee Retention Credits (“ERC”) related to the retention and payment of salaries to sales personnel throughout 2020 and the nine months ended September 30, 2021, (ii) the acquisition of Reflect via the Merger on February 17, 2022, and (iii) the Company’s enhanced investments into sales and marketing activities post-COVID-19 pandemic. Immediately following the Merger, the Company integrated the sales and marketing functions of the Company and Reflect and did not disaggregate expenses between the two legacy companies. Following the Merger and through integration activities, the Company adopted certain tools, technology, and processes – particularly with respect to lead generation and brand marketing – that the Company believes were undercapitalized historically by the Company. Additionally, the Company engaged an investor relations firm and has increased investor relations activities, including conferences and presentations. As a result, we expect the sales and marketing expenses of the Company for the year ended December 31, 2022 to adequately reflect the pace for spend in these areas in future reporting periods.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Research and development expenses generally include personnel and development tools costs associated with the continued development of the Company’s content management systems and other related application development. Research and development expenses increased by $701, or 127%, for the year ended December 31, 2022 as compared to the same period in 2021 driven primarily by (i) the inclusion in the prior year of a benefit of $196 related ERC, and (ii) the acquisition of Reflect via the Merger on February 17, 2022. Through the Merger, we acquired a fully staffed, experienced software development team and elected to keep that team in-tact, particularly given employment market conditions with respect to talented software engineers. We have integrated the pre-existing CRI development team with the acquired team and have experienced enhanced speed to market on new feature and functionality development activities from increasing this resource pool. We expect this elevated level of expense during the year ended December 31, 2022 to continue into the future as we develop our current and future product set.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General and administrative expenses increased $4,571, or 62%, driven primarily by (i) the inclusion in the prior year of a benefit of $694 related ERC, (ii) a prior period cash recovery of $555 related to a customer bankruptcy for which the Company previously recorded a reserve, and (iii) increased headcount and operations as a result of the acquisition of Reflect on February 17, 2022. While the Company anticipates carrying higher general and administrative expenses moving forward as a result of the acquisition and subsequent expansion in organic revenues, the Company continues to execute integration activities (including but not limited to consolidation of CMS tools, cloud hosting environments, IT tools, and rightsizing leases for office space) that we expect will be realized by the end of 2022 and into 2023.</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Depreciation and Amortization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Depreciation and amortization expenses increased by $1,469, or 108%, in 2022 compared to 2021. This was driven by the addition of $17,160 in amortizing intangible assets as a result of the Merger. Depreciation was consistent in both periods.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See </w:t>
      </w:r>
      <w:hyperlink w:anchor="note8">
        <w:r>
          <w:rPr>
            <w:rStyle w:val="InternetLink"/>
            <w:rFonts w:ascii="Times New Roman" w:hAnsi="Times New Roman"/>
            <w:caps w:val="false"/>
            <w:smallCaps w:val="false"/>
            <w:sz w:val="20"/>
          </w:rPr>
          <w:t xml:space="preserve">Note 8 </w:t>
        </w:r>
      </w:hyperlink>
      <w:hyperlink w:anchor="note8">
        <w:r>
          <w:rPr>
            <w:rStyle w:val="InternetLink"/>
            <w:rFonts w:ascii="Times New Roman" w:hAnsi="Times New Roman"/>
            <w:i/>
            <w:caps w:val="false"/>
            <w:smallCaps w:val="false"/>
            <w:sz w:val="20"/>
          </w:rPr>
          <w:t>Loans Payable</w:t>
        </w:r>
      </w:hyperlink>
      <w:r>
        <w:rPr>
          <w:rFonts w:ascii="Times New Roman" w:hAnsi="Times New Roman"/>
          <w:i/>
          <w:caps w:val="false"/>
          <w:smallCaps w:val="false"/>
          <w:sz w:val="20"/>
        </w:rPr>
        <w:t xml:space="preserve"> </w:t>
      </w:r>
      <w:r>
        <w:rPr>
          <w:rFonts w:ascii="Times New Roman" w:hAnsi="Times New Roman"/>
          <w:caps w:val="false"/>
          <w:smallCaps w:val="false"/>
          <w:sz w:val="20"/>
        </w:rPr>
        <w:t>to the Consolidated Financial Statements for a discussion of the Company’s debt and related interest expense obligations.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Changes in Fair Value of Warrant Liability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During the year ended December 31, 2022, the Company recorded a gain of $7,902 as the result of assessing the fair value of warrant liabilities associated with the Company’s issuance of warrants in its debt and equity offerings completed in February 2022 to finance the Merger. These warrants were initially assessed at fair value through Black Scholes calculation, with changes in fair value recognized at each period end.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Change in Fair Value of Equity Guarantee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Company has contingent consideration arrangements related to certain acquisitions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805-30-35-1 using a Monte Carlo simulation model. The change in the period represents the mark-to-market adjustment as of the balance sheet date.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Change in fair value of Convertible Loan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Company updated its fair value analysis of the Convertible Loan, resulting in a change in fair value of the Convertible Loan of $166, recognized during the year ended December 31, 2021.</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Loss on Debt Waiver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On February 17, 2022, in connection with obtaining a waiver of certain restrictions in investment documents between an investor and the Company in order to consummate the financing contemplated by the Company's credit agreement with Slipstream Communications, the Company paid consideration to such investor in the form of a warrant (the “Purchaser Warrant”) to purchase 466,667 shares of Company common stock in an at-the-market offering under Nasdaq rules. The number of shares of Company common stock subject to the Purchaser Warrant was equal to the waiver fee ($175) divided by $0.375 per share. The exercise price of the Purchaser Warrant is $4.23 per share, and the Purchaser Warrant became exercisable on August 17, 2022. The Purchaser Warrant expires five years from the date of issuance. At the date of issuance, the Company performed a Black-Scholes valuation of the Purchaser Warrant, resulting in a fair value of $2.5968 per warrant. In recording the warrant liability, the Company recorded an expense in the Consolidated Statement of Operations associated with the issuance of the Purchaser Warrant of $1,212.</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Loss on Warrant Amendment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Effective June 30, 2022, the Company amended the terms of certain of its outstanding warrants. The amendments to such warrants removed the holder’s option to determine the value of such warrants utilizing the volume weighted average price (“VWAP”) of the Company’s common stock on the trading day immediately preceding the date of a notice in a cashless exercise, and removed the condition to exercising such warrants that the Company’s shareholders approve the exercise thereof (which had already been obtained). The amendments to the warrants also extended the term of such warrants for an additional one year. As a result of the extension in term provided in exchange for the amendment, the Company reassessed the fair value of each of the affected warrants, resulting in the Company recording a loss on the fair value of these warrants of $345.</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 xml:space="preserve">Gain/Loss on Settlement of Obligations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On February 17, 2022, the Company refinanced its debt facilities with Slipstream. The Company assessed the combination of the pre-existing senior secured term loan and secured convertible loan in accordance with ASC 470 </w:t>
      </w:r>
      <w:r>
        <w:rPr>
          <w:rFonts w:ascii="Times New Roman" w:hAnsi="Times New Roman"/>
          <w:i/>
          <w:caps w:val="false"/>
          <w:smallCaps w:val="false"/>
          <w:sz w:val="20"/>
        </w:rPr>
        <w:t>Debt</w:t>
      </w:r>
      <w:r>
        <w:rPr>
          <w:rFonts w:ascii="Times New Roman" w:hAnsi="Times New Roman"/>
          <w:caps w:val="false"/>
          <w:smallCaps w:val="false"/>
          <w:sz w:val="20"/>
        </w:rPr>
        <w:t> and determined the transaction should be accounted for as an extinguishment, in part as the Consolidation Term Loan eliminated a substantive conversion feature. In aggregate the Company recorded a loss on extinguishment of $295, primarily associated with the write-off of pre-existing debt discounts.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On January 11, 2021, the Company received a notice from Old National Bank regarding forgiveness of the loan in the principal amount of $1,552 (the “PPP Loan”) that was made pursuant to the Small Business Administration Paycheck Protection Program under the Coronavirus Aid, Relief and Economic Security Act of 2020. According to such notice, the full principal amount of the PPP Loan and the accrued interest have been forgiven, resulting in a gain of $1,552 during the year ended December 31, 2021.</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On May 13, 2021, the Company and seller of Allure (“Seller”) entered into a settlement agreement wherein neither party admitted liability, and the Company agreed to pay, and Seller agreed to accept, $100 as settlement in full for the outstanding balance of principal and accrued interest under the Seller Note and a mutual release of all claims related to the Seller Note and Allure sale transaction under the Purchase Agreement and all related agreements.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As a result of this settlement, the full principal amount of the Seller Note and the accrued interest have been eliminated, resulting in a gain in the Consolidated Financial Statements of $1,624, representing $1,538 related to the Seller Note and $86 of related interest thereon, during the year ended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Supplemental Operating Results on a Non-GAAP Basis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following non-GAAP data, which adjusts for the categories of expenses described below, is a non-GAAP financial measure. Our management believes that this non-GAAP financial measure is useful information for investors, shareholders and other stakeholders of our Company in gauging our results of operations on an ongoing basis. We believe that EBITDA is a performance measure and not a liquidity measure, and therefore a reconciliation between net loss/income, a GAAP financial measure, and EBITDA and Adjusted EBITDA has been provided. EBITDA should not be considered as an alternative to net loss/income as an indicator of performance or as an alternative to cash flows from operating activities as an indicator of cash flows, in each case as determined in accordance with GAAP, or as a measure of liquidity. In addition, EBITDA does not take into account changes in certain assets and liabilities as well as interest and income taxes that can affect cash flows. We do not intend the presentation of these non-GAAP measures to be considered in isolation or as a substitute for results prepared in accordance with GAAP. These non-GAAP measures should be read only in conjunction with our Consolidated Financial Statements prepared in accordance with GAAP that are included elsewhere in this Annual Report.</w:t>
      </w:r>
    </w:p>
    <w:p>
      <w:pPr>
        <w:pStyle w:val="TextBody"/>
        <w:spacing w:before="0" w:after="0"/>
        <w:ind w:left="0" w:right="0" w:hanging="0"/>
        <w:rPr>
          <w:caps w:val="false"/>
          <w:smallCaps w:val="false"/>
        </w:rPr>
      </w:pPr>
      <w:r>
        <w:rPr>
          <w:caps w:val="false"/>
          <w:smallCaps w:val="false"/>
        </w:rPr>
        <w:t> </w:t>
      </w:r>
    </w:p>
    <w:tbl>
      <w:tblPr>
        <w:tblW w:w="9470" w:type="dxa"/>
        <w:jc w:val="left"/>
        <w:tblInd w:w="0" w:type="dxa"/>
        <w:tblCellMar>
          <w:top w:w="0" w:type="dxa"/>
          <w:left w:w="0" w:type="dxa"/>
          <w:bottom w:w="0" w:type="dxa"/>
          <w:right w:w="0" w:type="dxa"/>
        </w:tblCellMar>
      </w:tblPr>
      <w:tblGrid>
        <w:gridCol w:w="3740"/>
        <w:gridCol w:w="60"/>
        <w:gridCol w:w="191"/>
        <w:gridCol w:w="833"/>
        <w:gridCol w:w="80"/>
        <w:gridCol w:w="60"/>
        <w:gridCol w:w="218"/>
        <w:gridCol w:w="956"/>
        <w:gridCol w:w="80"/>
        <w:gridCol w:w="60"/>
        <w:gridCol w:w="249"/>
        <w:gridCol w:w="970"/>
        <w:gridCol w:w="80"/>
        <w:gridCol w:w="60"/>
        <w:gridCol w:w="135"/>
        <w:gridCol w:w="589"/>
        <w:gridCol w:w="80"/>
        <w:gridCol w:w="60"/>
        <w:gridCol w:w="166"/>
        <w:gridCol w:w="723"/>
        <w:gridCol w:w="80"/>
      </w:tblGrid>
      <w:tr>
        <w:trPr/>
        <w:tc>
          <w:tcPr>
            <w:tcW w:w="37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426"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Quarters Ended</w:t>
            </w:r>
          </w:p>
        </w:tc>
        <w:tc>
          <w:tcPr>
            <w:tcW w:w="80" w:type="dxa"/>
            <w:tcBorders/>
            <w:shd w:fill="FFFF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7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2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shd w:fill="FFFFFF" w:val="clear"/>
            <w:vAlign w:val="center"/>
          </w:tcPr>
          <w:p>
            <w:pPr>
              <w:pStyle w:val="TableContents"/>
              <w:spacing w:before="0" w:after="283"/>
              <w:rPr/>
            </w:pPr>
            <w:r>
              <w:rPr/>
              <w:t> </w:t>
            </w:r>
          </w:p>
        </w:tc>
      </w:tr>
      <w:tr>
        <w:trPr/>
        <w:tc>
          <w:tcPr>
            <w:tcW w:w="3740"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Quarters ended</w:t>
            </w:r>
          </w:p>
        </w:tc>
        <w:tc>
          <w:tcPr>
            <w:tcW w:w="60" w:type="dxa"/>
            <w:tcBorders/>
            <w:shd w:fill="FFFFFF" w:val="clear"/>
            <w:vAlign w:val="center"/>
          </w:tcPr>
          <w:p>
            <w:pPr>
              <w:pStyle w:val="TableContents"/>
              <w:spacing w:before="0" w:after="283"/>
              <w:ind w:left="0" w:right="0" w:hanging="0"/>
              <w:rPr/>
            </w:pPr>
            <w:r>
              <w:rPr/>
              <w:t> </w:t>
            </w:r>
          </w:p>
        </w:tc>
        <w:tc>
          <w:tcPr>
            <w:tcW w:w="102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2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GAAP net income (loss)</w:t>
            </w:r>
          </w:p>
        </w:tc>
        <w:tc>
          <w:tcPr>
            <w:tcW w:w="60" w:type="dxa"/>
            <w:tcBorders/>
            <w:shd w:fill="CCEEFF" w:val="clear"/>
            <w:vAlign w:val="center"/>
          </w:tcPr>
          <w:p>
            <w:pPr>
              <w:pStyle w:val="TableContents"/>
              <w:spacing w:before="0" w:after="283"/>
              <w:ind w:left="0" w:right="0" w:hanging="0"/>
              <w:rPr/>
            </w:pPr>
            <w:r>
              <w:rPr/>
              <w:t> </w:t>
            </w:r>
          </w:p>
        </w:tc>
        <w:tc>
          <w:tcPr>
            <w:tcW w:w="19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(1,334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24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3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2,502</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rPr/>
            </w:pPr>
            <w:r>
              <w:rPr/>
              <w:t> </w:t>
            </w:r>
          </w:p>
        </w:tc>
        <w:tc>
          <w:tcPr>
            <w:tcW w:w="95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97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rPr/>
            </w:pPr>
            <w:r>
              <w:rPr/>
              <w:t> </w:t>
            </w:r>
          </w:p>
        </w:tc>
        <w:tc>
          <w:tcPr>
            <w:tcW w:w="58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72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Amortization of debt discount</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9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ind w:left="0" w:right="0" w:hanging="0"/>
              <w:rPr/>
            </w:pPr>
            <w:r>
              <w:rPr/>
              <w:t> </w:t>
            </w:r>
          </w:p>
        </w:tc>
        <w:tc>
          <w:tcPr>
            <w:tcW w:w="9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5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 interest, net</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95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ind w:left="0" w:right="0" w:hanging="0"/>
              <w:rPr/>
            </w:pPr>
            <w:r>
              <w:rPr/>
              <w:t> </w:t>
            </w:r>
          </w:p>
        </w:tc>
        <w:tc>
          <w:tcPr>
            <w:tcW w:w="97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58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7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268</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Depreciation/amortization:</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589"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95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ind w:left="0" w:right="0" w:hanging="0"/>
              <w:rPr/>
            </w:pPr>
            <w:r>
              <w:rPr/>
              <w:t> </w:t>
            </w:r>
          </w:p>
        </w:tc>
        <w:tc>
          <w:tcPr>
            <w:tcW w:w="97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58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7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680</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Amortization of employee share-based awards</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9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ind w:left="0" w:right="0" w:hanging="0"/>
              <w:rPr/>
            </w:pPr>
            <w:r>
              <w:rPr/>
              <w:t> </w:t>
            </w:r>
          </w:p>
        </w:tc>
        <w:tc>
          <w:tcPr>
            <w:tcW w:w="9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5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469</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Depreciation of property and equipment</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95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ind w:left="0" w:right="0" w:hanging="0"/>
              <w:rPr/>
            </w:pPr>
            <w:r>
              <w:rPr/>
              <w:t> </w:t>
            </w:r>
          </w:p>
        </w:tc>
        <w:tc>
          <w:tcPr>
            <w:tcW w:w="97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58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7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Income tax expense/(benefit)</w:t>
            </w:r>
          </w:p>
        </w:tc>
        <w:tc>
          <w:tcPr>
            <w:tcW w:w="60" w:type="dxa"/>
            <w:tcBorders/>
            <w:shd w:fill="CCEEFF" w:val="clear"/>
            <w:vAlign w:val="center"/>
          </w:tcPr>
          <w:p>
            <w:pPr>
              <w:pStyle w:val="TableContents"/>
              <w:spacing w:before="0" w:after="283"/>
              <w:rPr/>
            </w:pPr>
            <w:r>
              <w:rPr/>
              <w:t> </w:t>
            </w:r>
          </w:p>
        </w:tc>
        <w:tc>
          <w:tcPr>
            <w:tcW w:w="1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3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8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2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EBITDA</w:t>
            </w:r>
          </w:p>
        </w:tc>
        <w:tc>
          <w:tcPr>
            <w:tcW w:w="60" w:type="dxa"/>
            <w:tcBorders/>
            <w:shd w:fill="FFFFFF" w:val="clear"/>
            <w:vAlign w:val="center"/>
          </w:tcPr>
          <w:p>
            <w:pPr>
              <w:pStyle w:val="TableContents"/>
              <w:spacing w:before="0" w:after="283"/>
              <w:ind w:left="0" w:right="0" w:hanging="0"/>
              <w:rPr/>
            </w:pPr>
            <w:r>
              <w:rPr/>
              <w:t> </w:t>
            </w:r>
          </w:p>
        </w:tc>
        <w:tc>
          <w:tcPr>
            <w:tcW w:w="19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8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2,849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4,130</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Adjustments</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589"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Gain on fair value of warrant liability</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(7,902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95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ind w:left="0" w:right="0" w:hanging="0"/>
              <w:rPr/>
            </w:pPr>
            <w:r>
              <w:rPr/>
              <w:t> </w:t>
            </w:r>
          </w:p>
        </w:tc>
        <w:tc>
          <w:tcPr>
            <w:tcW w:w="97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58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(2,433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7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(5,469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(Gain)/loss on settlement of obligations</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9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ind w:left="0" w:right="0" w:hanging="0"/>
              <w:rPr/>
            </w:pPr>
            <w:r>
              <w:rPr/>
              <w:t> </w:t>
            </w:r>
          </w:p>
        </w:tc>
        <w:tc>
          <w:tcPr>
            <w:tcW w:w="9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5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295</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Loss on debt waiver consent</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1,212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rPr/>
            </w:pPr>
            <w:r>
              <w:rPr/>
              <w:t> </w:t>
            </w:r>
          </w:p>
        </w:tc>
        <w:tc>
          <w:tcPr>
            <w:tcW w:w="95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97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rPr/>
            </w:pPr>
            <w:r>
              <w:rPr/>
              <w:t> </w:t>
            </w:r>
          </w:p>
        </w:tc>
        <w:tc>
          <w:tcPr>
            <w:tcW w:w="589"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723"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1,212</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Loss on warrant amendment</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345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589"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345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(Gain)/loss on fair value of equity guarantee</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95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ind w:left="0" w:right="0" w:hanging="0"/>
              <w:rPr/>
            </w:pPr>
            <w:r>
              <w:rPr/>
              <w:t> </w:t>
            </w:r>
          </w:p>
        </w:tc>
        <w:tc>
          <w:tcPr>
            <w:tcW w:w="97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58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7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Disposal of Safe Space Solutions inventory</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909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909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589"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Deal and transaction costs</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95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ind w:left="0" w:right="0" w:hanging="0"/>
              <w:rPr/>
            </w:pPr>
            <w:r>
              <w:rPr/>
              <w:t> </w:t>
            </w:r>
          </w:p>
        </w:tc>
        <w:tc>
          <w:tcPr>
            <w:tcW w:w="97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58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7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391</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 income</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589"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Stock-based compensation – Director grants</w:t>
            </w:r>
          </w:p>
        </w:tc>
        <w:tc>
          <w:tcPr>
            <w:tcW w:w="60" w:type="dxa"/>
            <w:tcBorders/>
            <w:shd w:fill="FFFFFF" w:val="clear"/>
            <w:vAlign w:val="center"/>
          </w:tcPr>
          <w:p>
            <w:pPr>
              <w:pStyle w:val="TableContents"/>
              <w:spacing w:before="0" w:after="283"/>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7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8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Adjusted EBITDA</w:t>
            </w:r>
          </w:p>
        </w:tc>
        <w:tc>
          <w:tcPr>
            <w:tcW w:w="60" w:type="dxa"/>
            <w:tcBorders/>
            <w:shd w:fill="CCEEFF" w:val="clear"/>
            <w:vAlign w:val="center"/>
          </w:tcPr>
          <w:p>
            <w:pPr>
              <w:pStyle w:val="TableContents"/>
              <w:spacing w:before="0" w:after="283"/>
              <w:ind w:left="0" w:right="0" w:hanging="0"/>
              <w:rPr/>
            </w:pPr>
            <w:r>
              <w:rPr/>
              <w:t> </w:t>
            </w:r>
          </w:p>
        </w:tc>
        <w:tc>
          <w:tcPr>
            <w:tcW w:w="19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3,845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8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635</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9470" w:type="dxa"/>
        <w:jc w:val="left"/>
        <w:tblInd w:w="0" w:type="dxa"/>
        <w:tblCellMar>
          <w:top w:w="0" w:type="dxa"/>
          <w:left w:w="0" w:type="dxa"/>
          <w:bottom w:w="0" w:type="dxa"/>
          <w:right w:w="0" w:type="dxa"/>
        </w:tblCellMar>
      </w:tblPr>
      <w:tblGrid>
        <w:gridCol w:w="3740"/>
        <w:gridCol w:w="60"/>
        <w:gridCol w:w="191"/>
        <w:gridCol w:w="833"/>
        <w:gridCol w:w="80"/>
        <w:gridCol w:w="60"/>
        <w:gridCol w:w="218"/>
        <w:gridCol w:w="956"/>
        <w:gridCol w:w="80"/>
        <w:gridCol w:w="60"/>
        <w:gridCol w:w="293"/>
        <w:gridCol w:w="926"/>
        <w:gridCol w:w="80"/>
        <w:gridCol w:w="60"/>
        <w:gridCol w:w="135"/>
        <w:gridCol w:w="589"/>
        <w:gridCol w:w="80"/>
        <w:gridCol w:w="60"/>
        <w:gridCol w:w="166"/>
        <w:gridCol w:w="723"/>
        <w:gridCol w:w="80"/>
      </w:tblGrid>
      <w:tr>
        <w:trPr/>
        <w:tc>
          <w:tcPr>
            <w:tcW w:w="37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426"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Quarters Ended</w:t>
            </w:r>
          </w:p>
        </w:tc>
        <w:tc>
          <w:tcPr>
            <w:tcW w:w="80" w:type="dxa"/>
            <w:tcBorders/>
            <w:shd w:fill="FFFF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7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2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shd w:fill="FFFFFF" w:val="clear"/>
            <w:vAlign w:val="center"/>
          </w:tcPr>
          <w:p>
            <w:pPr>
              <w:pStyle w:val="TableContents"/>
              <w:spacing w:before="0" w:after="283"/>
              <w:rPr/>
            </w:pPr>
            <w:r>
              <w:rPr/>
              <w:t> </w:t>
            </w:r>
          </w:p>
        </w:tc>
      </w:tr>
      <w:tr>
        <w:trPr/>
        <w:tc>
          <w:tcPr>
            <w:tcW w:w="3740"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Quarters ended</w:t>
            </w:r>
          </w:p>
        </w:tc>
        <w:tc>
          <w:tcPr>
            <w:tcW w:w="60" w:type="dxa"/>
            <w:tcBorders/>
            <w:shd w:fill="FFFFFF" w:val="clear"/>
            <w:vAlign w:val="center"/>
          </w:tcPr>
          <w:p>
            <w:pPr>
              <w:pStyle w:val="TableContents"/>
              <w:spacing w:before="0" w:after="283"/>
              <w:ind w:left="0" w:right="0" w:hanging="0"/>
              <w:rPr/>
            </w:pPr>
            <w:r>
              <w:rPr/>
              <w:t> </w:t>
            </w:r>
          </w:p>
        </w:tc>
        <w:tc>
          <w:tcPr>
            <w:tcW w:w="102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2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GAAP net income (loss)</w:t>
            </w:r>
          </w:p>
        </w:tc>
        <w:tc>
          <w:tcPr>
            <w:tcW w:w="60" w:type="dxa"/>
            <w:tcBorders/>
            <w:shd w:fill="CCEEFF" w:val="clear"/>
            <w:vAlign w:val="center"/>
          </w:tcPr>
          <w:p>
            <w:pPr>
              <w:pStyle w:val="TableContents"/>
              <w:spacing w:before="0" w:after="283"/>
              <w:ind w:left="0" w:right="0" w:hanging="0"/>
              <w:rPr/>
            </w:pPr>
            <w:r>
              <w:rPr/>
              <w:t> </w:t>
            </w:r>
          </w:p>
        </w:tc>
        <w:tc>
          <w:tcPr>
            <w:tcW w:w="19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29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3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1,272</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rPr/>
            </w:pPr>
            <w:r>
              <w:rPr/>
              <w:t> </w:t>
            </w:r>
          </w:p>
        </w:tc>
        <w:tc>
          <w:tcPr>
            <w:tcW w:w="95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3" w:type="dxa"/>
            <w:tcBorders/>
            <w:shd w:fill="FFFFFF" w:val="clear"/>
            <w:vAlign w:val="center"/>
          </w:tcPr>
          <w:p>
            <w:pPr>
              <w:pStyle w:val="TableContents"/>
              <w:spacing w:before="0" w:after="283"/>
              <w:rPr/>
            </w:pPr>
            <w:r>
              <w:rPr/>
              <w:t> </w:t>
            </w:r>
          </w:p>
        </w:tc>
        <w:tc>
          <w:tcPr>
            <w:tcW w:w="92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rPr/>
            </w:pPr>
            <w:r>
              <w:rPr/>
              <w:t> </w:t>
            </w:r>
          </w:p>
        </w:tc>
        <w:tc>
          <w:tcPr>
            <w:tcW w:w="58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72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Amortization of debt discount</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9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ind w:left="0" w:right="0" w:hanging="0"/>
              <w:rPr/>
            </w:pPr>
            <w:r>
              <w:rPr/>
              <w:t> </w:t>
            </w:r>
          </w:p>
        </w:tc>
        <w:tc>
          <w:tcPr>
            <w:tcW w:w="9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5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 interest, net</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95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3" w:type="dxa"/>
            <w:tcBorders/>
            <w:shd w:fill="FFFFFF" w:val="clear"/>
            <w:vAlign w:val="center"/>
          </w:tcPr>
          <w:p>
            <w:pPr>
              <w:pStyle w:val="TableContents"/>
              <w:spacing w:before="0" w:after="283"/>
              <w:ind w:left="0" w:right="0" w:hanging="0"/>
              <w:rPr/>
            </w:pPr>
            <w:r>
              <w:rPr/>
              <w:t> </w:t>
            </w:r>
          </w:p>
        </w:tc>
        <w:tc>
          <w:tcPr>
            <w:tcW w:w="92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58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7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Depreciation/amortization:</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rPr/>
            </w:pPr>
            <w:r>
              <w:rPr/>
              <w:t> </w:t>
            </w:r>
          </w:p>
        </w:tc>
        <w:tc>
          <w:tcPr>
            <w:tcW w:w="95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589"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72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95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3" w:type="dxa"/>
            <w:tcBorders/>
            <w:shd w:fill="FFFFFF" w:val="clear"/>
            <w:vAlign w:val="center"/>
          </w:tcPr>
          <w:p>
            <w:pPr>
              <w:pStyle w:val="TableContents"/>
              <w:spacing w:before="0" w:after="283"/>
              <w:ind w:left="0" w:right="0" w:hanging="0"/>
              <w:rPr/>
            </w:pPr>
            <w:r>
              <w:rPr/>
              <w:t> </w:t>
            </w:r>
          </w:p>
        </w:tc>
        <w:tc>
          <w:tcPr>
            <w:tcW w:w="92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58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7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312</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Amortization of finance lease assets</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9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ind w:left="0" w:right="0" w:hanging="0"/>
              <w:rPr/>
            </w:pPr>
            <w:r>
              <w:rPr/>
              <w:t> </w:t>
            </w:r>
          </w:p>
        </w:tc>
        <w:tc>
          <w:tcPr>
            <w:tcW w:w="9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5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Amortization of employee share-based awards</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95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3" w:type="dxa"/>
            <w:tcBorders/>
            <w:shd w:fill="FFFFFF" w:val="clear"/>
            <w:vAlign w:val="center"/>
          </w:tcPr>
          <w:p>
            <w:pPr>
              <w:pStyle w:val="TableContents"/>
              <w:spacing w:before="0" w:after="283"/>
              <w:ind w:left="0" w:right="0" w:hanging="0"/>
              <w:rPr/>
            </w:pPr>
            <w:r>
              <w:rPr/>
              <w:t> </w:t>
            </w:r>
          </w:p>
        </w:tc>
        <w:tc>
          <w:tcPr>
            <w:tcW w:w="92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58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7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512</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Depreciation of property and equipment</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9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ind w:left="0" w:right="0" w:hanging="0"/>
              <w:rPr/>
            </w:pPr>
            <w:r>
              <w:rPr/>
              <w:t> </w:t>
            </w:r>
          </w:p>
        </w:tc>
        <w:tc>
          <w:tcPr>
            <w:tcW w:w="9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5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Income tax expense/(benefit)</w:t>
            </w:r>
          </w:p>
        </w:tc>
        <w:tc>
          <w:tcPr>
            <w:tcW w:w="60" w:type="dxa"/>
            <w:tcBorders/>
            <w:shd w:fill="FFFFFF" w:val="clear"/>
            <w:vAlign w:val="center"/>
          </w:tcPr>
          <w:p>
            <w:pPr>
              <w:pStyle w:val="TableContents"/>
              <w:spacing w:before="0" w:after="283"/>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2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8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EBITDA</w:t>
            </w:r>
          </w:p>
        </w:tc>
        <w:tc>
          <w:tcPr>
            <w:tcW w:w="60" w:type="dxa"/>
            <w:tcBorders/>
            <w:shd w:fill="CCEEFF" w:val="clear"/>
            <w:vAlign w:val="center"/>
          </w:tcPr>
          <w:p>
            <w:pPr>
              <w:pStyle w:val="TableContents"/>
              <w:spacing w:before="0" w:after="283"/>
              <w:ind w:left="0" w:right="0" w:hanging="0"/>
              <w:rPr/>
            </w:pPr>
            <w:r>
              <w:rPr/>
              <w:t> </w:t>
            </w:r>
          </w:p>
        </w:tc>
        <w:tc>
          <w:tcPr>
            <w:tcW w:w="19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3,919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29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8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1,887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2,378</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Adjustments</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rPr/>
            </w:pPr>
            <w:r>
              <w:rPr/>
              <w:t> </w:t>
            </w:r>
          </w:p>
        </w:tc>
        <w:tc>
          <w:tcPr>
            <w:tcW w:w="95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3" w:type="dxa"/>
            <w:tcBorders/>
            <w:shd w:fill="FFFFFF" w:val="clear"/>
            <w:vAlign w:val="center"/>
          </w:tcPr>
          <w:p>
            <w:pPr>
              <w:pStyle w:val="TableContents"/>
              <w:spacing w:before="0" w:after="283"/>
              <w:rPr/>
            </w:pPr>
            <w:r>
              <w:rPr/>
              <w:t> </w:t>
            </w:r>
          </w:p>
        </w:tc>
        <w:tc>
          <w:tcPr>
            <w:tcW w:w="92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rPr/>
            </w:pPr>
            <w:r>
              <w:rPr/>
              <w:t> </w:t>
            </w:r>
          </w:p>
        </w:tc>
        <w:tc>
          <w:tcPr>
            <w:tcW w:w="58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72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Change in fair value of Special Loan</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9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ind w:left="0" w:right="0" w:hanging="0"/>
              <w:rPr/>
            </w:pPr>
            <w:r>
              <w:rPr/>
              <w:t> </w:t>
            </w:r>
          </w:p>
        </w:tc>
        <w:tc>
          <w:tcPr>
            <w:tcW w:w="9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5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Gain on settlement of obligations</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(3,449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95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3" w:type="dxa"/>
            <w:tcBorders/>
            <w:shd w:fill="FFFFFF" w:val="clear"/>
            <w:vAlign w:val="center"/>
          </w:tcPr>
          <w:p>
            <w:pPr>
              <w:pStyle w:val="TableContents"/>
              <w:spacing w:before="0" w:after="283"/>
              <w:ind w:left="0" w:right="0" w:hanging="0"/>
              <w:rPr/>
            </w:pPr>
            <w:r>
              <w:rPr/>
              <w:t> </w:t>
            </w:r>
          </w:p>
        </w:tc>
        <w:tc>
          <w:tcPr>
            <w:tcW w:w="92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58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(1,628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7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(1,565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Deal and transaction costs</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95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ind w:left="0" w:right="0" w:hanging="0"/>
              <w:rPr/>
            </w:pPr>
            <w:r>
              <w:rPr/>
              <w:t> </w:t>
            </w:r>
          </w:p>
        </w:tc>
        <w:tc>
          <w:tcPr>
            <w:tcW w:w="9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5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Stock-based compensation – Director grants</w:t>
            </w:r>
          </w:p>
        </w:tc>
        <w:tc>
          <w:tcPr>
            <w:tcW w:w="60" w:type="dxa"/>
            <w:tcBorders/>
            <w:shd w:fill="FFFFFF" w:val="clear"/>
            <w:vAlign w:val="center"/>
          </w:tcPr>
          <w:p>
            <w:pPr>
              <w:pStyle w:val="TableContents"/>
              <w:spacing w:before="0" w:after="283"/>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2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8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Adjusted EBITDA</w:t>
            </w:r>
          </w:p>
        </w:tc>
        <w:tc>
          <w:tcPr>
            <w:tcW w:w="60" w:type="dxa"/>
            <w:tcBorders/>
            <w:shd w:fill="CCEEFF" w:val="clear"/>
            <w:vAlign w:val="center"/>
          </w:tcPr>
          <w:p>
            <w:pPr>
              <w:pStyle w:val="TableContents"/>
              <w:spacing w:before="0" w:after="283"/>
              <w:ind w:left="0" w:right="0" w:hanging="0"/>
              <w:rPr/>
            </w:pPr>
            <w:r>
              <w:rPr/>
              <w:t> </w:t>
            </w:r>
          </w:p>
        </w:tc>
        <w:tc>
          <w:tcPr>
            <w:tcW w:w="19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29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8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674</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See </w:t>
      </w:r>
      <w:hyperlink w:anchor="note1">
        <w:r>
          <w:rPr>
            <w:rStyle w:val="InternetLink"/>
            <w:rFonts w:ascii="Times New Roman" w:hAnsi="Times New Roman"/>
            <w:caps w:val="false"/>
            <w:smallCaps w:val="false"/>
            <w:sz w:val="20"/>
          </w:rPr>
          <w:t>Note 1 </w:t>
        </w:r>
      </w:hyperlink>
      <w:hyperlink w:anchor="note1">
        <w:r>
          <w:rPr>
            <w:rStyle w:val="InternetLink"/>
            <w:rFonts w:ascii="Times New Roman" w:hAnsi="Times New Roman"/>
            <w:i/>
            <w:caps w:val="false"/>
            <w:smallCaps w:val="false"/>
            <w:sz w:val="20"/>
          </w:rPr>
          <w:t>Nature of Organization and Operations</w:t>
        </w:r>
      </w:hyperlink>
      <w:r>
        <w:rPr>
          <w:rFonts w:ascii="Times New Roman" w:hAnsi="Times New Roman"/>
          <w:caps w:val="false"/>
          <w:smallCaps w:val="false"/>
          <w:sz w:val="20"/>
        </w:rPr>
        <w:t> to the accompanying Consolidated Financial Statements for a detailed discussion of liquidity and financial resources.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Operating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cash flows (used in) / provided by operating activities were $(708) and $471 for the years ended December 31, 2022 and 2021, respectively.  We produced net income of $1,876.  Following the Merger, our revenues have significantly expanded, particularly with respect to managed services revenue.  Other than net income, cash provided by operating activities was driven by an expansion of accounts receivable and inventory of $3,927 and $1,472, partially offset by growth of $914 of accounts payable and $1,112 of accrued expenses, respectively.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Investing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Net cash used in investing activities during the year ended December 31, 2022 was $21,475 as compared to $1,159 for the same period in 2021. The use of cash in the current year was driven by (1) completion of the Merger and (2) continued investments in our software platforms.  We currently do not have any material commitments for capital expenditures as of December 31, 2022; however, we anticipate continued elevated capital expenditures in excess of historical trends through second quarter of 2023 as we complete the modernization and internationalization of our automotive platform in an effort to capture incremental SaaS-based revenue contracts.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Financing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Net cash provided by financing activities during the years ended December 31, 2022 and 2021 was $20,933 and $1,745, respectively. The current year results were primarily driven by completion of the Company’s Equity Financing and Debt Financing (each as described in </w:t>
      </w:r>
      <w:hyperlink w:anchor="note10">
        <w:r>
          <w:rPr>
            <w:rStyle w:val="InternetLink"/>
            <w:rFonts w:ascii="Times New Roman" w:hAnsi="Times New Roman"/>
            <w:caps w:val="false"/>
            <w:smallCaps w:val="false"/>
            <w:sz w:val="20"/>
          </w:rPr>
          <w:t xml:space="preserve">Note 10 </w:t>
        </w:r>
      </w:hyperlink>
      <w:hyperlink w:anchor="note10">
        <w:r>
          <w:rPr>
            <w:rStyle w:val="InternetLink"/>
            <w:rFonts w:ascii="Times New Roman" w:hAnsi="Times New Roman"/>
            <w:i/>
            <w:caps w:val="false"/>
            <w:smallCaps w:val="false"/>
            <w:sz w:val="20"/>
          </w:rPr>
          <w:t>Business Combinations</w:t>
        </w:r>
      </w:hyperlink>
      <w:r>
        <w:rPr>
          <w:rFonts w:ascii="Times New Roman" w:hAnsi="Times New Roman"/>
          <w:caps w:val="false"/>
          <w:smallCaps w:val="false"/>
          <w:sz w:val="20"/>
        </w:rPr>
        <w:t xml:space="preserve"> to the accompanying Consolidated Financial Statements) in the period to facilitate the Merger, which provided net cash of $10,109 and $9,868, respectively.  The Company also executed a $2,000 term note ("Term Note (2022)") with Slipstream (as described in </w:t>
      </w:r>
      <w:hyperlink w:anchor="note8">
        <w:r>
          <w:rPr>
            <w:rStyle w:val="InternetLink"/>
            <w:rFonts w:ascii="Times New Roman" w:hAnsi="Times New Roman"/>
            <w:caps w:val="false"/>
            <w:smallCaps w:val="false"/>
            <w:sz w:val="20"/>
          </w:rPr>
          <w:t xml:space="preserve">Note 8 </w:t>
        </w:r>
      </w:hyperlink>
      <w:hyperlink w:anchor="note8">
        <w:r>
          <w:rPr>
            <w:rStyle w:val="InternetLink"/>
            <w:rFonts w:ascii="Times New Roman" w:hAnsi="Times New Roman"/>
            <w:i/>
            <w:caps w:val="false"/>
            <w:smallCaps w:val="false"/>
            <w:sz w:val="20"/>
          </w:rPr>
          <w:t>Loans Payable</w:t>
        </w:r>
      </w:hyperlink>
      <w:r>
        <w:rPr>
          <w:rFonts w:ascii="Times New Roman" w:hAnsi="Times New Roman"/>
          <w:caps w:val="false"/>
          <w:smallCaps w:val="false"/>
          <w:sz w:val="20"/>
        </w:rPr>
        <w:t xml:space="preserve"> to the accompanying Consolidated Financial Statements).  Cash provided by financing activities were reduced by $1,044 as a result of repayments of principal on the Secured Promissory Note (as described in </w:t>
      </w:r>
      <w:hyperlink w:anchor="note8">
        <w:r>
          <w:rPr>
            <w:rStyle w:val="InternetLink"/>
            <w:rFonts w:ascii="Times New Roman" w:hAnsi="Times New Roman"/>
            <w:caps w:val="false"/>
            <w:smallCaps w:val="false"/>
            <w:sz w:val="20"/>
          </w:rPr>
          <w:t xml:space="preserve">Note 8 </w:t>
        </w:r>
      </w:hyperlink>
      <w:hyperlink w:anchor="note8">
        <w:r>
          <w:rPr>
            <w:rStyle w:val="InternetLink"/>
            <w:rFonts w:ascii="Times New Roman" w:hAnsi="Times New Roman"/>
            <w:i/>
            <w:caps w:val="false"/>
            <w:smallCaps w:val="false"/>
            <w:sz w:val="20"/>
          </w:rPr>
          <w:t>Loans Payable</w:t>
        </w:r>
      </w:hyperlink>
      <w:r>
        <w:rPr>
          <w:rFonts w:ascii="Times New Roman" w:hAnsi="Times New Roman"/>
          <w:caps w:val="false"/>
          <w:smallCaps w:val="false"/>
          <w:sz w:val="20"/>
        </w:rPr>
        <w:t xml:space="preserve"> to the accompanying Consolidated Financial Statements).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During the year ended December 31, 2022, we did not engage in any off-balance sheet arrangements set forth in Item 303(a) (4) of Regulation 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14" w:name="i7A"/>
      <w:bookmarkEnd w:id="14"/>
      <w:r>
        <w:rPr>
          <w:rFonts w:ascii="Times New Roman" w:hAnsi="Times New Roman"/>
          <w:b/>
          <w:caps w:val="false"/>
          <w:smallCaps w:val="false"/>
          <w:sz w:val="20"/>
        </w:rPr>
        <w:t>ITEM 7A</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QUANTITATIVE AND QUALITATIVE DISCLOSURES ABOUT MARKET RISK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bookmarkStart w:id="15" w:name="i8"/>
      <w:bookmarkEnd w:id="15"/>
      <w:r>
        <w:rPr>
          <w:rFonts w:ascii="Times New Roman" w:hAnsi="Times New Roman"/>
          <w:b/>
          <w:caps w:val="false"/>
          <w:smallCaps w:val="false"/>
          <w:sz w:val="20"/>
        </w:rPr>
        <w:t xml:space="preserve">ITEM 8 FINANCIAL STATEMENTS AND SUPPLEMENTARY DATA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See Index to Consolidated Financial Statements on </w:t>
      </w:r>
      <w:hyperlink w:anchor="notes_index">
        <w:r>
          <w:rPr>
            <w:rStyle w:val="InternetLink"/>
            <w:rFonts w:ascii="Times New Roman" w:hAnsi="Times New Roman"/>
            <w:caps w:val="false"/>
            <w:smallCaps w:val="false"/>
            <w:sz w:val="20"/>
          </w:rPr>
          <w:t>Page F-1</w:t>
        </w:r>
      </w:hyperlink>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16" w:name="i9"/>
      <w:bookmarkEnd w:id="16"/>
      <w:r>
        <w:rPr>
          <w:rFonts w:ascii="Times New Roman" w:hAnsi="Times New Roman"/>
          <w:b/>
          <w:caps w:val="false"/>
          <w:smallCaps w:val="false"/>
          <w:sz w:val="20"/>
        </w:rPr>
        <w:t>ITEM 9</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CHANGES IN AND DISAGREEMENTS WITH ACCOUNTANTS ON ACCOUNTING AND FINANCIAL DISCLOSURE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bookmarkStart w:id="17" w:name="i9A"/>
      <w:bookmarkEnd w:id="17"/>
      <w:r>
        <w:rPr>
          <w:rFonts w:ascii="Times New Roman" w:hAnsi="Times New Roman"/>
          <w:b/>
          <w:caps w:val="false"/>
          <w:smallCaps w:val="false"/>
          <w:sz w:val="20"/>
        </w:rPr>
        <w:t>ITEM 9A</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CONTROLS AND PROCEDURES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(“Exchange Act”), as of the end of the period covered by this Annual Report. Based on that evaluation, our management, including our Chief Executive Officer and Chief Financial Officer, concluded that our disclosure controls and procedures were effective as of December 31, 2022, and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Annual Report on Internal Control Over Financial Reporting</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Therefore, even those systems determined to be effective can provide only reasonable assurance of achieving their control objectives.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and Chief Financial Officer, we evaluated the effectiveness of our internal control over financial reporting as of December 31, 2022 based on the framework in </w:t>
      </w:r>
      <w:r>
        <w:rPr>
          <w:rFonts w:ascii="Times New Roman" w:hAnsi="Times New Roman"/>
          <w:i/>
          <w:caps w:val="false"/>
          <w:smallCaps w:val="false"/>
          <w:sz w:val="20"/>
        </w:rPr>
        <w:t>Internal Control - Integrated Framework (2013)</w:t>
      </w:r>
      <w:r>
        <w:rPr>
          <w:rFonts w:ascii="Times New Roman" w:hAnsi="Times New Roman"/>
          <w:caps w:val="false"/>
          <w:smallCaps w:val="false"/>
          <w:sz w:val="20"/>
        </w:rPr>
        <w:t> issued by the Committee of Sponsoring Organizations of the Treadway Commission (“COSO”). Based on our assessment and those criteria, management believes that we maintained effective internal control over financial reporting as of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that occurred during the quarter ended December 31, 2022, that have materially affected, or are reasonably likely to materially affect, our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18" w:name="i9B"/>
      <w:bookmarkEnd w:id="18"/>
      <w:r>
        <w:rPr>
          <w:rFonts w:ascii="Times New Roman" w:hAnsi="Times New Roman"/>
          <w:b/>
          <w:caps w:val="false"/>
          <w:smallCaps w:val="false"/>
          <w:sz w:val="20"/>
        </w:rPr>
        <w:t>ITEM 9B</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OTHER INFORMATION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bookmarkStart w:id="19" w:name="i9C"/>
      <w:bookmarkEnd w:id="19"/>
      <w:r>
        <w:rPr>
          <w:rFonts w:ascii="Times New Roman" w:hAnsi="Times New Roman"/>
          <w:b/>
          <w:caps w:val="false"/>
          <w:smallCaps w:val="false"/>
          <w:sz w:val="20"/>
        </w:rPr>
        <w:t>ITEM 9C. DISCLOSURE REGARDING FOREIGN JURISDICTIONS THAT PREVENT INSPECTIONS.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20" w:name="p3"/>
      <w:bookmarkEnd w:id="20"/>
      <w:r>
        <w:rPr>
          <w:rFonts w:ascii="Times New Roman" w:hAnsi="Times New Roman"/>
          <w:b/>
          <w:caps w:val="false"/>
          <w:smallCaps w:val="false"/>
          <w:sz w:val="20"/>
        </w:rPr>
        <w:t>PART III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1" w:name="i10"/>
      <w:bookmarkEnd w:id="21"/>
      <w:r>
        <w:rPr>
          <w:rFonts w:ascii="Times New Roman" w:hAnsi="Times New Roman"/>
          <w:b/>
          <w:caps w:val="false"/>
          <w:smallCaps w:val="false"/>
          <w:sz w:val="20"/>
        </w:rPr>
        <w:t>ITEM 10</w:t>
      </w:r>
      <w:r>
        <w:rPr>
          <w:rFonts w:ascii="Times New Roman" w:hAnsi="Times New Roman"/>
          <w:caps w:val="false"/>
          <w:smallCaps w:val="false"/>
          <w:sz w:val="20"/>
        </w:rPr>
        <w:t xml:space="preserve"> </w:t>
      </w:r>
      <w:r>
        <w:rPr>
          <w:rFonts w:ascii="Times New Roman" w:hAnsi="Times New Roman"/>
          <w:b/>
          <w:caps w:val="false"/>
          <w:smallCaps w:val="false"/>
          <w:sz w:val="20"/>
        </w:rPr>
        <w:t>DIRECTORS, EXECUTIVE OFFICERS AND CORPORATE GOVERNANCE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to our definitive proxy statement for the 2023 Annual Meeting of Stockholders (the "Proxy Statement"), which will be filed with the SEC pursuant to Regulation 14A under the Exchange Act.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sz w:val="20"/>
        </w:rPr>
      </w:pPr>
      <w:bookmarkStart w:id="22" w:name="i11"/>
      <w:bookmarkEnd w:id="22"/>
      <w:r>
        <w:rPr>
          <w:rFonts w:ascii="Times New Roman;Times;serif" w:hAnsi="Times New Roman;Times;serif"/>
          <w:b/>
          <w:sz w:val="20"/>
        </w:rPr>
        <w:t>ITEM 11</w:t>
      </w:r>
      <w:r>
        <w:rPr>
          <w:rFonts w:ascii="Times New Roman;Times;serif" w:hAnsi="Times New Roman;Times;serif"/>
          <w:sz w:val="20"/>
        </w:rPr>
        <w:t xml:space="preserve"> </w:t>
      </w:r>
      <w:r>
        <w:rPr>
          <w:rFonts w:ascii="Times New Roman;Times;serif" w:hAnsi="Times New Roman;Times;serif"/>
          <w:b/>
          <w:sz w:val="20"/>
        </w:rPr>
        <w:t>EXECUTIVE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by reference from the Proxy Statement.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rFonts w:ascii="Times New Roman" w:hAnsi="Times New Roman"/>
          <w:b/>
          <w:sz w:val="20"/>
        </w:rPr>
      </w:pPr>
      <w:bookmarkStart w:id="23" w:name="i12"/>
      <w:bookmarkEnd w:id="23"/>
      <w:r>
        <w:rPr>
          <w:rFonts w:ascii="Times New Roman" w:hAnsi="Times New Roman"/>
          <w:b/>
          <w:sz w:val="20"/>
        </w:rPr>
        <w:t>ITEM 12 SECURITY OWNERSHIP OF CERTAIN BENEFICIAL OWNERS AND MANAGEMENT AND RELATED STOCKHOLDER MATTERS</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Securities Authorized for Issuance Under Equity Compensation Plans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table below sets forth certain information, as of the close of business on December 31, 2022, regarding equity compensation plans (including individual compensation arrangements) under which our securities were then authorized for issuance.</w:t>
      </w:r>
    </w:p>
    <w:p>
      <w:pPr>
        <w:pStyle w:val="TextBody"/>
        <w:spacing w:before="0" w:after="0"/>
        <w:ind w:left="0" w:right="0" w:hanging="0"/>
        <w:rPr>
          <w:caps w:val="false"/>
          <w:smallCaps w:val="false"/>
        </w:rPr>
      </w:pPr>
      <w:r>
        <w:rPr>
          <w:caps w:val="false"/>
          <w:smallCaps w:val="false"/>
        </w:rPr>
        <w:t> </w:t>
      </w:r>
    </w:p>
    <w:tbl>
      <w:tblPr>
        <w:tblW w:w="9597" w:type="dxa"/>
        <w:jc w:val="left"/>
        <w:tblInd w:w="0" w:type="dxa"/>
        <w:tblCellMar>
          <w:top w:w="0" w:type="dxa"/>
          <w:left w:w="0" w:type="dxa"/>
          <w:bottom w:w="0" w:type="dxa"/>
          <w:right w:w="0" w:type="dxa"/>
        </w:tblCellMar>
      </w:tblPr>
      <w:tblGrid>
        <w:gridCol w:w="4700"/>
        <w:gridCol w:w="60"/>
        <w:gridCol w:w="84"/>
        <w:gridCol w:w="1210"/>
        <w:gridCol w:w="245"/>
        <w:gridCol w:w="60"/>
        <w:gridCol w:w="359"/>
        <w:gridCol w:w="1100"/>
        <w:gridCol w:w="60"/>
        <w:gridCol w:w="60"/>
        <w:gridCol w:w="121"/>
        <w:gridCol w:w="1293"/>
        <w:gridCol w:w="245"/>
      </w:tblGrid>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rPr/>
            </w:pPr>
            <w:r>
              <w:rPr/>
              <w:t> </w:t>
            </w:r>
          </w:p>
        </w:tc>
        <w:tc>
          <w:tcPr>
            <w:tcW w:w="1210" w:type="dxa"/>
            <w:tcBorders/>
            <w:shd w:fill="FFFFFF" w:val="clear"/>
            <w:vAlign w:val="center"/>
          </w:tcPr>
          <w:p>
            <w:pPr>
              <w:pStyle w:val="TableContents"/>
              <w:spacing w:before="0" w:after="283"/>
              <w:jc w:val="center"/>
              <w:rPr/>
            </w:pPr>
            <w:r>
              <w:rPr/>
              <w:t> </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59" w:type="dxa"/>
            <w:tcBorders/>
            <w:shd w:fill="FFFFFF" w:val="clear"/>
            <w:vAlign w:val="center"/>
          </w:tcPr>
          <w:p>
            <w:pPr>
              <w:pStyle w:val="TableContents"/>
              <w:spacing w:before="0" w:after="283"/>
              <w:rPr/>
            </w:pPr>
            <w:r>
              <w:rPr/>
              <w:t> </w:t>
            </w:r>
          </w:p>
        </w:tc>
        <w:tc>
          <w:tcPr>
            <w:tcW w:w="110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w:t>
            </w:r>
          </w:p>
        </w:tc>
        <w:tc>
          <w:tcPr>
            <w:tcW w:w="245" w:type="dxa"/>
            <w:tcBorders/>
            <w:shd w:fill="FFFF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rPr/>
            </w:pPr>
            <w:r>
              <w:rPr/>
              <w:t> </w:t>
            </w:r>
          </w:p>
        </w:tc>
        <w:tc>
          <w:tcPr>
            <w:tcW w:w="1210" w:type="dxa"/>
            <w:tcBorders/>
            <w:shd w:fill="FFFFFF" w:val="clear"/>
            <w:vAlign w:val="center"/>
          </w:tcPr>
          <w:p>
            <w:pPr>
              <w:pStyle w:val="TableContents"/>
              <w:spacing w:before="0" w:after="283"/>
              <w:jc w:val="center"/>
              <w:rPr/>
            </w:pPr>
            <w:r>
              <w:rPr/>
              <w:t> </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59" w:type="dxa"/>
            <w:tcBorders/>
            <w:shd w:fill="FFFFFF" w:val="clear"/>
            <w:vAlign w:val="center"/>
          </w:tcPr>
          <w:p>
            <w:pPr>
              <w:pStyle w:val="TableContents"/>
              <w:spacing w:before="0" w:after="283"/>
              <w:rPr/>
            </w:pPr>
            <w:r>
              <w:rPr/>
              <w:t> </w:t>
            </w:r>
          </w:p>
        </w:tc>
        <w:tc>
          <w:tcPr>
            <w:tcW w:w="110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w:t>
            </w:r>
          </w:p>
        </w:tc>
        <w:tc>
          <w:tcPr>
            <w:tcW w:w="245" w:type="dxa"/>
            <w:tcBorders/>
            <w:shd w:fill="FFFF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rPr/>
            </w:pPr>
            <w:r>
              <w:rPr/>
              <w:t> </w:t>
            </w:r>
          </w:p>
        </w:tc>
        <w:tc>
          <w:tcPr>
            <w:tcW w:w="1210" w:type="dxa"/>
            <w:tcBorders/>
            <w:shd w:fill="FFFFFF" w:val="clear"/>
            <w:vAlign w:val="center"/>
          </w:tcPr>
          <w:p>
            <w:pPr>
              <w:pStyle w:val="TableContents"/>
              <w:spacing w:before="0" w:after="283"/>
              <w:jc w:val="center"/>
              <w:rPr/>
            </w:pPr>
            <w:r>
              <w:rPr/>
              <w:t> </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59" w:type="dxa"/>
            <w:tcBorders/>
            <w:shd w:fill="FFFFFF" w:val="clear"/>
            <w:vAlign w:val="center"/>
          </w:tcPr>
          <w:p>
            <w:pPr>
              <w:pStyle w:val="TableContents"/>
              <w:spacing w:before="0" w:after="283"/>
              <w:rPr/>
            </w:pPr>
            <w:r>
              <w:rPr/>
              <w:t> </w:t>
            </w:r>
          </w:p>
        </w:tc>
        <w:tc>
          <w:tcPr>
            <w:tcW w:w="110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Remaining</w:t>
            </w:r>
          </w:p>
        </w:tc>
        <w:tc>
          <w:tcPr>
            <w:tcW w:w="245" w:type="dxa"/>
            <w:tcBorders/>
            <w:shd w:fill="FFFF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59" w:type="dxa"/>
            <w:tcBorders/>
            <w:shd w:fill="FFFFFF" w:val="clear"/>
            <w:vAlign w:val="center"/>
          </w:tcPr>
          <w:p>
            <w:pPr>
              <w:pStyle w:val="TableContents"/>
              <w:spacing w:before="0" w:after="283"/>
              <w:rPr/>
            </w:pPr>
            <w:r>
              <w:rPr/>
              <w:t> </w:t>
            </w:r>
          </w:p>
        </w:tc>
        <w:tc>
          <w:tcPr>
            <w:tcW w:w="110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Available for</w:t>
            </w:r>
          </w:p>
        </w:tc>
        <w:tc>
          <w:tcPr>
            <w:tcW w:w="245" w:type="dxa"/>
            <w:tcBorders/>
            <w:shd w:fill="FFFF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to be</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5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Issuance Under</w:t>
            </w:r>
          </w:p>
        </w:tc>
        <w:tc>
          <w:tcPr>
            <w:tcW w:w="245" w:type="dxa"/>
            <w:tcBorders/>
            <w:shd w:fill="FFFF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Issued Upon</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5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w:t>
            </w:r>
          </w:p>
        </w:tc>
        <w:tc>
          <w:tcPr>
            <w:tcW w:w="245" w:type="dxa"/>
            <w:tcBorders/>
            <w:shd w:fill="FFFF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 of</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5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 Price of</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w:t>
            </w:r>
          </w:p>
        </w:tc>
        <w:tc>
          <w:tcPr>
            <w:tcW w:w="245" w:type="dxa"/>
            <w:tcBorders/>
            <w:shd w:fill="FFFF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5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Plans (excluding</w:t>
            </w:r>
          </w:p>
        </w:tc>
        <w:tc>
          <w:tcPr>
            <w:tcW w:w="245" w:type="dxa"/>
            <w:tcBorders/>
            <w:shd w:fill="FFFF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5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w:t>
            </w:r>
          </w:p>
        </w:tc>
        <w:tc>
          <w:tcPr>
            <w:tcW w:w="245" w:type="dxa"/>
            <w:tcBorders/>
            <w:shd w:fill="FFFF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Warrants and</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5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Warrants and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reflected in</w:t>
            </w:r>
          </w:p>
        </w:tc>
        <w:tc>
          <w:tcPr>
            <w:tcW w:w="245" w:type="dxa"/>
            <w:tcBorders/>
            <w:shd w:fill="FFFF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Rights</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5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Rights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column a)</w:t>
            </w:r>
          </w:p>
        </w:tc>
        <w:tc>
          <w:tcPr>
            <w:tcW w:w="245" w:type="dxa"/>
            <w:tcBorders/>
            <w:shd w:fill="FFFFFF" w:val="clear"/>
            <w:vAlign w:val="center"/>
          </w:tcPr>
          <w:p>
            <w:pPr>
              <w:pStyle w:val="TableContents"/>
              <w:spacing w:before="0" w:after="283"/>
              <w:rPr/>
            </w:pPr>
            <w:r>
              <w:rPr/>
              <w:t> </w:t>
            </w:r>
          </w:p>
        </w:tc>
      </w:tr>
      <w:tr>
        <w:trPr/>
        <w:tc>
          <w:tcPr>
            <w:tcW w:w="470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Equity compensation plans approved by stockholders</w:t>
            </w:r>
          </w:p>
        </w:tc>
        <w:tc>
          <w:tcPr>
            <w:tcW w:w="60" w:type="dxa"/>
            <w:tcBorders/>
            <w:shd w:fill="CCEEFF" w:val="clear"/>
            <w:vAlign w:val="center"/>
          </w:tcPr>
          <w:p>
            <w:pPr>
              <w:pStyle w:val="TableContents"/>
              <w:spacing w:before="0" w:after="283"/>
              <w:ind w:left="0" w:right="0" w:hanging="0"/>
              <w:rPr/>
            </w:pPr>
            <w:r>
              <w:rPr/>
              <w:t> </w:t>
            </w:r>
          </w:p>
        </w:tc>
        <w:tc>
          <w:tcPr>
            <w:tcW w:w="1294" w:type="dxa"/>
            <w:gridSpan w:val="2"/>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None</w:t>
            </w:r>
          </w:p>
        </w:tc>
        <w:tc>
          <w:tcPr>
            <w:tcW w:w="245" w:type="dxa"/>
            <w:tcBorders/>
            <w:shd w:fill="CCEE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(1)</w:t>
            </w:r>
          </w:p>
        </w:tc>
        <w:tc>
          <w:tcPr>
            <w:tcW w:w="60" w:type="dxa"/>
            <w:tcBorders/>
            <w:shd w:fill="CCEEFF" w:val="clear"/>
            <w:vAlign w:val="center"/>
          </w:tcPr>
          <w:p>
            <w:pPr>
              <w:pStyle w:val="TableContents"/>
              <w:spacing w:before="0" w:after="283"/>
              <w:rPr/>
            </w:pPr>
            <w:r>
              <w:rPr/>
              <w:t> </w:t>
            </w:r>
          </w:p>
        </w:tc>
        <w:tc>
          <w:tcPr>
            <w:tcW w:w="359" w:type="dxa"/>
            <w:tcBorders/>
            <w:shd w:fill="CCEEFF" w:val="clear"/>
            <w:vAlign w:val="center"/>
          </w:tcPr>
          <w:p>
            <w:pPr>
              <w:pStyle w:val="TableContents"/>
              <w:spacing w:before="0" w:after="283"/>
              <w:ind w:left="0" w:right="0" w:hanging="0"/>
              <w:rPr/>
            </w:pPr>
            <w:r>
              <w:rPr/>
              <w:t> </w:t>
            </w:r>
          </w:p>
        </w:tc>
        <w:tc>
          <w:tcPr>
            <w:tcW w:w="11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N/A</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14" w:type="dxa"/>
            <w:gridSpan w:val="2"/>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None</w:t>
            </w:r>
          </w:p>
        </w:tc>
        <w:tc>
          <w:tcPr>
            <w:tcW w:w="245" w:type="dxa"/>
            <w:tcBorders/>
            <w:shd w:fill="CCEEFF" w:val="clear"/>
            <w:vAlign w:val="center"/>
          </w:tcPr>
          <w:p>
            <w:pPr>
              <w:pStyle w:val="TableContents"/>
              <w:spacing w:before="0" w:after="283"/>
              <w:rPr/>
            </w:pPr>
            <w:r>
              <w:rPr/>
              <w:t> </w:t>
            </w:r>
          </w:p>
        </w:tc>
      </w:tr>
      <w:tr>
        <w:trPr/>
        <w:tc>
          <w:tcPr>
            <w:tcW w:w="470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Equity compensation plans not approved by stockholders</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ind w:left="0" w:right="0" w:hanging="0"/>
              <w:rPr/>
            </w:pPr>
            <w:r>
              <w:rPr/>
              <w:t> </w:t>
            </w:r>
          </w:p>
        </w:tc>
        <w:tc>
          <w:tcPr>
            <w:tcW w:w="121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1,536,225</w:t>
            </w:r>
          </w:p>
        </w:tc>
        <w:tc>
          <w:tcPr>
            <w:tcW w:w="245" w:type="dxa"/>
            <w:tcBorders/>
            <w:shd w:fill="FFFF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(1)</w:t>
            </w:r>
          </w:p>
        </w:tc>
        <w:tc>
          <w:tcPr>
            <w:tcW w:w="60" w:type="dxa"/>
            <w:tcBorders/>
            <w:shd w:fill="FFFFFF" w:val="clear"/>
            <w:vAlign w:val="center"/>
          </w:tcPr>
          <w:p>
            <w:pPr>
              <w:pStyle w:val="TableContents"/>
              <w:spacing w:before="0" w:after="283"/>
              <w:ind w:left="0" w:right="0" w:hanging="0"/>
              <w:rPr/>
            </w:pPr>
            <w:r>
              <w:rPr/>
              <w:t> </w:t>
            </w:r>
          </w:p>
        </w:tc>
        <w:tc>
          <w:tcPr>
            <w:tcW w:w="359"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ind w:left="0" w:right="0" w:hanging="0"/>
              <w:rPr/>
            </w:pPr>
            <w:r>
              <w:rPr/>
              <w:t> </w:t>
            </w:r>
          </w:p>
        </w:tc>
        <w:tc>
          <w:tcPr>
            <w:tcW w:w="129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194,363</w:t>
            </w:r>
          </w:p>
        </w:tc>
        <w:tc>
          <w:tcPr>
            <w:tcW w:w="245" w:type="dxa"/>
            <w:tcBorders/>
            <w:shd w:fill="FFFF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(2)</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3"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All shares reflected in the table are issuable upon exercise of outstanding stock options issued under the 2006 Amended and Restated Equity Incentive Plan or the 2014 Stock Incentive Plan.</w:t>
            </w:r>
          </w:p>
        </w:tc>
      </w:tr>
    </w:tbl>
    <w:p>
      <w:pPr>
        <w:pStyle w:val="TextBody"/>
        <w:spacing w:before="0" w:after="0"/>
        <w:ind w:left="0" w:right="0" w:hanging="0"/>
        <w:rPr>
          <w:caps w:val="false"/>
          <w:smallCaps w:val="false"/>
        </w:rPr>
      </w:pPr>
      <w:r>
        <w:rPr>
          <w:caps w:val="false"/>
          <w:smallCaps w:val="false"/>
        </w:rPr>
        <w:t>   </w:t>
      </w:r>
    </w:p>
    <w:tbl>
      <w:tblPr>
        <w:tblW w:w="8320" w:type="dxa"/>
        <w:jc w:val="left"/>
        <w:tblInd w:w="0" w:type="dxa"/>
        <w:tblCellMar>
          <w:top w:w="0" w:type="dxa"/>
          <w:left w:w="0" w:type="dxa"/>
          <w:bottom w:w="0" w:type="dxa"/>
          <w:right w:w="0" w:type="dxa"/>
        </w:tblCellMar>
      </w:tblPr>
      <w:tblGrid>
        <w:gridCol w:w="245"/>
        <w:gridCol w:w="8075"/>
      </w:tblGrid>
      <w:tr>
        <w:trPr/>
        <w:tc>
          <w:tcPr>
            <w:tcW w:w="24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80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number of securities remaining available for issuance under the 2014 Stock Incentive Plan.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For information regarding the material features of each of the above plans see </w:t>
      </w:r>
      <w:hyperlink w:anchor="note13">
        <w:r>
          <w:rPr>
            <w:rStyle w:val="InternetLink"/>
            <w:rFonts w:ascii="Times New Roman" w:hAnsi="Times New Roman"/>
            <w:caps w:val="false"/>
            <w:smallCaps w:val="false"/>
            <w:sz w:val="20"/>
          </w:rPr>
          <w:t xml:space="preserve">Note 13 </w:t>
        </w:r>
      </w:hyperlink>
      <w:hyperlink w:anchor="note13">
        <w:r>
          <w:rPr>
            <w:rStyle w:val="InternetLink"/>
            <w:rFonts w:ascii="Times New Roman" w:hAnsi="Times New Roman"/>
            <w:i/>
            <w:caps w:val="false"/>
            <w:smallCaps w:val="false"/>
            <w:sz w:val="20"/>
          </w:rPr>
          <w:t>Stock-based Compensation</w:t>
        </w:r>
      </w:hyperlink>
      <w:r>
        <w:rPr>
          <w:rFonts w:ascii="Times New Roman" w:hAnsi="Times New Roman"/>
          <w:caps w:val="false"/>
          <w:smallCaps w:val="false"/>
          <w:sz w:val="20"/>
        </w:rPr>
        <w:t> in our Consolidated Financial Statements included in this Annual Report.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All other information required by this Item is incorporated by reference from the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bookmarkStart w:id="24" w:name="i13"/>
      <w:bookmarkEnd w:id="2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13</w:t>
      </w:r>
      <w:r>
        <w:rPr>
          <w:rFonts w:ascii="Times New Roman" w:hAnsi="Times New Roman"/>
          <w:caps w:val="false"/>
          <w:smallCaps w:val="false"/>
          <w:sz w:val="20"/>
        </w:rPr>
        <w:t xml:space="preserve"> </w:t>
      </w:r>
      <w:r>
        <w:rPr>
          <w:rFonts w:ascii="Times New Roman" w:hAnsi="Times New Roman"/>
          <w:b/>
          <w:caps w:val="false"/>
          <w:smallCaps w:val="false"/>
          <w:sz w:val="20"/>
        </w:rPr>
        <w:t>CERTAIN RELATIONSHIPS AND RELATED-PARTY TRANSACTIONS, AND DIRECTOR INDEPENDENCE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by reference from the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5" w:name="i14"/>
      <w:bookmarkEnd w:id="25"/>
      <w:r>
        <w:rPr>
          <w:rFonts w:ascii="Times New Roman" w:hAnsi="Times New Roman"/>
          <w:b/>
          <w:caps w:val="false"/>
          <w:smallCaps w:val="false"/>
          <w:sz w:val="20"/>
        </w:rPr>
        <w:t>ITEM 14</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PRINCIPAL ACCOUNTANT FEES AND SERVICES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by reference from the Proxy Statement.</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26" w:name="p4"/>
      <w:bookmarkEnd w:id="26"/>
      <w:r>
        <w:rPr>
          <w:rFonts w:ascii="Times New Roman" w:hAnsi="Times New Roman"/>
          <w:b/>
          <w:caps w:val="false"/>
          <w:smallCaps w:val="false"/>
          <w:sz w:val="20"/>
        </w:rPr>
        <w:t>PART IV</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7" w:name="i15"/>
      <w:bookmarkEnd w:id="27"/>
      <w:r>
        <w:rPr>
          <w:rFonts w:ascii="Times New Roman" w:hAnsi="Times New Roman"/>
          <w:b/>
          <w:caps w:val="false"/>
          <w:smallCaps w:val="false"/>
          <w:sz w:val="20"/>
        </w:rPr>
        <w:t>ITEM 15</w:t>
      </w:r>
      <w:r>
        <w:rPr>
          <w:rFonts w:ascii="Times New Roman" w:hAnsi="Times New Roman"/>
          <w:caps w:val="false"/>
          <w:smallCaps w:val="false"/>
          <w:sz w:val="20"/>
        </w:rPr>
        <w:t xml:space="preserve"> </w:t>
      </w:r>
      <w:r>
        <w:rPr>
          <w:rFonts w:ascii="Times New Roman" w:hAnsi="Times New Roman"/>
          <w:b/>
          <w:caps w:val="false"/>
          <w:smallCaps w:val="false"/>
          <w:sz w:val="20"/>
        </w:rPr>
        <w:t>EXHIBITS AND FINANCIAL STATEMENT SCHEDULES</w:t>
      </w:r>
    </w:p>
    <w:p>
      <w:pPr>
        <w:pStyle w:val="TextBody"/>
        <w:spacing w:before="0" w:after="0"/>
        <w:ind w:left="0" w:right="0" w:hanging="0"/>
        <w:rPr>
          <w:caps w:val="false"/>
          <w:smallCaps w:val="false"/>
        </w:rPr>
      </w:pPr>
      <w:r>
        <w:rPr>
          <w:caps w:val="false"/>
          <w:smallCaps w:val="false"/>
        </w:rPr>
        <w:t> </w:t>
      </w:r>
    </w:p>
    <w:tbl>
      <w:tblPr>
        <w:tblW w:w="8080" w:type="dxa"/>
        <w:jc w:val="left"/>
        <w:tblInd w:w="0" w:type="dxa"/>
        <w:tblCellMar>
          <w:top w:w="0" w:type="dxa"/>
          <w:left w:w="0" w:type="dxa"/>
          <w:bottom w:w="0" w:type="dxa"/>
          <w:right w:w="0" w:type="dxa"/>
        </w:tblCellMar>
      </w:tblPr>
      <w:tblGrid>
        <w:gridCol w:w="60"/>
        <w:gridCol w:w="245"/>
        <w:gridCol w:w="7775"/>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7775" w:type="dxa"/>
            <w:tcBorders/>
            <w:shd w:fill="auto" w:val="clear"/>
            <w:vAlign w:val="center"/>
          </w:tcPr>
          <w:p>
            <w:pPr>
              <w:pStyle w:val="TableContents"/>
              <w:spacing w:before="0" w:after="0"/>
              <w:ind w:left="0" w:right="0" w:hanging="0"/>
              <w:rPr/>
            </w:pPr>
            <w:r>
              <w:rPr>
                <w:rFonts w:ascii="Times New Roman;Times;serif" w:hAnsi="Times New Roman;Times;serif"/>
                <w:caps w:val="false"/>
                <w:smallCaps w:val="false"/>
                <w:sz w:val="20"/>
              </w:rPr>
              <w:t xml:space="preserve">See “Index to Consolidated Financial Statements” on </w:t>
            </w:r>
            <w:hyperlink w:anchor="notes_index">
              <w:r>
                <w:rPr>
                  <w:rStyle w:val="InternetLink"/>
                  <w:rFonts w:ascii="Times New Roman;Times;serif" w:hAnsi="Times New Roman;Times;serif"/>
                  <w:caps w:val="false"/>
                  <w:smallCaps w:val="false"/>
                  <w:sz w:val="20"/>
                </w:rPr>
                <w:t>page F-1</w:t>
              </w:r>
            </w:hyperlink>
            <w:r>
              <w:rPr>
                <w:rFonts w:ascii="Times New Roman;Times;serif" w:hAnsi="Times New Roman;Times;serif"/>
                <w:caps w:val="false"/>
                <w:smallCaps w:val="false"/>
                <w:sz w:val="20"/>
              </w:rPr>
              <w:t xml:space="preserve"> and “Exhibit Index” on </w:t>
            </w:r>
            <w:hyperlink w:anchor="exhibits">
              <w:r>
                <w:rPr>
                  <w:rStyle w:val="InternetLink"/>
                  <w:rFonts w:ascii="Times New Roman;Times;serif" w:hAnsi="Times New Roman;Times;serif"/>
                  <w:caps w:val="false"/>
                  <w:smallCaps w:val="false"/>
                  <w:sz w:val="20"/>
                </w:rPr>
                <w:t>page 38</w:t>
              </w:r>
            </w:hyperlink>
            <w:r>
              <w:rPr>
                <w:rFonts w:ascii="Times New Roman;Times;serif" w:hAnsi="Times New Roman;Times;serif"/>
                <w:caps w:val="false"/>
                <w:smallCaps w:val="false"/>
                <w:sz w:val="20"/>
              </w:rPr>
              <w:t>.</w:t>
            </w:r>
          </w:p>
        </w:tc>
      </w:tr>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c>
          <w:tcPr>
            <w:tcW w:w="7775" w:type="dxa"/>
            <w:tcBorders/>
            <w:shd w:fill="auto" w:val="clear"/>
            <w:vAlign w:val="center"/>
          </w:tcPr>
          <w:p>
            <w:pPr>
              <w:pStyle w:val="TableContents"/>
              <w:spacing w:before="0" w:after="0"/>
              <w:ind w:left="0" w:right="0" w:hanging="0"/>
              <w:rPr/>
            </w:pPr>
            <w:r>
              <w:rPr/>
              <w:t> </w:t>
            </w:r>
          </w:p>
        </w:tc>
      </w:tr>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7775" w:type="dxa"/>
            <w:tcBorders/>
            <w:shd w:fill="auto" w:val="clear"/>
            <w:vAlign w:val="center"/>
          </w:tcPr>
          <w:p>
            <w:pPr>
              <w:pStyle w:val="TableContents"/>
              <w:spacing w:before="0" w:after="0"/>
              <w:ind w:left="0" w:right="0" w:hanging="0"/>
              <w:rPr/>
            </w:pPr>
            <w:r>
              <w:rPr>
                <w:rFonts w:ascii="Times New Roman;Times;serif" w:hAnsi="Times New Roman;Times;serif"/>
                <w:caps w:val="false"/>
                <w:smallCaps w:val="false"/>
                <w:sz w:val="20"/>
              </w:rPr>
              <w:t xml:space="preserve">See “Exhibit Index” on </w:t>
            </w:r>
            <w:hyperlink w:anchor="exhibits">
              <w:r>
                <w:rPr>
                  <w:rStyle w:val="InternetLink"/>
                  <w:rFonts w:ascii="Times New Roman;Times;serif" w:hAnsi="Times New Roman;Times;serif"/>
                  <w:caps w:val="false"/>
                  <w:smallCaps w:val="false"/>
                  <w:sz w:val="20"/>
                </w:rPr>
                <w:t>page 38</w:t>
              </w:r>
            </w:hyperlink>
            <w:r>
              <w:rPr>
                <w:rFonts w:ascii="Times New Roman;Times;serif" w:hAnsi="Times New Roman;Times;serif"/>
                <w:caps w:val="false"/>
                <w:smallCaps w:val="false"/>
                <w:sz w:val="20"/>
              </w:rPr>
              <w:t>.</w:t>
            </w:r>
          </w:p>
        </w:tc>
      </w:tr>
    </w:tbl>
    <w:p>
      <w:pPr>
        <w:pStyle w:val="TextBody"/>
        <w:spacing w:before="0" w:after="0"/>
        <w:ind w:left="0" w:right="0" w:hanging="0"/>
        <w:rPr/>
      </w:pPr>
      <w:r>
        <w:rPr/>
        <w:t> </w:t>
      </w:r>
    </w:p>
    <w:p>
      <w:pPr>
        <w:pStyle w:val="TextBody"/>
        <w:spacing w:before="0" w:after="0"/>
        <w:ind w:left="36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sz w:val="20"/>
        </w:rPr>
      </w:pPr>
      <w:bookmarkStart w:id="28" w:name="exhibits"/>
      <w:bookmarkEnd w:id="28"/>
      <w:r>
        <w:rPr>
          <w:rFonts w:ascii="Times New Roman;Times;serif" w:hAnsi="Times New Roman;Times;serif"/>
          <w:b/>
          <w:sz w:val="20"/>
        </w:rPr>
        <w:t>EXHIBIT INDEX</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980"/>
        <w:gridCol w:w="60"/>
        <w:gridCol w:w="9165"/>
      </w:tblGrid>
      <w:tr>
        <w:trPr/>
        <w:tc>
          <w:tcPr>
            <w:tcW w:w="980" w:type="dxa"/>
            <w:tcBorders>
              <w:bottom w:val="single" w:sz="2" w:space="0" w:color="000000"/>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shd w:fill="auto" w:val="clear"/>
            <w:tcMar>
              <w:bottom w:w="0" w:type="dxa"/>
            </w:tcMar>
            <w:vAlign w:val="center"/>
          </w:tcPr>
          <w:p>
            <w:pPr>
              <w:pStyle w:val="TableContents"/>
              <w:spacing w:before="0" w:after="283"/>
              <w:rPr/>
            </w:pPr>
            <w:r>
              <w:rPr/>
              <w:t> </w:t>
            </w:r>
          </w:p>
        </w:tc>
        <w:tc>
          <w:tcPr>
            <w:tcW w:w="916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5" w:type="dxa"/>
            <w:tcBorders/>
            <w:shd w:fill="auto"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2.1</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3">
              <w:r>
                <w:rPr>
                  <w:rStyle w:val="InternetLink"/>
                  <w:rFonts w:ascii="Times New Roman" w:hAnsi="Times New Roman"/>
                  <w:caps w:val="false"/>
                  <w:smallCaps w:val="false"/>
                  <w:sz w:val="20"/>
                  <w:u w:val="single"/>
                </w:rPr>
                <w:t>Agreement and Plan of Merger, dated as of November 12, 2021, by and between the registrant, CRI Acquisition Corporation, Reflect Systems, Inc., and RSI Exit Corporation  (incorporated by reference to Exhibit 2.1 to the registrant’s Current Report on Form 8-K filed on November 15, 2021)</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2.2</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4">
              <w:r>
                <w:rPr>
                  <w:rStyle w:val="InternetLink"/>
                  <w:rFonts w:ascii="Times New Roman" w:hAnsi="Times New Roman"/>
                  <w:caps w:val="false"/>
                  <w:smallCaps w:val="false"/>
                  <w:sz w:val="20"/>
                </w:rPr>
                <w:t>Amendment to Agreement and Plan of Merger, dated as of February 8, 2022, by and among the registrant, CRI Acquisition Corporation, Reflect Systems, Inc., and RSI Exit Corporation (incorporated by reference to Exhibit 2.1 to the registrant’s Current Report on Form 8-K filed February 9, 2022)</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283"/>
              <w:rPr/>
            </w:pPr>
            <w:r>
              <w:rPr/>
              <w:t>2.3</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283"/>
              <w:rPr/>
            </w:pPr>
            <w:hyperlink r:id="rId5">
              <w:r>
                <w:rPr>
                  <w:rStyle w:val="InternetLink"/>
                  <w:u w:val="single"/>
                </w:rPr>
                <w:t>Second Amendment to Agreement and Plan of Merger dated as of February 11, 2023 by and among the registrant, Reflect Systems, Inc. and RSI Exit Corporation (incorporated by reference to Exhibit 10.1 to the registrant's Current Report on Form 8-K filed February 15, 2023)</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6">
              <w:r>
                <w:rPr>
                  <w:rStyle w:val="InternetLink"/>
                  <w:rFonts w:ascii="Times New Roman" w:hAnsi="Times New Roman"/>
                  <w:caps w:val="false"/>
                  <w:smallCaps w:val="false"/>
                  <w:sz w:val="20"/>
                  <w:u w:val="single"/>
                </w:rPr>
                <w:t>Articles of Incorporation, as amended (incorporated by reference to registrant’s Amendment No. 1 to Form SB-2 filed on October 12, 2006).</w:t>
              </w:r>
            </w:hyperlink>
          </w:p>
        </w:tc>
      </w:tr>
      <w:tr>
        <w:trPr/>
        <w:tc>
          <w:tcPr>
            <w:tcW w:w="98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7">
              <w:r>
                <w:rPr>
                  <w:rStyle w:val="InternetLink"/>
                  <w:rFonts w:ascii="Times New Roman" w:hAnsi="Times New Roman"/>
                  <w:caps w:val="false"/>
                  <w:smallCaps w:val="false"/>
                  <w:sz w:val="20"/>
                </w:rPr>
                <w:t>Articles of Amendment filed September 15, 2014 with the Minnesota Secretary of State to change the name of the registrant (incorporated by reference to Exhibit 3.1 to the registrant’s Form 8-K filed with the SEC on September 17, 2014)</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8">
              <w:r>
                <w:rPr>
                  <w:rStyle w:val="InternetLink"/>
                  <w:rFonts w:ascii="Times New Roman" w:hAnsi="Times New Roman"/>
                  <w:caps w:val="false"/>
                  <w:smallCaps w:val="false"/>
                  <w:sz w:val="20"/>
                </w:rPr>
                <w:t>Articles of Amendment filed with the Minnesota Secretary of State on October 14, 2014 to increase the authorized capital stock (incorporated by reference to Exhibit 3.1 to the registrant’s Form 8-K filed with the SEC on October 16, 2014)</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283"/>
              <w:rPr/>
            </w:pPr>
            <w:r>
              <w:rPr/>
              <w:t>3.4</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283"/>
              <w:rPr/>
            </w:pPr>
            <w:hyperlink r:id="rId9">
              <w:r>
                <w:rPr>
                  <w:rStyle w:val="InternetLink"/>
                </w:rPr>
                <w:t>Series A-1 Convertible Preferred Stock Certificate of Designation of Preferences, Rights and Limitations filed with the Minnesota Secretary of State on October 30, 3015 (incorporated by reference to Exhibit 4.2 of the registrant’s Registration Statement on Form S-1 filed with the SEC on February 11, 2016)</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3.5</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10">
              <w:r>
                <w:rPr>
                  <w:rStyle w:val="InternetLink"/>
                  <w:rFonts w:ascii="Times New Roman" w:hAnsi="Times New Roman"/>
                  <w:caps w:val="false"/>
                  <w:smallCaps w:val="false"/>
                  <w:sz w:val="20"/>
                </w:rPr>
                <w:t>Articles of Amendment filed on October 17, 2018 with the Minnesota Secretary of State to effect reverse stock split (incorporated by reference to Exhibit 3.3 to the registrant’s registration statement on Form S-1 filed October 22, 2018)</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3.6</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11">
              <w:r>
                <w:rPr>
                  <w:rStyle w:val="InternetLink"/>
                  <w:rFonts w:ascii="Times New Roman" w:hAnsi="Times New Roman"/>
                  <w:caps w:val="false"/>
                  <w:smallCaps w:val="false"/>
                  <w:sz w:val="20"/>
                </w:rPr>
                <w:t>Statement of Cancellation of Certificate of Designation of Series A Convertible Preferred Stock filed with the Minnesota Secretary of State on March 18, 2019 (incorporated by reference to Exhibit 3.1 to the registrant’s Form 8-K filed with the SEC on March 18, 2019)</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3.7</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12">
              <w:r>
                <w:rPr>
                  <w:rStyle w:val="InternetLink"/>
                  <w:rFonts w:ascii="Times New Roman" w:hAnsi="Times New Roman"/>
                  <w:caps w:val="false"/>
                  <w:smallCaps w:val="false"/>
                  <w:sz w:val="20"/>
                </w:rPr>
                <w:t>Statement of Cancellation of Certificate of Designation of Series A-1 Convertible Preferred Stock filed with the Minnesota Secretary of State on March 18, 2019 (incorporated by reference to Exhibit 3.2 to the registrant’s Form 8-K filed with the SEC on March 18, 2019)</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3.8</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13">
              <w:r>
                <w:rPr>
                  <w:rStyle w:val="InternetLink"/>
                  <w:rFonts w:ascii="Times New Roman" w:hAnsi="Times New Roman"/>
                  <w:caps w:val="false"/>
                  <w:smallCaps w:val="false"/>
                  <w:sz w:val="20"/>
                  <w:u w:val="single"/>
                </w:rPr>
                <w:t>Articles of Amendment to effect reverse stock split and reduction of authorized capital filed with the Minnesota Secretary of State on March 22, 2023 (incorporated by reference to Exhibit 3.1 to the registrant's Current Report on Form 8-K filed with the SEC on March 24, 2023)</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3.9</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14">
              <w:r>
                <w:rPr>
                  <w:rStyle w:val="InternetLink"/>
                  <w:rFonts w:ascii="Times New Roman" w:hAnsi="Times New Roman"/>
                  <w:caps w:val="false"/>
                  <w:smallCaps w:val="false"/>
                  <w:sz w:val="20"/>
                </w:rPr>
                <w:t>Amended and Restated Bylaws (incorporated by reference to the registrant’s Current Report on Form 8-K filed on November 2, 2011)</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15">
              <w:r>
                <w:rPr>
                  <w:rStyle w:val="InternetLink"/>
                  <w:rFonts w:ascii="Times New Roman" w:hAnsi="Times New Roman"/>
                  <w:caps w:val="false"/>
                  <w:smallCaps w:val="false"/>
                  <w:sz w:val="20"/>
                </w:rPr>
                <w:t>Specimen certificate evidencing shares of Common Stock (incorporated by reference to Exhibit 4.2 of the Registrant’s Registration Statement on Form SB-2 (File No. 333-136972))</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16">
              <w:r>
                <w:rPr>
                  <w:rStyle w:val="InternetLink"/>
                  <w:rFonts w:ascii="Times New Roman" w:hAnsi="Times New Roman"/>
                  <w:caps w:val="false"/>
                  <w:smallCaps w:val="false"/>
                  <w:sz w:val="20"/>
                </w:rPr>
                <w:t>Form of Indenture between the registrant and one or more trustees to be named (incorporated by reference to Exhibit 4.4 of the Registrant’s Registration Statement on Form S-3 (File No. 333-238275)</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17">
              <w:r>
                <w:rPr>
                  <w:rStyle w:val="InternetLink"/>
                  <w:rFonts w:ascii="Times New Roman" w:hAnsi="Times New Roman"/>
                  <w:caps w:val="false"/>
                  <w:smallCaps w:val="false"/>
                  <w:sz w:val="20"/>
                </w:rPr>
                <w:t>Form of Warrant Issued to Selling Stockholders (November 19, 2018 Issuance date) (incorporated by reference to Exhibit 4.2 of the Registrant’s Registration Statement on Form S-3 (File No. 333-239108)</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4.4</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18">
              <w:r>
                <w:rPr>
                  <w:rStyle w:val="InternetLink"/>
                  <w:rFonts w:ascii="Times New Roman" w:hAnsi="Times New Roman"/>
                  <w:caps w:val="false"/>
                  <w:smallCaps w:val="false"/>
                  <w:sz w:val="20"/>
                </w:rPr>
                <w:t>Warrant dated August 10, 2017, issued in favor of Slipstream Communications, LLC (incorporated by reference to the registrant’s Form 10-Q filed with the SEC on November 14, 2017)</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4.5</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19">
              <w:r>
                <w:rPr>
                  <w:rStyle w:val="InternetLink"/>
                  <w:rFonts w:ascii="Times New Roman" w:hAnsi="Times New Roman"/>
                  <w:caps w:val="false"/>
                  <w:smallCaps w:val="false"/>
                  <w:sz w:val="20"/>
                </w:rPr>
                <w:t>Warrant dated November 13, 2017, issued in favor of Slipstream Communications, LLC (incorporated by reference to the registrant’s Form S-1 filed with the SEC on June 25, 2018) </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4.6</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20">
              <w:r>
                <w:rPr>
                  <w:rStyle w:val="InternetLink"/>
                  <w:rFonts w:ascii="Times New Roman" w:hAnsi="Times New Roman"/>
                  <w:caps w:val="false"/>
                  <w:smallCaps w:val="false"/>
                  <w:sz w:val="20"/>
                </w:rPr>
                <w:t>Warrant dated January 16, 2018, issued in favor of Slipstream Communications, LLC (incorporated by reference to the registrant’s Form S-1 filed with the SEC on June 25, 2018)</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28" w:type="dxa"/>
          <w:right w:w="0" w:type="dxa"/>
        </w:tblCellMar>
      </w:tblPr>
      <w:tblGrid>
        <w:gridCol w:w="980"/>
        <w:gridCol w:w="60"/>
        <w:gridCol w:w="9165"/>
      </w:tblGrid>
      <w:tr>
        <w:trPr/>
        <w:tc>
          <w:tcPr>
            <w:tcW w:w="980" w:type="dxa"/>
            <w:tcBorders>
              <w:bottom w:val="single" w:sz="2" w:space="0" w:color="000000"/>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shd w:fill="auto" w:val="clear"/>
            <w:tcMar>
              <w:bottom w:w="0" w:type="dxa"/>
            </w:tcMar>
            <w:vAlign w:val="center"/>
          </w:tcPr>
          <w:p>
            <w:pPr>
              <w:pStyle w:val="TableContents"/>
              <w:spacing w:before="0" w:after="283"/>
              <w:rPr/>
            </w:pPr>
            <w:r>
              <w:rPr/>
              <w:t> </w:t>
            </w:r>
          </w:p>
        </w:tc>
        <w:tc>
          <w:tcPr>
            <w:tcW w:w="916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5" w:type="dxa"/>
            <w:tcBorders/>
            <w:shd w:fill="auto"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4.7</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21">
              <w:r>
                <w:rPr>
                  <w:rStyle w:val="InternetLink"/>
                  <w:rFonts w:ascii="Times New Roman" w:hAnsi="Times New Roman"/>
                  <w:caps w:val="false"/>
                  <w:smallCaps w:val="false"/>
                  <w:sz w:val="20"/>
                </w:rPr>
                <w:t>Warrant to Purchase Common Stock issued to Slipstream Communications, LLC on April 27, 2018 (incorporated by reference to Exhibit 10.31 of the registrant’s Form S-1 filed with the SEC on June 25, 2018).</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4.8</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22">
              <w:r>
                <w:rPr>
                  <w:rStyle w:val="InternetLink"/>
                  <w:rFonts w:ascii="Times New Roman" w:hAnsi="Times New Roman"/>
                  <w:caps w:val="false"/>
                  <w:smallCaps w:val="false"/>
                  <w:sz w:val="20"/>
                </w:rPr>
                <w:t>Warrant to Purchase Common Stock (entered into in connection with Loan and Security Agreement dated August 17, 2016) (incorporated by reference to the registrant’s Quarterly Report on Form 10-Q filed with the SEC on November 21, 2016)</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4.9</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23">
              <w:r>
                <w:rPr>
                  <w:rStyle w:val="InternetLink"/>
                  <w:rFonts w:ascii="Times New Roman" w:hAnsi="Times New Roman"/>
                  <w:caps w:val="false"/>
                  <w:smallCaps w:val="false"/>
                  <w:sz w:val="20"/>
                </w:rPr>
                <w:t>Form of Investor Warrant issued November 19, 2018 (incorporated by reference to Exhibit 4.3 to the registrant’s Amendment No. 5 to Form S-1/A filed with the SEC on November 14, 2018)</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4.10</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24">
              <w:r>
                <w:rPr>
                  <w:rStyle w:val="InternetLink"/>
                  <w:rFonts w:ascii="Times New Roman" w:hAnsi="Times New Roman"/>
                  <w:caps w:val="false"/>
                  <w:smallCaps w:val="false"/>
                  <w:sz w:val="20"/>
                </w:rPr>
                <w:t>Form of Representative’s Warrant (incorporated by reference to Exhibit 4.4 to the registrant’s Amendment No. 3 to Form S-1/A filed with the SEC on October 22, 2018)</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4.11</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25">
              <w:r>
                <w:rPr>
                  <w:rStyle w:val="InternetLink"/>
                  <w:rFonts w:ascii="Times New Roman" w:hAnsi="Times New Roman"/>
                  <w:caps w:val="false"/>
                  <w:smallCaps w:val="false"/>
                  <w:sz w:val="20"/>
                </w:rPr>
                <w:t>Description of Registrant’s Securities (incorporated by reference to Exhibit 4.14 of Registrant’s Annual Report on Form 10-K for the fiscal year ended 12/31/2019)</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4.12</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26">
              <w:r>
                <w:rPr>
                  <w:rStyle w:val="InternetLink"/>
                  <w:rFonts w:ascii="Times New Roman" w:hAnsi="Times New Roman"/>
                  <w:caps w:val="false"/>
                  <w:smallCaps w:val="false"/>
                  <w:sz w:val="20"/>
                </w:rPr>
                <w:t>Form of Pre-Funded Warrant (incorporated by reference to Exhibit 4.1 of the registrant’s Current Report on Form 8-K filed February 4, 2022)</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4.13</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27">
              <w:r>
                <w:rPr>
                  <w:rStyle w:val="InternetLink"/>
                  <w:rFonts w:ascii="Times New Roman" w:hAnsi="Times New Roman"/>
                  <w:caps w:val="false"/>
                  <w:smallCaps w:val="false"/>
                  <w:sz w:val="20"/>
                </w:rPr>
                <w:t>Investor Warrant dated June 30, 2022 (incorporated by reference to Exhibit 10.2 of the registrant's Current Report on Form 8-K filed July 7, 2022)</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4.14</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28">
              <w:r>
                <w:rPr>
                  <w:rStyle w:val="InternetLink"/>
                  <w:rFonts w:ascii="Times New Roman" w:hAnsi="Times New Roman"/>
                  <w:caps w:val="false"/>
                  <w:smallCaps w:val="false"/>
                  <w:sz w:val="20"/>
                  <w:u w:val="single"/>
                </w:rPr>
                <w:t>Lender Warrant dated June 30, 2022 (incorporated by reference to Exhibit 10.1 of the registrant's Current Report on Form 8-K filed July 7, 2022)</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4.15</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29">
              <w:r>
                <w:rPr>
                  <w:rStyle w:val="InternetLink"/>
                  <w:rFonts w:ascii="Times New Roman" w:hAnsi="Times New Roman"/>
                  <w:caps w:val="false"/>
                  <w:smallCaps w:val="false"/>
                  <w:sz w:val="20"/>
                </w:rPr>
                <w:t>Investor Warrant dated June 30, 2022 (incorporated by reference to Exhibit 10.3 of the registrant's Current Report on Form 8-K filed July 7, 2022)</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9.1</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30">
              <w:r>
                <w:rPr>
                  <w:rStyle w:val="InternetLink"/>
                  <w:rFonts w:ascii="Times New Roman" w:hAnsi="Times New Roman"/>
                  <w:caps w:val="false"/>
                  <w:smallCaps w:val="false"/>
                  <w:sz w:val="20"/>
                </w:rPr>
                <w:t>Voting and Lock-up Agreement dated November 12, 2021 among registrant, Reflect Systems, Inc. and certain stockholders of Reflect incorporated by reference to Exhibit 9.1 to the registrant’s Current Report on Form 8-K filed November 15, 2021)</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9.2</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31">
              <w:r>
                <w:rPr>
                  <w:rStyle w:val="InternetLink"/>
                  <w:rFonts w:ascii="Times New Roman" w:hAnsi="Times New Roman"/>
                  <w:caps w:val="false"/>
                  <w:smallCaps w:val="false"/>
                  <w:sz w:val="20"/>
                </w:rPr>
                <w:t>Voting Agreement dated November 12, 2021 among registrant, Reflect Systems, Inc. and certain stockholders of registrant (incorporated by reference to Exhibit 9.2 to the registrant’s Current Report on Form 8-K filed November 15, 2021)</w:t>
              </w:r>
            </w:hyperlink>
          </w:p>
        </w:tc>
      </w:tr>
      <w:tr>
        <w:trPr/>
        <w:tc>
          <w:tcPr>
            <w:tcW w:w="9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5" w:type="dxa"/>
            <w:tcBorders/>
            <w:shd w:fill="auto"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32">
              <w:r>
                <w:rPr>
                  <w:rStyle w:val="InternetLink"/>
                  <w:rFonts w:ascii="Times New Roman" w:hAnsi="Times New Roman"/>
                  <w:caps w:val="false"/>
                  <w:smallCaps w:val="false"/>
                  <w:sz w:val="20"/>
                </w:rPr>
                <w:t>Form of Warrant Agency Agreement between the Company and Computershare Trust Company, N.A. (incorporated by reference to Exhibit 4.5 of the registrant’s registration statement on Form S-1 filed October 22, 2018)</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33">
              <w:r>
                <w:rPr>
                  <w:rStyle w:val="InternetLink"/>
                  <w:rFonts w:ascii="Times New Roman" w:hAnsi="Times New Roman"/>
                  <w:caps w:val="false"/>
                  <w:smallCaps w:val="false"/>
                  <w:sz w:val="20"/>
                </w:rPr>
                <w:t>Master Distribution Agreement dated June 19, 2020 by and between the Company and InReality, LLC (incorporated by reference to Exhibit 10.1 of the registrant’s report on Form 8-K filed with the SEC on June 19, 2020)</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34">
              <w:r>
                <w:rPr>
                  <w:rStyle w:val="InternetLink"/>
                  <w:rFonts w:ascii="Times New Roman" w:hAnsi="Times New Roman"/>
                  <w:caps w:val="false"/>
                  <w:smallCaps w:val="false"/>
                  <w:sz w:val="20"/>
                </w:rPr>
                <w:t>Employment Agreement dated as of November 12, 2021 by and between the registrant and Rick Mills (incorporated by reference to Exhibit 10.1 to the registrant’s Current Report on Form 8-K filed November 15, 2021).</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35">
              <w:r>
                <w:rPr>
                  <w:rStyle w:val="InternetLink"/>
                  <w:rFonts w:ascii="Times New Roman" w:hAnsi="Times New Roman"/>
                  <w:caps w:val="false"/>
                  <w:smallCaps w:val="false"/>
                  <w:sz w:val="20"/>
                </w:rPr>
                <w:t>Employment Agreement dated as of November 12, 2021 by and between the registrant and Will Logan. (incorporated by reference to Exhibit 10.2 to the registrant’s Current Report on Form 8-K filed November 15, 2021)**</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36">
              <w:r>
                <w:rPr>
                  <w:rStyle w:val="InternetLink"/>
                  <w:rFonts w:ascii="Times New Roman" w:hAnsi="Times New Roman"/>
                  <w:caps w:val="false"/>
                  <w:smallCaps w:val="false"/>
                  <w:sz w:val="20"/>
                </w:rPr>
                <w:t>Form of Securities Purchase Agreement dated February 3, 2022 by and between Creative Realities, Inc. and the Investors (incorporated by reference to Exhibit 10.1 of the registrant’s Current Report on Form 8-K filed February 4, 2022)</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37">
              <w:r>
                <w:rPr>
                  <w:rStyle w:val="InternetLink"/>
                  <w:rFonts w:ascii="Times New Roman" w:hAnsi="Times New Roman"/>
                  <w:caps w:val="false"/>
                  <w:smallCaps w:val="false"/>
                  <w:sz w:val="20"/>
                </w:rPr>
                <w:t>Form of Registration Rights Agreement dated February 3, 2022 by and between Creative Realities, Inc. and the Investors (incorporated by reference to Exhibit 10.2 of the registrant’s Current Report on Form 8-K filed February 4, 2022)</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38">
              <w:r>
                <w:rPr>
                  <w:rStyle w:val="InternetLink"/>
                  <w:rFonts w:ascii="Times New Roman" w:hAnsi="Times New Roman"/>
                  <w:caps w:val="false"/>
                  <w:smallCaps w:val="false"/>
                  <w:sz w:val="20"/>
                </w:rPr>
                <w:t>Second Amended and Restated Loan and Security Agreement by and among the registrant, its subsidiaries and Slipstream Communications, LLC (incorporated by reference to Exhibit 10.1 of the registrant’s Current Report on Form 8-K filed February 18, 2022)</w:t>
              </w:r>
            </w:hyperlink>
          </w:p>
        </w:tc>
      </w:tr>
      <w:tr>
        <w:trPr/>
        <w:tc>
          <w:tcPr>
            <w:tcW w:w="9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5" w:type="dxa"/>
            <w:tcBorders/>
            <w:shd w:fill="auto"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283"/>
              <w:rPr/>
            </w:pPr>
            <w:r>
              <w:rPr/>
              <w:t>10.8</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283"/>
              <w:rPr/>
            </w:pPr>
            <w:hyperlink r:id="rId39">
              <w:r>
                <w:rPr>
                  <w:rStyle w:val="InternetLink"/>
                  <w:u w:val="single"/>
                </w:rPr>
                <w:t>First Amendment to Second Amended and Restated Loan and Security Agreement (incorporated by reference to Exhibit 10.4 to the registrant's Quarterly Report on Form 10-Q filed with the SEC on November 14, 2022)</w:t>
              </w:r>
            </w:hyperlink>
          </w:p>
        </w:tc>
      </w:tr>
      <w:tr>
        <w:trPr/>
        <w:tc>
          <w:tcPr>
            <w:tcW w:w="9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165" w:type="dxa"/>
            <w:tcBorders/>
            <w:shd w:fill="FFFFFF" w:val="clear"/>
            <w:tcMar>
              <w:bottom w:w="0" w:type="dxa"/>
            </w:tcMar>
            <w:vAlign w:val="center"/>
          </w:tcPr>
          <w:p>
            <w:pPr>
              <w:pStyle w:val="TableContents"/>
              <w:spacing w:before="0" w:after="283"/>
              <w:rPr/>
            </w:pPr>
            <w:r>
              <w:rPr/>
              <w:t> </w:t>
            </w:r>
          </w:p>
        </w:tc>
      </w:tr>
      <w:tr>
        <w:trPr/>
        <w:tc>
          <w:tcPr>
            <w:tcW w:w="98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10.9</w:t>
            </w:r>
          </w:p>
        </w:tc>
        <w:tc>
          <w:tcPr>
            <w:tcW w:w="60" w:type="dxa"/>
            <w:tcBorders/>
            <w:shd w:fill="CCEEFF" w:val="clear"/>
            <w:tcMar>
              <w:bottom w:w="0" w:type="dxa"/>
            </w:tcMar>
            <w:vAlign w:val="center"/>
          </w:tcPr>
          <w:p>
            <w:pPr>
              <w:pStyle w:val="TableContents"/>
              <w:spacing w:before="0" w:after="283"/>
              <w:rPr/>
            </w:pPr>
            <w:r>
              <w:rPr/>
              <w:t> </w:t>
            </w:r>
          </w:p>
        </w:tc>
        <w:tc>
          <w:tcPr>
            <w:tcW w:w="9165" w:type="dxa"/>
            <w:tcBorders/>
            <w:shd w:fill="CCEEFF" w:val="clear"/>
            <w:tcMar>
              <w:bottom w:w="0" w:type="dxa"/>
            </w:tcMar>
            <w:vAlign w:val="center"/>
          </w:tcPr>
          <w:p>
            <w:pPr>
              <w:pStyle w:val="TableContents"/>
              <w:spacing w:before="0" w:after="0"/>
              <w:ind w:left="0" w:right="0" w:hanging="0"/>
              <w:rPr/>
            </w:pPr>
            <w:hyperlink r:id="rId40">
              <w:r>
                <w:rPr>
                  <w:rStyle w:val="InternetLink"/>
                  <w:rFonts w:ascii="Times New Roman" w:hAnsi="Times New Roman"/>
                  <w:caps w:val="false"/>
                  <w:smallCaps w:val="false"/>
                  <w:sz w:val="20"/>
                </w:rPr>
                <w:t>$10,000,000 Acquisition Term Note (incorporated by reference to Exhibit 10.2 of the registrant’s Current Report on Form 8-K filed February 18, 2022)</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28" w:type="dxa"/>
          <w:right w:w="0" w:type="dxa"/>
        </w:tblCellMar>
      </w:tblPr>
      <w:tblGrid>
        <w:gridCol w:w="1190"/>
        <w:gridCol w:w="60"/>
        <w:gridCol w:w="8955"/>
      </w:tblGrid>
      <w:tr>
        <w:trPr/>
        <w:tc>
          <w:tcPr>
            <w:tcW w:w="1190" w:type="dxa"/>
            <w:tcBorders>
              <w:bottom w:val="single" w:sz="2" w:space="0" w:color="000000"/>
            </w:tcBorders>
            <w:shd w:fill="auto" w:val="clear"/>
            <w:vAlign w:val="center"/>
          </w:tcPr>
          <w:p>
            <w:pPr>
              <w:pStyle w:val="TableContents"/>
              <w:spacing w:before="0" w:after="283"/>
              <w:rPr/>
            </w:pPr>
            <w:r>
              <w:rPr>
                <w:b/>
              </w:rPr>
              <w:t>Exhibit</w:t>
            </w:r>
            <w:r>
              <w:rPr/>
              <w:t> </w:t>
            </w:r>
            <w:r>
              <w:rPr>
                <w:b/>
              </w:rPr>
              <w:t>No.</w:t>
            </w:r>
          </w:p>
        </w:tc>
        <w:tc>
          <w:tcPr>
            <w:tcW w:w="60" w:type="dxa"/>
            <w:tcBorders/>
            <w:shd w:fill="auto" w:val="clear"/>
            <w:tcMar>
              <w:bottom w:w="0" w:type="dxa"/>
            </w:tcMar>
            <w:vAlign w:val="center"/>
          </w:tcPr>
          <w:p>
            <w:pPr>
              <w:pStyle w:val="TableContents"/>
              <w:spacing w:before="0" w:after="283"/>
              <w:rPr/>
            </w:pPr>
            <w:r>
              <w:rPr/>
              <w:t> </w:t>
            </w:r>
          </w:p>
        </w:tc>
        <w:tc>
          <w:tcPr>
            <w:tcW w:w="8955" w:type="dxa"/>
            <w:tcBorders>
              <w:bottom w:val="single" w:sz="2" w:space="0" w:color="000000"/>
            </w:tcBorders>
            <w:shd w:fill="auto" w:val="clear"/>
            <w:vAlign w:val="center"/>
          </w:tcPr>
          <w:p>
            <w:pPr>
              <w:pStyle w:val="TableContents"/>
              <w:spacing w:before="0" w:after="283"/>
              <w:jc w:val="center"/>
              <w:rPr>
                <w:b/>
              </w:rPr>
            </w:pPr>
            <w:r>
              <w:rPr>
                <w:b/>
              </w:rPr>
              <w:t>Description</w:t>
            </w:r>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10.10</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pPr>
            <w:hyperlink r:id="rId41">
              <w:r>
                <w:rPr>
                  <w:rStyle w:val="InternetLink"/>
                  <w:rFonts w:ascii="Times New Roman" w:hAnsi="Times New Roman"/>
                  <w:caps w:val="false"/>
                  <w:smallCaps w:val="false"/>
                  <w:sz w:val="20"/>
                </w:rPr>
                <w:t>$7,185,319.06 Consolidation Term Note (incorporated by reference to Exhibit 10.3 of the registrant’s Current Report on Form 8-K filed February 18, 2022)</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10.11</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pPr>
            <w:hyperlink r:id="rId42">
              <w:r>
                <w:rPr>
                  <w:rStyle w:val="InternetLink"/>
                  <w:rFonts w:ascii="Times New Roman" w:hAnsi="Times New Roman"/>
                  <w:caps w:val="false"/>
                  <w:smallCaps w:val="false"/>
                  <w:sz w:val="20"/>
                  <w:u w:val="single"/>
                </w:rPr>
                <w:t>Term Note (2022) (incorporated by reference to Exhibit 10.5 to the registrant's Quarterly Report on Form 10-Q filed with the SEC on November 14, 2022)</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283"/>
              <w:rPr/>
            </w:pPr>
            <w:r>
              <w:rPr/>
              <w:t>10.12</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283"/>
              <w:rPr/>
            </w:pPr>
            <w:hyperlink r:id="rId43">
              <w:r>
                <w:rPr>
                  <w:rStyle w:val="InternetLink"/>
                </w:rPr>
                <w:t>Note and Security Agreement (incorporated by reference to Exhibit 10.4 of the registrant’s Current Report on Form 8-K filed February 18, 2022)</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283"/>
              <w:rPr/>
            </w:pPr>
            <w:r>
              <w:rPr/>
              <w:t>10.13</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283"/>
              <w:rPr/>
            </w:pPr>
            <w:hyperlink r:id="rId44">
              <w:r>
                <w:rPr>
                  <w:rStyle w:val="InternetLink"/>
                  <w:u w:val="single"/>
                </w:rPr>
                <w:t>First Amendment to Note and Security Agreement (incorporated by reference to Exhibit 10.2 of the registrant's Current Report on Form 8-K filed February 15, 2023)</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10.14**</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pPr>
            <w:hyperlink r:id="rId45">
              <w:r>
                <w:rPr>
                  <w:rStyle w:val="InternetLink"/>
                  <w:rFonts w:ascii="Times New Roman" w:hAnsi="Times New Roman"/>
                  <w:caps w:val="false"/>
                  <w:smallCaps w:val="false"/>
                  <w:sz w:val="20"/>
                </w:rPr>
                <w:t>2014 Stock Incentive Plan, as amended (incorporated by reference to Exhibit A to the registrant's definitive proxy statement on Schedule 14A filed with the SEC on June 12, 2020)</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10.15**</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pPr>
            <w:hyperlink r:id="rId46">
              <w:r>
                <w:rPr>
                  <w:rStyle w:val="InternetLink"/>
                  <w:rFonts w:ascii="Times New Roman" w:hAnsi="Times New Roman"/>
                  <w:caps w:val="false"/>
                  <w:smallCaps w:val="false"/>
                  <w:sz w:val="20"/>
                </w:rPr>
                <w:t>Retention Bonus Plan (incorporated by reference to Exhibit 10.5 of the registrant’s Current Report on Form 8-K filed February 18, 2022)</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10.16**</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pPr>
            <w:hyperlink r:id="rId47">
              <w:r>
                <w:rPr>
                  <w:rStyle w:val="InternetLink"/>
                  <w:rFonts w:ascii="Times New Roman" w:hAnsi="Times New Roman"/>
                  <w:caps w:val="false"/>
                  <w:smallCaps w:val="false"/>
                  <w:sz w:val="20"/>
                </w:rPr>
                <w:t>Form of Retention Bonus Plan Award Agreement (incorporated by reference to Exhibit 10.6 of the registrant’s Current Report on Form 8-K filed February 18, 2022)</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283"/>
              <w:rPr/>
            </w:pPr>
            <w:r>
              <w:rPr/>
              <w:t>10.17**</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283"/>
              <w:rPr/>
            </w:pPr>
            <w:hyperlink r:id="rId48">
              <w:r>
                <w:rPr>
                  <w:rStyle w:val="InternetLink"/>
                  <w:u w:val="single"/>
                </w:rPr>
                <w:t>Amendment to Stock Option Agreement dated June 15, 2022 between the Company and Rick Mills (incorporated by reference to Exhibit 10.1 to the registrant's Current Report on Form 8-K filed with the SEC on June 17, 2022)</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283"/>
              <w:rPr/>
            </w:pPr>
            <w:r>
              <w:rPr/>
              <w:t>10.18**</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283"/>
              <w:rPr/>
            </w:pPr>
            <w:hyperlink r:id="rId49">
              <w:r>
                <w:rPr>
                  <w:rStyle w:val="InternetLink"/>
                  <w:u w:val="single"/>
                </w:rPr>
                <w:t>Amendment to Stock Option Agreement dated June 15, 2022 between the Company and Will Logan (incorporated by reference to Exhibit 10.2 to the registrant's Current Report on Form 8-K filed with the SEC on June 17, 2022)</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283"/>
              <w:rPr/>
            </w:pPr>
            <w:r>
              <w:rPr/>
              <w:t>10.19**</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283"/>
              <w:rPr/>
            </w:pPr>
            <w:hyperlink r:id="rId50">
              <w:r>
                <w:rPr>
                  <w:rStyle w:val="InternetLink"/>
                  <w:u w:val="single"/>
                </w:rPr>
                <w:t>Stock Option Agreement dated June 15, 2022 between the Company and Rick Mills (incorporated by reference to Exhibit 10.3 to the registrant's Current Report on Form 8-K filed with the SEC on June 17, 2022)</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283"/>
              <w:rPr/>
            </w:pPr>
            <w:r>
              <w:rPr/>
              <w:t>10.20**</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283"/>
              <w:rPr/>
            </w:pPr>
            <w:hyperlink r:id="rId51">
              <w:r>
                <w:rPr>
                  <w:rStyle w:val="InternetLink"/>
                  <w:u w:val="single"/>
                </w:rPr>
                <w:t>Stock Option Agreement dated June 15, 2022 between the Company and Will Logan (incorporated by reference to Exhibit 10.4 to the registrant's Current Report on Form 8-K filed with the SEC on June 17, 2022)</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14.1</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pPr>
            <w:hyperlink r:id="rId52">
              <w:r>
                <w:rPr>
                  <w:rStyle w:val="InternetLink"/>
                  <w:rFonts w:ascii="Times New Roman" w:hAnsi="Times New Roman"/>
                  <w:caps w:val="false"/>
                  <w:smallCaps w:val="false"/>
                  <w:sz w:val="20"/>
                </w:rPr>
                <w:t>Code of Business Conduct and Ethics (incorporated by reference to Exhibit 14.1 of the Registrant’s Annual Report on Form 10-K for the fiscal year ended December 31, 2018)</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21.1</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pPr>
            <w:hyperlink w:anchor="ex_459576.htm">
              <w:r>
                <w:rPr>
                  <w:rStyle w:val="InternetLink"/>
                  <w:rFonts w:ascii="Times New Roman" w:hAnsi="Times New Roman"/>
                  <w:caps w:val="false"/>
                  <w:smallCaps w:val="false"/>
                  <w:sz w:val="20"/>
                </w:rPr>
                <w:t>List of Subsidiaries*</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pPr>
            <w:hyperlink w:anchor="ex_459577.htm">
              <w:r>
                <w:rPr>
                  <w:rStyle w:val="InternetLink"/>
                  <w:rFonts w:ascii="Times New Roman" w:hAnsi="Times New Roman"/>
                  <w:caps w:val="false"/>
                  <w:smallCaps w:val="false"/>
                  <w:sz w:val="20"/>
                </w:rPr>
                <w:t>Consent of Deloitte &amp; Touche LLP*</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pPr>
            <w:hyperlink w:anchor="ex_459578.htm">
              <w:r>
                <w:rPr>
                  <w:rStyle w:val="InternetLink"/>
                  <w:rFonts w:ascii="Times New Roman" w:hAnsi="Times New Roman"/>
                  <w:caps w:val="false"/>
                  <w:smallCaps w:val="false"/>
                  <w:sz w:val="20"/>
                </w:rPr>
                <w:t>Chief Executive Officer Certification pursuant to Exchange Act Rule 13a-14(a).*</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pPr>
            <w:hyperlink w:anchor="ex_459579.htm">
              <w:r>
                <w:rPr>
                  <w:rStyle w:val="InternetLink"/>
                  <w:rFonts w:ascii="Times New Roman" w:hAnsi="Times New Roman"/>
                  <w:caps w:val="false"/>
                  <w:smallCaps w:val="false"/>
                  <w:sz w:val="20"/>
                </w:rPr>
                <w:t>Chief Financial Officer Certification pursuant to Exchange Act Rule 13a-14(a).*</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pPr>
            <w:hyperlink w:anchor="ex_459580.htm">
              <w:r>
                <w:rPr>
                  <w:rStyle w:val="InternetLink"/>
                  <w:rFonts w:ascii="Times New Roman" w:hAnsi="Times New Roman"/>
                  <w:caps w:val="false"/>
                  <w:smallCaps w:val="false"/>
                  <w:sz w:val="20"/>
                </w:rPr>
                <w:t>Chief Executive Officer Certification pursuant to 18 U.S.C. Section 1350.*</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pPr>
            <w:hyperlink w:anchor="ex_459581.htm">
              <w:r>
                <w:rPr>
                  <w:rStyle w:val="InternetLink"/>
                  <w:rFonts w:ascii="Times New Roman" w:hAnsi="Times New Roman"/>
                  <w:caps w:val="false"/>
                  <w:smallCaps w:val="false"/>
                  <w:sz w:val="20"/>
                </w:rPr>
                <w:t>Chief Financial Officer Certification pursuant to 18 U.S.C. Section 1350.*</w:t>
              </w:r>
            </w:hyperlink>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119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955" w:type="dxa"/>
            <w:tcBorders/>
            <w:shd w:fill="FFFFFF" w:val="clear"/>
            <w:tcMar>
              <w:bottom w:w="0" w:type="dxa"/>
            </w:tcMar>
            <w:vAlign w:val="center"/>
          </w:tcPr>
          <w:p>
            <w:pPr>
              <w:pStyle w:val="TableContents"/>
              <w:spacing w:before="0" w:after="283"/>
              <w:rPr/>
            </w:pPr>
            <w:r>
              <w:rPr/>
              <w:t> </w:t>
            </w:r>
          </w:p>
        </w:tc>
      </w:tr>
      <w:tr>
        <w:trPr/>
        <w:tc>
          <w:tcPr>
            <w:tcW w:w="119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shd w:fill="CCEEFF" w:val="clear"/>
            <w:tcMar>
              <w:bottom w:w="0" w:type="dxa"/>
            </w:tcMar>
            <w:vAlign w:val="center"/>
          </w:tcPr>
          <w:p>
            <w:pPr>
              <w:pStyle w:val="TableContents"/>
              <w:spacing w:before="0" w:after="283"/>
              <w:rPr/>
            </w:pPr>
            <w:r>
              <w:rPr/>
              <w:t> </w:t>
            </w:r>
          </w:p>
        </w:tc>
        <w:tc>
          <w:tcPr>
            <w:tcW w:w="895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spacing w:before="0" w:after="0"/>
        <w:ind w:left="0" w:right="0" w:hanging="0"/>
        <w:rPr>
          <w:caps w:val="false"/>
          <w:smallCaps w:val="false"/>
        </w:rPr>
      </w:pPr>
      <w:r>
        <w:rPr>
          <w:caps w:val="false"/>
          <w:smallCaps w:val="false"/>
        </w:rPr>
        <w:t> </w:t>
      </w:r>
    </w:p>
    <w:tbl>
      <w:tblPr>
        <w:tblW w:w="1315" w:type="dxa"/>
        <w:jc w:val="left"/>
        <w:tblInd w:w="0" w:type="dxa"/>
        <w:tblCellMar>
          <w:top w:w="0" w:type="dxa"/>
          <w:left w:w="0" w:type="dxa"/>
          <w:bottom w:w="0" w:type="dxa"/>
          <w:right w:w="0" w:type="dxa"/>
        </w:tblCellMar>
      </w:tblPr>
      <w:tblGrid>
        <w:gridCol w:w="125"/>
        <w:gridCol w:w="1190"/>
      </w:tblGrid>
      <w:tr>
        <w:trPr/>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9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bl>
    <w:p>
      <w:pPr>
        <w:pStyle w:val="TextBody"/>
        <w:spacing w:before="0" w:after="0"/>
        <w:ind w:left="0" w:right="0" w:hanging="0"/>
        <w:rPr>
          <w:caps w:val="false"/>
          <w:smallCaps w:val="false"/>
        </w:rPr>
      </w:pPr>
      <w:r>
        <w:rPr>
          <w:caps w:val="false"/>
          <w:smallCaps w:val="false"/>
        </w:rPr>
        <w:t> </w:t>
      </w:r>
    </w:p>
    <w:tbl>
      <w:tblPr>
        <w:tblW w:w="7705" w:type="dxa"/>
        <w:jc w:val="left"/>
        <w:tblInd w:w="0" w:type="dxa"/>
        <w:tblCellMar>
          <w:top w:w="0" w:type="dxa"/>
          <w:left w:w="0" w:type="dxa"/>
          <w:bottom w:w="0" w:type="dxa"/>
          <w:right w:w="0" w:type="dxa"/>
        </w:tblCellMar>
      </w:tblPr>
      <w:tblGrid>
        <w:gridCol w:w="230"/>
        <w:gridCol w:w="7475"/>
      </w:tblGrid>
      <w:tr>
        <w:trPr/>
        <w:tc>
          <w:tcPr>
            <w:tcW w:w="23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74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Compensatory Plan or arrangement required to be filed pursuant to Item 15(b) of Form 10-K.</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8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This exhibit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tc>
      </w:tr>
    </w:tbl>
    <w:p>
      <w:pPr>
        <w:pStyle w:val="TextBody"/>
        <w:spacing w:before="0" w:after="0"/>
        <w:ind w:left="0" w:right="0" w:hanging="0"/>
        <w:rPr>
          <w:caps w:val="false"/>
          <w:smallCaps w:val="false"/>
        </w:rPr>
      </w:pPr>
      <w:r>
        <w:rPr>
          <w:caps w:val="false"/>
          <w:smallCaps w:val="false"/>
        </w:rPr>
        <w:t> </w:t>
      </w:r>
    </w:p>
    <w:tbl>
      <w:tblPr>
        <w:tblW w:w="1555" w:type="dxa"/>
        <w:jc w:val="left"/>
        <w:tblInd w:w="0" w:type="dxa"/>
        <w:tblCellMar>
          <w:top w:w="0" w:type="dxa"/>
          <w:left w:w="0" w:type="dxa"/>
          <w:bottom w:w="0" w:type="dxa"/>
          <w:right w:w="0" w:type="dxa"/>
        </w:tblCellMar>
      </w:tblPr>
      <w:tblGrid>
        <w:gridCol w:w="60"/>
        <w:gridCol w:w="230"/>
        <w:gridCol w:w="1265"/>
      </w:tblGrid>
      <w:tr>
        <w:trPr/>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26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9" w:name="i16"/>
      <w:bookmarkEnd w:id="29"/>
      <w:r>
        <w:rPr>
          <w:rFonts w:ascii="Times New Roman" w:hAnsi="Times New Roman"/>
          <w:b/>
          <w:caps w:val="false"/>
          <w:smallCaps w:val="false"/>
          <w:sz w:val="20"/>
        </w:rPr>
        <w:t>ITEM 16. FORM 10-K SUMMARY</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bookmarkStart w:id="30" w:name="sigs"/>
      <w:bookmarkEnd w:id="30"/>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March 30, 2023.</w:t>
      </w:r>
    </w:p>
    <w:p>
      <w:pPr>
        <w:pStyle w:val="TextBody"/>
        <w:spacing w:before="0" w:after="0"/>
        <w:ind w:left="0" w:right="0" w:hanging="0"/>
        <w:rPr>
          <w:caps w:val="false"/>
          <w:smallCaps w:val="false"/>
        </w:rPr>
      </w:pPr>
      <w:r>
        <w:rPr>
          <w:caps w:val="false"/>
          <w:smallCaps w:val="false"/>
        </w:rPr>
        <w:t> </w:t>
      </w:r>
    </w:p>
    <w:tbl>
      <w:tblPr>
        <w:tblW w:w="2305" w:type="dxa"/>
        <w:jc w:val="left"/>
        <w:tblInd w:w="0" w:type="dxa"/>
        <w:tblCellMar>
          <w:top w:w="0" w:type="dxa"/>
          <w:left w:w="0" w:type="dxa"/>
          <w:bottom w:w="0" w:type="dxa"/>
          <w:right w:w="0" w:type="dxa"/>
        </w:tblCellMar>
      </w:tblPr>
      <w:tblGrid>
        <w:gridCol w:w="60"/>
        <w:gridCol w:w="305"/>
        <w:gridCol w:w="1940"/>
      </w:tblGrid>
      <w:tr>
        <w:trPr/>
        <w:tc>
          <w:tcPr>
            <w:tcW w:w="60" w:type="dxa"/>
            <w:tcBorders/>
            <w:shd w:fill="auto" w:val="clear"/>
            <w:vAlign w:val="center"/>
          </w:tcPr>
          <w:p>
            <w:pPr>
              <w:pStyle w:val="TableContents"/>
              <w:spacing w:before="0" w:after="283"/>
              <w:rPr/>
            </w:pPr>
            <w:r>
              <w:rPr/>
              <w:t> </w:t>
            </w:r>
          </w:p>
        </w:tc>
        <w:tc>
          <w:tcPr>
            <w:tcW w:w="2245"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Creative Realities, Inc.</w:t>
            </w:r>
          </w:p>
        </w:tc>
      </w:tr>
      <w:tr>
        <w:trPr/>
        <w:tc>
          <w:tcPr>
            <w:tcW w:w="6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 </w:t>
            </w:r>
          </w:p>
        </w:tc>
        <w:tc>
          <w:tcPr>
            <w:tcW w:w="194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Richard Mills</w:t>
            </w:r>
          </w:p>
        </w:tc>
      </w:tr>
      <w:tr>
        <w:trPr/>
        <w:tc>
          <w:tcPr>
            <w:tcW w:w="6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Richard Mills</w:t>
            </w:r>
          </w:p>
        </w:tc>
      </w:tr>
      <w:tr>
        <w:trPr/>
        <w:tc>
          <w:tcPr>
            <w:tcW w:w="6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spacing w:before="0" w:after="0"/>
        <w:ind w:left="0" w:right="0" w:hanging="0"/>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60"/>
        <w:gridCol w:w="305"/>
        <w:gridCol w:w="1880"/>
      </w:tblGrid>
      <w:tr>
        <w:trPr/>
        <w:tc>
          <w:tcPr>
            <w:tcW w:w="6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 </w:t>
            </w:r>
          </w:p>
        </w:tc>
        <w:tc>
          <w:tcPr>
            <w:tcW w:w="188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Will Logan</w:t>
            </w:r>
          </w:p>
        </w:tc>
      </w:tr>
      <w:tr>
        <w:trPr/>
        <w:tc>
          <w:tcPr>
            <w:tcW w:w="6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Will Logan</w:t>
            </w:r>
          </w:p>
        </w:tc>
      </w:tr>
      <w:tr>
        <w:trPr/>
        <w:tc>
          <w:tcPr>
            <w:tcW w:w="6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 accordance with the Exchange Act, this report has been signed below by the following persons on behalf of the registrant, and in the capacities and on the date indicated.</w:t>
      </w:r>
    </w:p>
    <w:p>
      <w:pPr>
        <w:pStyle w:val="TextBody"/>
        <w:spacing w:before="0" w:after="0"/>
        <w:ind w:left="0" w:right="0" w:hanging="0"/>
        <w:rPr>
          <w:caps w:val="false"/>
          <w:smallCaps w:val="false"/>
        </w:rPr>
      </w:pPr>
      <w:r>
        <w:rPr>
          <w:caps w:val="false"/>
          <w:smallCaps w:val="false"/>
        </w:rPr>
        <w:t> </w:t>
      </w:r>
    </w:p>
    <w:tbl>
      <w:tblPr>
        <w:tblW w:w="7425" w:type="dxa"/>
        <w:jc w:val="left"/>
        <w:tblInd w:w="0" w:type="dxa"/>
        <w:tblCellMar>
          <w:top w:w="0" w:type="dxa"/>
          <w:left w:w="0" w:type="dxa"/>
          <w:bottom w:w="28" w:type="dxa"/>
          <w:right w:w="0" w:type="dxa"/>
        </w:tblCellMar>
      </w:tblPr>
      <w:tblGrid>
        <w:gridCol w:w="1460"/>
        <w:gridCol w:w="60"/>
        <w:gridCol w:w="4310"/>
        <w:gridCol w:w="60"/>
        <w:gridCol w:w="1535"/>
      </w:tblGrid>
      <w:tr>
        <w:trPr/>
        <w:tc>
          <w:tcPr>
            <w:tcW w:w="146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shd w:fill="auto" w:val="clear"/>
            <w:tcMar>
              <w:bottom w:w="0" w:type="dxa"/>
            </w:tcMar>
            <w:vAlign w:val="center"/>
          </w:tcPr>
          <w:p>
            <w:pPr>
              <w:pStyle w:val="TableContents"/>
              <w:spacing w:before="0" w:after="283"/>
              <w:rPr/>
            </w:pPr>
            <w:r>
              <w:rPr/>
              <w:t> </w:t>
            </w:r>
          </w:p>
        </w:tc>
        <w:tc>
          <w:tcPr>
            <w:tcW w:w="431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shd w:fill="auto" w:val="clear"/>
            <w:tcMar>
              <w:bottom w:w="0" w:type="dxa"/>
            </w:tcMar>
            <w:vAlign w:val="center"/>
          </w:tcPr>
          <w:p>
            <w:pPr>
              <w:pStyle w:val="TableContents"/>
              <w:spacing w:before="0" w:after="283"/>
              <w:rPr/>
            </w:pPr>
            <w:r>
              <w:rPr/>
              <w:t> </w:t>
            </w:r>
          </w:p>
        </w:tc>
        <w:tc>
          <w:tcPr>
            <w:tcW w:w="153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Date </w:t>
            </w:r>
            <w:r>
              <w:rPr>
                <w:rFonts w:ascii="Times New Roman" w:hAnsi="Times New Roman"/>
                <w:caps w:val="false"/>
                <w:smallCaps w:val="false"/>
                <w:sz w:val="20"/>
              </w:rPr>
              <w:t> </w:t>
            </w:r>
          </w:p>
        </w:tc>
      </w:tr>
      <w:tr>
        <w:trPr/>
        <w:tc>
          <w:tcPr>
            <w:tcW w:w="14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1460" w:type="dxa"/>
            <w:tcBorders>
              <w:bottom w:val="single" w:sz="2" w:space="0" w:color="000000"/>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Richard Mills</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jc w:val="center"/>
              <w:rPr/>
            </w:pPr>
            <w:r>
              <w:rPr/>
              <w:t>March 30, 2023</w:t>
            </w:r>
          </w:p>
        </w:tc>
      </w:tr>
      <w:tr>
        <w:trPr/>
        <w:tc>
          <w:tcPr>
            <w:tcW w:w="146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Richard Mills</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283"/>
              <w:rPr/>
            </w:pPr>
            <w:r>
              <w:rPr/>
              <w:t>and Director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14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1460" w:type="dxa"/>
            <w:tcBorders>
              <w:bottom w:val="single" w:sz="2" w:space="0" w:color="000000"/>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Will Logan</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Financial Officer (Principal Financial and</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30, 2023</w:t>
            </w:r>
          </w:p>
        </w:tc>
      </w:tr>
      <w:tr>
        <w:trPr/>
        <w:tc>
          <w:tcPr>
            <w:tcW w:w="146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Will Logan</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14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1460" w:type="dxa"/>
            <w:tcBorders>
              <w:bottom w:val="single" w:sz="2" w:space="0" w:color="000000"/>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Dennis McGill</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Chairman of the Board of Directors</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30, 2023</w:t>
            </w:r>
          </w:p>
        </w:tc>
      </w:tr>
      <w:tr>
        <w:trPr/>
        <w:tc>
          <w:tcPr>
            <w:tcW w:w="146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Dennis McGill</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14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1460" w:type="dxa"/>
            <w:tcBorders>
              <w:bottom w:val="single" w:sz="2" w:space="0" w:color="000000"/>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David Bell</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30, 2023</w:t>
            </w:r>
          </w:p>
        </w:tc>
      </w:tr>
      <w:tr>
        <w:trPr/>
        <w:tc>
          <w:tcPr>
            <w:tcW w:w="146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David Bell</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14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1460" w:type="dxa"/>
            <w:tcBorders>
              <w:bottom w:val="single" w:sz="2" w:space="0" w:color="000000"/>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Donald Harris</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30, 2023</w:t>
            </w:r>
          </w:p>
        </w:tc>
      </w:tr>
      <w:tr>
        <w:trPr/>
        <w:tc>
          <w:tcPr>
            <w:tcW w:w="146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Donald Harris</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14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1460" w:type="dxa"/>
            <w:tcBorders>
              <w:bottom w:val="single" w:sz="2" w:space="0" w:color="000000"/>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Steve Nesbit</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30, 2023</w:t>
            </w:r>
          </w:p>
        </w:tc>
      </w:tr>
      <w:tr>
        <w:trPr/>
        <w:tc>
          <w:tcPr>
            <w:tcW w:w="146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Steve Nesbit</w:t>
            </w:r>
          </w:p>
        </w:tc>
        <w:tc>
          <w:tcPr>
            <w:tcW w:w="60" w:type="dxa"/>
            <w:tcBorders/>
            <w:shd w:fill="auto" w:val="clear"/>
            <w:tcMar>
              <w:bottom w:w="0" w:type="dxa"/>
            </w:tcMar>
            <w:vAlign w:val="center"/>
          </w:tcPr>
          <w:p>
            <w:pPr>
              <w:pStyle w:val="TableContents"/>
              <w:spacing w:before="0" w:after="283"/>
              <w:rPr/>
            </w:pPr>
            <w:r>
              <w:rPr/>
              <w:t> </w:t>
            </w:r>
          </w:p>
        </w:tc>
        <w:tc>
          <w:tcPr>
            <w:tcW w:w="43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31" w:name="notes_index"/>
      <w:bookmarkEnd w:id="31"/>
      <w:r>
        <w:rPr>
          <w:rFonts w:ascii="Times New Roman" w:hAnsi="Times New Roman"/>
          <w:b/>
          <w:caps w:val="false"/>
          <w:smallCaps w:val="false"/>
          <w:sz w:val="20"/>
        </w:rPr>
        <w:t>INDEX TO CONSOLIDATED FINANCIAL STATEMENTS</w:t>
      </w:r>
    </w:p>
    <w:p>
      <w:pPr>
        <w:pStyle w:val="TextBody"/>
        <w:spacing w:before="0" w:after="0"/>
        <w:ind w:left="0" w:right="0" w:hanging="0"/>
        <w:rPr>
          <w:caps w:val="false"/>
          <w:smallCaps w:val="false"/>
        </w:rPr>
      </w:pPr>
      <w:r>
        <w:rPr>
          <w:caps w:val="false"/>
          <w:smallCaps w:val="false"/>
        </w:rPr>
        <w:t> </w:t>
      </w:r>
    </w:p>
    <w:tbl>
      <w:tblPr>
        <w:tblW w:w="6685" w:type="dxa"/>
        <w:jc w:val="left"/>
        <w:tblInd w:w="0" w:type="dxa"/>
        <w:tblCellMar>
          <w:top w:w="0" w:type="dxa"/>
          <w:left w:w="0" w:type="dxa"/>
          <w:bottom w:w="0" w:type="dxa"/>
          <w:right w:w="0" w:type="dxa"/>
        </w:tblCellMar>
      </w:tblPr>
      <w:tblGrid>
        <w:gridCol w:w="6395"/>
        <w:gridCol w:w="290"/>
      </w:tblGrid>
      <w:tr>
        <w:trPr/>
        <w:tc>
          <w:tcPr>
            <w:tcW w:w="6395" w:type="dxa"/>
            <w:tcBorders/>
            <w:shd w:fill="auto" w:val="clear"/>
            <w:vAlign w:val="center"/>
          </w:tcPr>
          <w:p>
            <w:pPr>
              <w:pStyle w:val="TableContents"/>
              <w:spacing w:before="0" w:after="0"/>
              <w:ind w:left="0" w:right="0" w:hanging="0"/>
              <w:rPr/>
            </w:pPr>
            <w:hyperlink w:anchor="ind_report">
              <w:r>
                <w:rPr>
                  <w:rStyle w:val="InternetLink"/>
                  <w:rFonts w:ascii="Times New Roman" w:hAnsi="Times New Roman"/>
                  <w:caps w:val="false"/>
                  <w:smallCaps w:val="false"/>
                  <w:sz w:val="20"/>
                </w:rPr>
                <w:t>Report of Independent Registered Public Accounting Firm (PCAOB ID No. 34)</w:t>
              </w:r>
            </w:hyperlink>
          </w:p>
        </w:tc>
        <w:tc>
          <w:tcPr>
            <w:tcW w:w="290" w:type="dxa"/>
            <w:tcBorders/>
            <w:shd w:fill="auto" w:val="clear"/>
            <w:vAlign w:val="center"/>
          </w:tcPr>
          <w:p>
            <w:pPr>
              <w:pStyle w:val="TableContents"/>
              <w:spacing w:before="0" w:after="0"/>
              <w:ind w:left="0" w:right="0" w:hanging="0"/>
              <w:jc w:val="center"/>
              <w:rPr/>
            </w:pPr>
            <w:hyperlink w:anchor="ind_report">
              <w:r>
                <w:rPr>
                  <w:rStyle w:val="InternetLink"/>
                  <w:rFonts w:ascii="Times New Roman" w:hAnsi="Times New Roman"/>
                  <w:caps w:val="false"/>
                  <w:smallCaps w:val="false"/>
                  <w:sz w:val="20"/>
                </w:rPr>
                <w:t>F-2</w:t>
              </w:r>
            </w:hyperlink>
          </w:p>
        </w:tc>
      </w:tr>
      <w:tr>
        <w:trPr/>
        <w:tc>
          <w:tcPr>
            <w:tcW w:w="63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Consolidated Financial Statements</w:t>
            </w:r>
          </w:p>
        </w:tc>
        <w:tc>
          <w:tcPr>
            <w:tcW w:w="290" w:type="dxa"/>
            <w:tcBorders/>
            <w:shd w:fill="auto" w:val="clear"/>
            <w:vAlign w:val="center"/>
          </w:tcPr>
          <w:p>
            <w:pPr>
              <w:pStyle w:val="TableContents"/>
              <w:spacing w:before="0" w:after="283"/>
              <w:rPr/>
            </w:pPr>
            <w:r>
              <w:rPr/>
              <w:t> </w:t>
            </w:r>
          </w:p>
        </w:tc>
      </w:tr>
      <w:tr>
        <w:trPr/>
        <w:tc>
          <w:tcPr>
            <w:tcW w:w="6395" w:type="dxa"/>
            <w:tcBorders/>
            <w:shd w:fill="auto" w:val="clear"/>
            <w:vAlign w:val="center"/>
          </w:tcPr>
          <w:p>
            <w:pPr>
              <w:pStyle w:val="TableContents"/>
              <w:spacing w:before="0" w:after="0"/>
              <w:ind w:left="0" w:right="0" w:hanging="0"/>
              <w:rPr/>
            </w:pPr>
            <w:hyperlink w:anchor="bs">
              <w:r>
                <w:rPr>
                  <w:rStyle w:val="InternetLink"/>
                  <w:rFonts w:ascii="Times New Roman" w:hAnsi="Times New Roman"/>
                  <w:caps w:val="false"/>
                  <w:smallCaps w:val="false"/>
                  <w:sz w:val="20"/>
                </w:rPr>
                <w:t>Consolidated Balance Sheets</w:t>
              </w:r>
            </w:hyperlink>
          </w:p>
        </w:tc>
        <w:tc>
          <w:tcPr>
            <w:tcW w:w="290" w:type="dxa"/>
            <w:tcBorders/>
            <w:shd w:fill="auto" w:val="clear"/>
            <w:vAlign w:val="center"/>
          </w:tcPr>
          <w:p>
            <w:pPr>
              <w:pStyle w:val="TableContents"/>
              <w:spacing w:before="0" w:after="0"/>
              <w:ind w:left="0" w:right="0" w:hanging="0"/>
              <w:jc w:val="center"/>
              <w:rPr/>
            </w:pPr>
            <w:hyperlink w:anchor="bs">
              <w:r>
                <w:rPr>
                  <w:rStyle w:val="InternetLink"/>
                  <w:rFonts w:ascii="Times New Roman" w:hAnsi="Times New Roman"/>
                  <w:caps w:val="false"/>
                  <w:smallCaps w:val="false"/>
                  <w:sz w:val="20"/>
                </w:rPr>
                <w:t>F-5</w:t>
              </w:r>
            </w:hyperlink>
          </w:p>
        </w:tc>
      </w:tr>
      <w:tr>
        <w:trPr/>
        <w:tc>
          <w:tcPr>
            <w:tcW w:w="6395" w:type="dxa"/>
            <w:tcBorders/>
            <w:shd w:fill="auto" w:val="clear"/>
            <w:vAlign w:val="center"/>
          </w:tcPr>
          <w:p>
            <w:pPr>
              <w:pStyle w:val="TableContents"/>
              <w:spacing w:before="0" w:after="0"/>
              <w:ind w:left="0" w:right="0" w:hanging="0"/>
              <w:rPr/>
            </w:pPr>
            <w:hyperlink w:anchor="ops">
              <w:r>
                <w:rPr>
                  <w:rStyle w:val="InternetLink"/>
                  <w:rFonts w:ascii="Times New Roman" w:hAnsi="Times New Roman"/>
                  <w:caps w:val="false"/>
                  <w:smallCaps w:val="false"/>
                  <w:sz w:val="20"/>
                </w:rPr>
                <w:t>Consolidated Statements of Operations</w:t>
              </w:r>
            </w:hyperlink>
          </w:p>
        </w:tc>
        <w:tc>
          <w:tcPr>
            <w:tcW w:w="290" w:type="dxa"/>
            <w:tcBorders/>
            <w:shd w:fill="auto" w:val="clear"/>
            <w:vAlign w:val="center"/>
          </w:tcPr>
          <w:p>
            <w:pPr>
              <w:pStyle w:val="TableContents"/>
              <w:spacing w:before="0" w:after="0"/>
              <w:ind w:left="0" w:right="0" w:hanging="0"/>
              <w:jc w:val="center"/>
              <w:rPr/>
            </w:pPr>
            <w:hyperlink w:anchor="ops">
              <w:r>
                <w:rPr>
                  <w:rStyle w:val="InternetLink"/>
                  <w:rFonts w:ascii="Times New Roman" w:hAnsi="Times New Roman"/>
                  <w:caps w:val="false"/>
                  <w:smallCaps w:val="false"/>
                  <w:sz w:val="20"/>
                </w:rPr>
                <w:t>F-6</w:t>
              </w:r>
            </w:hyperlink>
          </w:p>
        </w:tc>
      </w:tr>
      <w:tr>
        <w:trPr/>
        <w:tc>
          <w:tcPr>
            <w:tcW w:w="6395" w:type="dxa"/>
            <w:tcBorders/>
            <w:shd w:fill="auto" w:val="clear"/>
            <w:vAlign w:val="center"/>
          </w:tcPr>
          <w:p>
            <w:pPr>
              <w:pStyle w:val="TableContents"/>
              <w:spacing w:before="0" w:after="0"/>
              <w:ind w:left="0" w:right="0" w:hanging="0"/>
              <w:rPr/>
            </w:pPr>
            <w:hyperlink w:anchor="equity">
              <w:r>
                <w:rPr>
                  <w:rStyle w:val="InternetLink"/>
                  <w:rFonts w:ascii="Times New Roman" w:hAnsi="Times New Roman"/>
                  <w:caps w:val="false"/>
                  <w:smallCaps w:val="false"/>
                  <w:sz w:val="20"/>
                </w:rPr>
                <w:t>Consolidated Statements of Shareholders’ Equity</w:t>
              </w:r>
            </w:hyperlink>
          </w:p>
        </w:tc>
        <w:tc>
          <w:tcPr>
            <w:tcW w:w="290" w:type="dxa"/>
            <w:tcBorders/>
            <w:shd w:fill="auto" w:val="clear"/>
            <w:vAlign w:val="center"/>
          </w:tcPr>
          <w:p>
            <w:pPr>
              <w:pStyle w:val="TableContents"/>
              <w:spacing w:before="0" w:after="0"/>
              <w:ind w:left="0" w:right="0" w:hanging="0"/>
              <w:jc w:val="center"/>
              <w:rPr/>
            </w:pPr>
            <w:hyperlink w:anchor="equity">
              <w:r>
                <w:rPr>
                  <w:rStyle w:val="InternetLink"/>
                  <w:rFonts w:ascii="Times New Roman" w:hAnsi="Times New Roman"/>
                  <w:caps w:val="false"/>
                  <w:smallCaps w:val="false"/>
                  <w:sz w:val="20"/>
                </w:rPr>
                <w:t>F-7</w:t>
              </w:r>
            </w:hyperlink>
          </w:p>
        </w:tc>
      </w:tr>
      <w:tr>
        <w:trPr/>
        <w:tc>
          <w:tcPr>
            <w:tcW w:w="6395" w:type="dxa"/>
            <w:tcBorders/>
            <w:shd w:fill="auto" w:val="clear"/>
            <w:vAlign w:val="center"/>
          </w:tcPr>
          <w:p>
            <w:pPr>
              <w:pStyle w:val="TableContents"/>
              <w:spacing w:before="0" w:after="0"/>
              <w:ind w:left="0" w:right="0" w:hanging="0"/>
              <w:rPr/>
            </w:pPr>
            <w:hyperlink w:anchor="cf">
              <w:r>
                <w:rPr>
                  <w:rStyle w:val="InternetLink"/>
                  <w:rFonts w:ascii="Times New Roman" w:hAnsi="Times New Roman"/>
                  <w:caps w:val="false"/>
                  <w:smallCaps w:val="false"/>
                  <w:sz w:val="20"/>
                </w:rPr>
                <w:t>Consolidated Statements of Cash Flows</w:t>
              </w:r>
            </w:hyperlink>
          </w:p>
        </w:tc>
        <w:tc>
          <w:tcPr>
            <w:tcW w:w="290" w:type="dxa"/>
            <w:tcBorders/>
            <w:shd w:fill="auto" w:val="clear"/>
            <w:vAlign w:val="center"/>
          </w:tcPr>
          <w:p>
            <w:pPr>
              <w:pStyle w:val="TableContents"/>
              <w:spacing w:before="0" w:after="0"/>
              <w:ind w:left="0" w:right="0" w:hanging="0"/>
              <w:jc w:val="center"/>
              <w:rPr/>
            </w:pPr>
            <w:hyperlink w:anchor="cf">
              <w:r>
                <w:rPr>
                  <w:rStyle w:val="InternetLink"/>
                  <w:rFonts w:ascii="Times New Roman" w:hAnsi="Times New Roman"/>
                  <w:caps w:val="false"/>
                  <w:smallCaps w:val="false"/>
                  <w:sz w:val="20"/>
                </w:rPr>
                <w:t>F-8</w:t>
              </w:r>
            </w:hyperlink>
          </w:p>
        </w:tc>
      </w:tr>
      <w:tr>
        <w:trPr/>
        <w:tc>
          <w:tcPr>
            <w:tcW w:w="6395" w:type="dxa"/>
            <w:tcBorders/>
            <w:shd w:fill="auto" w:val="clear"/>
            <w:vAlign w:val="center"/>
          </w:tcPr>
          <w:p>
            <w:pPr>
              <w:pStyle w:val="TableContents"/>
              <w:spacing w:before="0" w:after="0"/>
              <w:ind w:left="0" w:right="0" w:hanging="0"/>
              <w:rPr/>
            </w:pPr>
            <w:hyperlink w:anchor="notes">
              <w:r>
                <w:rPr>
                  <w:rStyle w:val="InternetLink"/>
                  <w:rFonts w:ascii="Times New Roman" w:hAnsi="Times New Roman"/>
                  <w:caps w:val="false"/>
                  <w:smallCaps w:val="false"/>
                  <w:sz w:val="20"/>
                </w:rPr>
                <w:t>Notes to Consolidated Financial Statements</w:t>
              </w:r>
            </w:hyperlink>
          </w:p>
        </w:tc>
        <w:tc>
          <w:tcPr>
            <w:tcW w:w="290" w:type="dxa"/>
            <w:tcBorders/>
            <w:shd w:fill="auto" w:val="clear"/>
            <w:vAlign w:val="center"/>
          </w:tcPr>
          <w:p>
            <w:pPr>
              <w:pStyle w:val="TableContents"/>
              <w:spacing w:before="0" w:after="0"/>
              <w:ind w:left="0" w:right="0" w:hanging="0"/>
              <w:jc w:val="center"/>
              <w:rPr/>
            </w:pPr>
            <w:hyperlink w:anchor="notes">
              <w:r>
                <w:rPr>
                  <w:rStyle w:val="InternetLink"/>
                  <w:rFonts w:ascii="Times New Roman" w:hAnsi="Times New Roman"/>
                  <w:caps w:val="false"/>
                  <w:smallCaps w:val="false"/>
                  <w:sz w:val="20"/>
                </w:rPr>
                <w:t>F-9</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F-1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32" w:name="ind_report"/>
      <w:bookmarkEnd w:id="32"/>
      <w:r>
        <w:rPr>
          <w:rFonts w:ascii="Times New Roman" w:hAnsi="Times New Roman"/>
          <w:b/>
          <w:caps w:val="false"/>
          <w:smallCaps w:val="false"/>
          <w:sz w:val="20"/>
        </w:rPr>
        <w:t>REPORT OF INDEPENDENT REGISTERED PUBLIC ACCOUNTING FIRM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 the shareholders and the Board of Directors of Creative Realities,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Opinion on the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Creative Realities, Inc. and subsidiaries (the "Company") as of December 31, 2022 and 2021, the related consolidated statements of operations, shareholders’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Critical Audit Matter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F-2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i/>
          <w:caps w:val="false"/>
          <w:smallCaps w:val="false"/>
          <w:sz w:val="20"/>
        </w:rPr>
        <w:t xml:space="preserve">Goodwill </w:t>
      </w:r>
      <w:r>
        <w:rPr>
          <w:rFonts w:ascii="Times New Roman" w:hAnsi="Times New Roman"/>
          <w:caps w:val="false"/>
          <w:smallCaps w:val="false"/>
          <w:sz w:val="20"/>
        </w:rPr>
        <w:t xml:space="preserve">– </w:t>
      </w:r>
      <w:r>
        <w:rPr>
          <w:rFonts w:ascii="Times New Roman" w:hAnsi="Times New Roman"/>
          <w:b/>
          <w:i/>
          <w:caps w:val="false"/>
          <w:smallCaps w:val="false"/>
          <w:sz w:val="20"/>
        </w:rPr>
        <w:t>Refer to Notes 2 and 7 to the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Critical Audit Matter Description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Company operates as a single reportable segment, operating segment and reporting unit. The Company’s evaluation of goodwill for impairment involves comparing the book value of the reporting unit to its estimated fair value. The Company’s determination of estimated fair value of the reporting unit is based primarily on a discounted cash flow model utilizing the income approach. The Company used the discounted cash flow model to estimate fair value which requires management to make significant estimates and assumptions related to the valuation of the reporting unit, including assumptions regarding discount rates and forecasts of future revenue and operating margins. Changes in these assumptions could have a significant impact on either the fair value of the reporting unit, the amount of any goodwill impairment charge, or both.</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Company’s annual impairment assessment date is September 30.  The estimated fair value of the reporting unit exceeded the carrying value at September 30, 2022. As a result of continued depression of the Company’s market price for its common stock, management performed an interim qualitative assessment at December 31, 2022 and concluded there were indicators of potential impairment which required the performance of a quantitative assessment. Management engaged outside valuation specialists to assist in the estimation of fair value of the reporting unit at December 31, 2022.  As a result of this assessment, management concluded that the estimated fair value of the reporting unit exceeded the carrying value at December 31, 2022, and therefore, no impairment was recognized.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identified the valuation of goodwill as a critical audit matter because of the significant estimates and assumptions management made to estimate the fair value of the reporting unit using the discounted cash flow approach.  This required a high degree of auditor judgment and an increased extent of effort, including the need to involve internal fair value specialists, when performing audit procedures to evaluate the reasonableness of management’s estimates and assumptions.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How the Critical Audit Matter Was Addressed in the Audit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audit procedures related to the significant estimates and assumptions included in the Company’s discounted cash flow valuation models included the following, among others, for both the annual and interim impairment tests: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evaluated the reasonableness of management’s forecasts of revenue, gross profit, operating income/EBITDA, and capital expenditures by comparing the forecasts to:</w:t>
            </w:r>
          </w:p>
        </w:tc>
      </w:tr>
    </w:tbl>
    <w:p>
      <w:pPr>
        <w:pStyle w:val="TextBody"/>
        <w:spacing w:before="0" w:after="0"/>
        <w:ind w:left="0" w:right="0" w:hanging="0"/>
        <w:rPr>
          <w:caps w:val="false"/>
          <w:smallCaps w:val="false"/>
        </w:rPr>
      </w:pPr>
      <w:r>
        <w:rPr>
          <w:caps w:val="false"/>
          <w:smallCaps w:val="false"/>
        </w:rPr>
        <w:t> </w:t>
      </w:r>
    </w:p>
    <w:tbl>
      <w:tblPr>
        <w:tblW w:w="7195" w:type="dxa"/>
        <w:jc w:val="left"/>
        <w:tblInd w:w="0" w:type="dxa"/>
        <w:tblCellMar>
          <w:top w:w="0" w:type="dxa"/>
          <w:left w:w="0" w:type="dxa"/>
          <w:bottom w:w="0" w:type="dxa"/>
          <w:right w:w="0" w:type="dxa"/>
        </w:tblCellMar>
      </w:tblPr>
      <w:tblGrid>
        <w:gridCol w:w="60"/>
        <w:gridCol w:w="245"/>
        <w:gridCol w:w="6890"/>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89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historical revenue, gross profit, operating income/EBITDA, and capital expenditures,</w:t>
            </w:r>
          </w:p>
        </w:tc>
      </w:tr>
    </w:tbl>
    <w:p>
      <w:pPr>
        <w:pStyle w:val="TextBody"/>
        <w:spacing w:before="0" w:after="0"/>
        <w:ind w:left="0" w:right="0" w:hanging="0"/>
        <w:rPr>
          <w:caps w:val="false"/>
          <w:smallCaps w:val="false"/>
        </w:rPr>
      </w:pPr>
      <w:r>
        <w:rPr>
          <w:caps w:val="false"/>
          <w:smallCaps w:val="false"/>
        </w:rPr>
        <w:t> </w:t>
      </w:r>
    </w:p>
    <w:tbl>
      <w:tblPr>
        <w:tblW w:w="6205" w:type="dxa"/>
        <w:jc w:val="left"/>
        <w:tblInd w:w="0" w:type="dxa"/>
        <w:tblCellMar>
          <w:top w:w="0" w:type="dxa"/>
          <w:left w:w="0" w:type="dxa"/>
          <w:bottom w:w="0" w:type="dxa"/>
          <w:right w:w="0" w:type="dxa"/>
        </w:tblCellMar>
      </w:tblPr>
      <w:tblGrid>
        <w:gridCol w:w="60"/>
        <w:gridCol w:w="245"/>
        <w:gridCol w:w="5900"/>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590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internal communications to management and the Board of Directors, and</w:t>
            </w:r>
          </w:p>
        </w:tc>
      </w:tr>
    </w:tbl>
    <w:p>
      <w:pPr>
        <w:pStyle w:val="TextBody"/>
        <w:spacing w:before="0" w:after="0"/>
        <w:ind w:left="0" w:right="0" w:hanging="0"/>
        <w:rPr>
          <w:caps w:val="false"/>
          <w:smallCaps w:val="false"/>
        </w:rPr>
      </w:pPr>
      <w:r>
        <w:rPr>
          <w:caps w:val="false"/>
          <w:smallCaps w:val="false"/>
        </w:rPr>
        <w:t> </w:t>
      </w:r>
    </w:p>
    <w:tbl>
      <w:tblPr>
        <w:tblW w:w="5905" w:type="dxa"/>
        <w:jc w:val="left"/>
        <w:tblInd w:w="0" w:type="dxa"/>
        <w:tblCellMar>
          <w:top w:w="0" w:type="dxa"/>
          <w:left w:w="0" w:type="dxa"/>
          <w:bottom w:w="0" w:type="dxa"/>
          <w:right w:w="0" w:type="dxa"/>
        </w:tblCellMar>
      </w:tblPr>
      <w:tblGrid>
        <w:gridCol w:w="60"/>
        <w:gridCol w:w="245"/>
        <w:gridCol w:w="5600"/>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560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forecasted information included in industry reports for the Company.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performed a retrospective review of forecasted assumptions from the prior year to evaluate the credibility of management’s forecasting process.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For significant new revenue contracts, we obtained evidence of the executed contract, project timeline, and project scope, as applicable.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evaluated changes in forecasted information from the annual impairment date to the interim impairment date and obtained supporting evidence for any significant changes in forecasted information.</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F-3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4765" w:type="dxa"/>
        <w:jc w:val="left"/>
        <w:tblInd w:w="0" w:type="dxa"/>
        <w:tblCellMar>
          <w:top w:w="0" w:type="dxa"/>
          <w:left w:w="0" w:type="dxa"/>
          <w:bottom w:w="0" w:type="dxa"/>
          <w:right w:w="0" w:type="dxa"/>
        </w:tblCellMar>
      </w:tblPr>
      <w:tblGrid>
        <w:gridCol w:w="60"/>
        <w:gridCol w:w="170"/>
        <w:gridCol w:w="45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53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With the assistance of our internal fair value specialists: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25"/>
        <w:gridCol w:w="9920"/>
      </w:tblGrid>
      <w:tr>
        <w:trPr/>
        <w:tc>
          <w:tcPr>
            <w:tcW w:w="60"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evaluated the reasonableness of the discounted cash flow valuation methodology and performed underlying procedures on the mathematical accuracy of the calculations.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17"/>
        <w:gridCol w:w="9928"/>
      </w:tblGrid>
      <w:tr>
        <w:trPr/>
        <w:tc>
          <w:tcPr>
            <w:tcW w:w="6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evaluated the reasonableness of the long-term growth rate used in the discounted cash flow model by comparing the information used by the Company to third party economic and industry related information.</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3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evaluated the reasonableness of the discount rate used in the discounted cash flow model by testing the underlying source information, developing an independent range of estimated discount rates and comparing that range to the discount rate selected by the Company.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16"/>
        <w:gridCol w:w="9929"/>
      </w:tblGrid>
      <w:tr>
        <w:trPr/>
        <w:tc>
          <w:tcPr>
            <w:tcW w:w="6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29"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evaluated the reasonableness of the company-specific risk premium used in the discounted cash flow model by comparing the risk premium to a range based on our independent research of the facts and circumstances.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13"/>
        <w:gridCol w:w="9932"/>
      </w:tblGrid>
      <w:tr>
        <w:trPr/>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32"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We evaluated the reasonableness of the control premiums used by management and management’s valuation specialists by developing an independent range of control premiums and comparing that range to the rate selected by the Company.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Deloitte &amp; Touche LLP</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Louisville, Kentucky</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March 30,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have served as the Company’s auditor since 2020.</w:t>
      </w:r>
    </w:p>
    <w:p>
      <w:pPr>
        <w:pStyle w:val="TextBody"/>
        <w:spacing w:before="0" w:after="0"/>
        <w:ind w:left="0" w:right="0" w:hanging="0"/>
        <w:rPr>
          <w:caps w:val="false"/>
          <w:smallCaps w:val="false"/>
        </w:rPr>
      </w:pPr>
      <w:bookmarkStart w:id="33" w:name="reportend"/>
      <w:bookmarkEnd w:id="33"/>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F-4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bookmarkStart w:id="34" w:name="bs"/>
      <w:bookmarkEnd w:id="34"/>
      <w:r>
        <w:rPr>
          <w:rFonts w:ascii="Times New Roman;Times;serif" w:hAnsi="Times New Roman;Times;serif"/>
          <w:b/>
          <w:sz w:val="20"/>
        </w:rPr>
        <w:t>CREATIVE REALITIES,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779"/>
        <w:gridCol w:w="60"/>
        <w:gridCol w:w="172"/>
        <w:gridCol w:w="900"/>
        <w:gridCol w:w="80"/>
        <w:gridCol w:w="60"/>
        <w:gridCol w:w="172"/>
        <w:gridCol w:w="900"/>
        <w:gridCol w:w="82"/>
      </w:tblGrid>
      <w:tr>
        <w:trPr/>
        <w:tc>
          <w:tcPr>
            <w:tcW w:w="777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2"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2"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2" w:type="dxa"/>
            <w:tcBorders/>
            <w:shd w:fill="FFFF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00"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00" w:type="dxa"/>
            <w:tcBorders/>
            <w:shd w:fill="FFFFFF" w:val="clear"/>
            <w:vAlign w:val="center"/>
          </w:tcPr>
          <w:p>
            <w:pPr>
              <w:pStyle w:val="TableContents"/>
              <w:spacing w:before="0" w:after="283"/>
              <w:jc w:val="center"/>
              <w:rPr/>
            </w:pPr>
            <w:r>
              <w:rPr/>
              <w:t> </w:t>
            </w:r>
          </w:p>
        </w:tc>
        <w:tc>
          <w:tcPr>
            <w:tcW w:w="82" w:type="dxa"/>
            <w:tcBorders/>
            <w:shd w:fill="FFFF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0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0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spacing w:before="0" w:after="283"/>
              <w:ind w:left="0" w:right="0" w:hanging="0"/>
              <w:rPr/>
            </w:pPr>
            <w:r>
              <w:rPr/>
              <w:t> </w:t>
            </w:r>
          </w:p>
        </w:tc>
        <w:tc>
          <w:tcPr>
            <w:tcW w:w="17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1,633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2,883</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Accounts receivable, net of allowance for doubtful accounts of $984 and $620, respectively</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8,263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3,006</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Unbilled receivables</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369</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2,267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1,880</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Prepaids and other current assets</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1,634</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13,982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9,772</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1,584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654</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Intangibles, net</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23,752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4,850</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26,453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7,525</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spacing w:before="0" w:after="283"/>
              <w:ind w:left="0" w:right="0" w:hanging="0"/>
              <w:rPr/>
            </w:pPr>
            <w:r>
              <w:rPr/>
              <w:t> </w:t>
            </w:r>
          </w:p>
        </w:tc>
        <w:tc>
          <w:tcPr>
            <w:tcW w:w="17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66,015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22,881</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90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90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LIABILITIES AND SHAREHOLDERS’ EQUITY</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00"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00" w:type="dxa"/>
            <w:tcBorders/>
            <w:shd w:fill="FFFFFF" w:val="clear"/>
            <w:vAlign w:val="center"/>
          </w:tcPr>
          <w:p>
            <w:pPr>
              <w:pStyle w:val="TableContents"/>
              <w:spacing w:before="0" w:after="283"/>
              <w:jc w:val="center"/>
              <w:rPr/>
            </w:pPr>
            <w:r>
              <w:rPr/>
              <w:t> </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90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90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3,757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2,517</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3,828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2,110</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Deferred revenues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426</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Customer deposits</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2,478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1,525</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Current maturities of operating leases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281</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Short-term portion of Secured Promissory Note</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Short-term portion of related party Consolidation Term Loan, net of $745 and $0 discount, respectively</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0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1,251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0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Short-term related party Term Loan (2022)</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16,496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6,859</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Long-term Secured Promissory Note</w:t>
            </w:r>
          </w:p>
        </w:tc>
        <w:tc>
          <w:tcPr>
            <w:tcW w:w="60" w:type="dxa"/>
            <w:tcBorders/>
            <w:shd w:fill="CCEEFF" w:val="clear"/>
            <w:vAlign w:val="center"/>
          </w:tcPr>
          <w:p>
            <w:pPr>
              <w:pStyle w:val="TableContents"/>
              <w:spacing w:before="0" w:after="283"/>
              <w:ind w:left="0" w:right="0" w:hanging="0"/>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Long-term related party Acquisition Term Loan, net of $1,484 and $0 discount, respectively</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0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8,516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0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Long-term related party Consolidation Term Loan, net of $840 and $0 discount, respectively</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4,349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Long-term related party loans payable, net of $0 and $143 discount, respectively</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4,624</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Long-term related party convertible loans payable, at fair value</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2,251</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Long-term obligations under operating leases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373</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Contingent acquisition consideration, at fair value</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90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9,789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90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FFFFFF" w:val="clear"/>
            <w:vAlign w:val="center"/>
          </w:tcPr>
          <w:p>
            <w:pPr>
              <w:pStyle w:val="TableContents"/>
              <w:spacing w:before="0" w:after="283"/>
              <w:rPr/>
            </w:pPr>
            <w:r>
              <w:rPr/>
              <w:t> </w:t>
            </w:r>
          </w:p>
        </w:tc>
        <w:tc>
          <w:tcPr>
            <w:tcW w:w="17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40,436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14,152</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0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90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SHAREHOLDERS’ EQUITY</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90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90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Common stock, $0.01 par value, 66,666 shares authorized; 7,266 and 4,003 shares issued and outstanding, respectively</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ind w:left="0" w:right="0" w:hanging="0"/>
              <w:rPr/>
            </w:pPr>
            <w:r>
              <w:rPr/>
              <w:t> </w:t>
            </w:r>
          </w:p>
        </w:tc>
        <w:tc>
          <w:tcPr>
            <w:tcW w:w="90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w:t>
            </w:r>
          </w:p>
        </w:tc>
        <w:tc>
          <w:tcPr>
            <w:tcW w:w="82" w:type="dxa"/>
            <w:tcBorders/>
            <w:shd w:fill="FFFFFF" w:val="clear"/>
            <w:vAlign w:val="center"/>
          </w:tcPr>
          <w:p>
            <w:pPr>
              <w:pStyle w:val="TableContents"/>
              <w:spacing w:before="0" w:after="283"/>
              <w:rPr/>
            </w:pPr>
            <w:r>
              <w:rPr/>
              <w:t> </w:t>
            </w:r>
          </w:p>
        </w:tc>
      </w:tr>
      <w:tr>
        <w:trPr/>
        <w:tc>
          <w:tcPr>
            <w:tcW w:w="7779"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75,770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ind w:left="0" w:right="0" w:hanging="0"/>
              <w:rPr/>
            </w:pPr>
            <w:r>
              <w:rPr/>
              <w:t> </w:t>
            </w:r>
          </w:p>
        </w:tc>
        <w:tc>
          <w:tcPr>
            <w:tcW w:w="90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60,863</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FFFFFF" w:val="clear"/>
            <w:vAlign w:val="center"/>
          </w:tcPr>
          <w:p>
            <w:pPr>
              <w:pStyle w:val="TableContents"/>
              <w:spacing w:before="0" w:after="283"/>
              <w:rPr/>
            </w:pPr>
            <w:r>
              <w:rPr/>
              <w:t> </w:t>
            </w:r>
          </w:p>
        </w:tc>
        <w:tc>
          <w:tcPr>
            <w:tcW w:w="17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(50,409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7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(52,254</w:t>
            </w:r>
          </w:p>
        </w:tc>
        <w:tc>
          <w:tcPr>
            <w:tcW w:w="8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779"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shareholders’ equity</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25,579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8,729</w:t>
            </w:r>
          </w:p>
        </w:tc>
        <w:tc>
          <w:tcPr>
            <w:tcW w:w="82" w:type="dxa"/>
            <w:tcBorders/>
            <w:shd w:fill="CCEEFF" w:val="clear"/>
            <w:vAlign w:val="center"/>
          </w:tcPr>
          <w:p>
            <w:pPr>
              <w:pStyle w:val="TableContents"/>
              <w:spacing w:before="0" w:after="283"/>
              <w:rPr/>
            </w:pPr>
            <w:r>
              <w:rPr/>
              <w:t> </w:t>
            </w:r>
          </w:p>
        </w:tc>
      </w:tr>
      <w:tr>
        <w:trPr/>
        <w:tc>
          <w:tcPr>
            <w:tcW w:w="7779"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LIABILITIES AND SHAREHOLDERS’ EQUITY</w:t>
            </w:r>
          </w:p>
        </w:tc>
        <w:tc>
          <w:tcPr>
            <w:tcW w:w="60" w:type="dxa"/>
            <w:tcBorders/>
            <w:shd w:fill="FFFFFF" w:val="clear"/>
            <w:vAlign w:val="center"/>
          </w:tcPr>
          <w:p>
            <w:pPr>
              <w:pStyle w:val="TableContents"/>
              <w:spacing w:before="0" w:after="283"/>
              <w:ind w:left="0" w:right="0" w:hanging="0"/>
              <w:rPr/>
            </w:pPr>
            <w:r>
              <w:rPr/>
              <w:t> </w:t>
            </w:r>
          </w:p>
        </w:tc>
        <w:tc>
          <w:tcPr>
            <w:tcW w:w="17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66,015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22,881</w:t>
            </w:r>
          </w:p>
        </w:tc>
        <w:tc>
          <w:tcPr>
            <w:tcW w:w="82"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F-5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35" w:name="ops"/>
      <w:bookmarkEnd w:id="35"/>
      <w:r>
        <w:rPr>
          <w:rFonts w:ascii="Times New Roman" w:hAnsi="Times New Roman"/>
          <w:b/>
          <w:caps w:val="false"/>
          <w:smallCaps w:val="false"/>
          <w:sz w:val="20"/>
        </w:rPr>
        <w:t>CREATIVE REALITIES,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spacing w:before="0" w:after="0"/>
        <w:ind w:left="0" w:right="0" w:hanging="0"/>
        <w:rPr>
          <w:caps w:val="false"/>
          <w:smallCaps w:val="false"/>
        </w:rPr>
      </w:pPr>
      <w:r>
        <w:rPr>
          <w:caps w:val="false"/>
          <w:smallCaps w:val="false"/>
        </w:rPr>
        <w:t> </w:t>
      </w:r>
    </w:p>
    <w:tbl>
      <w:tblPr>
        <w:tblW w:w="6523" w:type="dxa"/>
        <w:jc w:val="left"/>
        <w:tblInd w:w="0" w:type="dxa"/>
        <w:tblCellMar>
          <w:top w:w="0" w:type="dxa"/>
          <w:left w:w="0" w:type="dxa"/>
          <w:bottom w:w="0" w:type="dxa"/>
          <w:right w:w="0" w:type="dxa"/>
        </w:tblCellMar>
      </w:tblPr>
      <w:tblGrid>
        <w:gridCol w:w="4655"/>
        <w:gridCol w:w="60"/>
        <w:gridCol w:w="137"/>
        <w:gridCol w:w="650"/>
        <w:gridCol w:w="88"/>
        <w:gridCol w:w="66"/>
        <w:gridCol w:w="137"/>
        <w:gridCol w:w="650"/>
        <w:gridCol w:w="80"/>
      </w:tblGrid>
      <w:tr>
        <w:trPr/>
        <w:tc>
          <w:tcPr>
            <w:tcW w:w="46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8"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For the Years Ended</w:t>
            </w:r>
          </w:p>
        </w:tc>
        <w:tc>
          <w:tcPr>
            <w:tcW w:w="80" w:type="dxa"/>
            <w:tcBorders/>
            <w:shd w:fill="FFFF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ind w:left="0" w:right="0" w:hanging="0"/>
              <w:rPr/>
            </w:pPr>
            <w:r>
              <w:rPr/>
              <w:t> </w:t>
            </w:r>
          </w:p>
        </w:tc>
        <w:tc>
          <w:tcPr>
            <w:tcW w:w="78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Sales</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Hardware</w:t>
            </w:r>
          </w:p>
        </w:tc>
        <w:tc>
          <w:tcPr>
            <w:tcW w:w="60" w:type="dxa"/>
            <w:tcBorders/>
            <w:shd w:fill="FFFFFF" w:val="clear"/>
            <w:vAlign w:val="center"/>
          </w:tcPr>
          <w:p>
            <w:pPr>
              <w:pStyle w:val="TableContents"/>
              <w:spacing w:before="0" w:after="283"/>
              <w:ind w:left="0" w:right="0" w:hanging="0"/>
              <w:rPr/>
            </w:pPr>
            <w:r>
              <w:rPr/>
              <w:t> </w:t>
            </w:r>
          </w:p>
        </w:tc>
        <w:tc>
          <w:tcPr>
            <w:tcW w:w="137"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19,895</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ind w:left="0" w:right="0" w:hanging="0"/>
              <w:rPr/>
            </w:pPr>
            <w:r>
              <w:rPr/>
              <w:t> </w:t>
            </w:r>
          </w:p>
        </w:tc>
        <w:tc>
          <w:tcPr>
            <w:tcW w:w="137"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9,450</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Services and other</w:t>
            </w:r>
          </w:p>
        </w:tc>
        <w:tc>
          <w:tcPr>
            <w:tcW w:w="60" w:type="dxa"/>
            <w:tcBorders/>
            <w:shd w:fill="CCEEFF" w:val="clear"/>
            <w:vAlign w:val="center"/>
          </w:tcPr>
          <w:p>
            <w:pPr>
              <w:pStyle w:val="TableContents"/>
              <w:spacing w:before="0" w:after="283"/>
              <w:rPr/>
            </w:pPr>
            <w:r>
              <w:rPr/>
              <w:t> </w:t>
            </w:r>
          </w:p>
        </w:tc>
        <w:tc>
          <w:tcPr>
            <w:tcW w:w="13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23,455</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8,987</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sales</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43,350</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18,437</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of sales</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Hardware</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16,613</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6,914</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Services and other</w:t>
            </w:r>
          </w:p>
        </w:tc>
        <w:tc>
          <w:tcPr>
            <w:tcW w:w="60" w:type="dxa"/>
            <w:tcBorders/>
            <w:shd w:fill="FFFFFF" w:val="clear"/>
            <w:vAlign w:val="center"/>
          </w:tcPr>
          <w:p>
            <w:pPr>
              <w:pStyle w:val="TableContents"/>
              <w:spacing w:before="0" w:after="283"/>
              <w:rPr/>
            </w:pPr>
            <w:r>
              <w:rPr/>
              <w:t> </w:t>
            </w:r>
          </w:p>
        </w:tc>
        <w:tc>
          <w:tcPr>
            <w:tcW w:w="13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8,998</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3,166</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cost of sales</w:t>
            </w:r>
          </w:p>
        </w:tc>
        <w:tc>
          <w:tcPr>
            <w:tcW w:w="60" w:type="dxa"/>
            <w:tcBorders/>
            <w:shd w:fill="CCEEFF" w:val="clear"/>
            <w:vAlign w:val="center"/>
          </w:tcPr>
          <w:p>
            <w:pPr>
              <w:pStyle w:val="TableContents"/>
              <w:spacing w:before="0" w:after="283"/>
              <w:rPr/>
            </w:pPr>
            <w:r>
              <w:rPr/>
              <w:t> </w:t>
            </w:r>
          </w:p>
        </w:tc>
        <w:tc>
          <w:tcPr>
            <w:tcW w:w="13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25,611</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10,080</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17,739</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8,357</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3,651</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1,153</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1,251</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550</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11,892</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7,321</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2,833</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1,364</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Deal and transaction costs</w:t>
            </w:r>
          </w:p>
        </w:tc>
        <w:tc>
          <w:tcPr>
            <w:tcW w:w="60" w:type="dxa"/>
            <w:tcBorders/>
            <w:shd w:fill="CCEEFF" w:val="clear"/>
            <w:vAlign w:val="center"/>
          </w:tcPr>
          <w:p>
            <w:pPr>
              <w:pStyle w:val="TableContents"/>
              <w:spacing w:before="0" w:after="283"/>
              <w:rPr/>
            </w:pPr>
            <w:r>
              <w:rPr/>
              <w:t> </w:t>
            </w:r>
          </w:p>
        </w:tc>
        <w:tc>
          <w:tcPr>
            <w:tcW w:w="13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592</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518</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spacing w:before="0" w:after="283"/>
              <w:rPr/>
            </w:pPr>
            <w:r>
              <w:rPr/>
              <w:t> </w:t>
            </w:r>
          </w:p>
        </w:tc>
        <w:tc>
          <w:tcPr>
            <w:tcW w:w="13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20,219</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10,906</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Operating loss</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(2,480</w:t>
            </w:r>
          </w:p>
        </w:tc>
        <w:tc>
          <w:tcPr>
            <w:tcW w:w="8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6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income/(expenses):</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expense, including amortization of debt discount</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(2,743</w:t>
            </w:r>
          </w:p>
        </w:tc>
        <w:tc>
          <w:tcPr>
            <w:tcW w:w="8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6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Change in fair value of warrant liability</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7,902</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Change in fair value of equity guarantee</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1,074</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Gain on settlement of obligations</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w:t>
            </w:r>
          </w:p>
        </w:tc>
        <w:tc>
          <w:tcPr>
            <w:tcW w:w="8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3,449</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Gain on fair value of debt</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Loss on debt waiver consent</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(1,212</w:t>
            </w:r>
          </w:p>
        </w:tc>
        <w:tc>
          <w:tcPr>
            <w:tcW w:w="8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Loss on warrant amendment</w:t>
            </w:r>
          </w:p>
        </w:tc>
        <w:tc>
          <w:tcPr>
            <w:tcW w:w="60"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(345</w:t>
            </w:r>
          </w:p>
        </w:tc>
        <w:tc>
          <w:tcPr>
            <w:tcW w:w="8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 income/(expense), net</w:t>
            </w:r>
          </w:p>
        </w:tc>
        <w:tc>
          <w:tcPr>
            <w:tcW w:w="60" w:type="dxa"/>
            <w:tcBorders/>
            <w:shd w:fill="CCEEFF" w:val="clear"/>
            <w:vAlign w:val="center"/>
          </w:tcPr>
          <w:p>
            <w:pPr>
              <w:pStyle w:val="TableContents"/>
              <w:spacing w:before="0" w:after="283"/>
              <w:rPr/>
            </w:pPr>
            <w:r>
              <w:rPr/>
              <w:t> </w:t>
            </w:r>
          </w:p>
        </w:tc>
        <w:tc>
          <w:tcPr>
            <w:tcW w:w="13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8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spacing w:before="0" w:after="283"/>
              <w:rPr/>
            </w:pPr>
            <w:r>
              <w:rPr/>
              <w:t> </w:t>
            </w:r>
          </w:p>
        </w:tc>
        <w:tc>
          <w:tcPr>
            <w:tcW w:w="13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65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other income/(expense)</w:t>
            </w:r>
          </w:p>
        </w:tc>
        <w:tc>
          <w:tcPr>
            <w:tcW w:w="60" w:type="dxa"/>
            <w:tcBorders/>
            <w:shd w:fill="FFFFFF" w:val="clear"/>
            <w:vAlign w:val="center"/>
          </w:tcPr>
          <w:p>
            <w:pPr>
              <w:pStyle w:val="TableContents"/>
              <w:spacing w:before="0" w:after="283"/>
              <w:rPr/>
            </w:pPr>
            <w:r>
              <w:rPr/>
              <w:t> </w:t>
            </w:r>
          </w:p>
        </w:tc>
        <w:tc>
          <w:tcPr>
            <w:tcW w:w="13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4,435</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2,803</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 before income taxes</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1,955</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spacing w:before="0" w:after="283"/>
              <w:rPr/>
            </w:pPr>
            <w:r>
              <w:rPr/>
              <w:t> </w:t>
            </w:r>
          </w:p>
        </w:tc>
        <w:tc>
          <w:tcPr>
            <w:tcW w:w="13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w:t>
            </w:r>
          </w:p>
        </w:tc>
        <w:tc>
          <w:tcPr>
            <w:tcW w:w="8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spacing w:before="0" w:after="283"/>
              <w:rPr/>
            </w:pPr>
            <w:r>
              <w:rPr/>
              <w:t> </w:t>
            </w:r>
          </w:p>
        </w:tc>
        <w:tc>
          <w:tcPr>
            <w:tcW w:w="13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65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rPr/>
            </w:pPr>
            <w:r>
              <w:rPr/>
              <w:t> </w:t>
            </w:r>
          </w:p>
        </w:tc>
        <w:tc>
          <w:tcPr>
            <w:tcW w:w="13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1,876</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income per common share - basic</w:t>
            </w:r>
          </w:p>
        </w:tc>
        <w:tc>
          <w:tcPr>
            <w:tcW w:w="60" w:type="dxa"/>
            <w:tcBorders/>
            <w:shd w:fill="FFFFFF" w:val="clear"/>
            <w:vAlign w:val="center"/>
          </w:tcPr>
          <w:p>
            <w:pPr>
              <w:pStyle w:val="TableContents"/>
              <w:spacing w:before="0" w:after="283"/>
              <w:ind w:left="0" w:right="0" w:hanging="0"/>
              <w:rPr/>
            </w:pPr>
            <w:r>
              <w:rPr/>
              <w:t> </w:t>
            </w:r>
          </w:p>
        </w:tc>
        <w:tc>
          <w:tcPr>
            <w:tcW w:w="13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0.28</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ind w:left="0" w:right="0" w:hanging="0"/>
              <w:rPr/>
            </w:pPr>
            <w:r>
              <w:rPr/>
              <w:t> </w:t>
            </w:r>
          </w:p>
        </w:tc>
        <w:tc>
          <w:tcPr>
            <w:tcW w:w="13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0.06</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income per common share - diluted</w:t>
            </w:r>
          </w:p>
        </w:tc>
        <w:tc>
          <w:tcPr>
            <w:tcW w:w="60" w:type="dxa"/>
            <w:tcBorders/>
            <w:shd w:fill="CCEEFF" w:val="clear"/>
            <w:vAlign w:val="center"/>
          </w:tcPr>
          <w:p>
            <w:pPr>
              <w:pStyle w:val="TableContents"/>
              <w:spacing w:before="0" w:after="283"/>
              <w:ind w:left="0" w:right="0" w:hanging="0"/>
              <w:rPr/>
            </w:pPr>
            <w:r>
              <w:rPr/>
              <w:t> </w:t>
            </w:r>
          </w:p>
        </w:tc>
        <w:tc>
          <w:tcPr>
            <w:tcW w:w="13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0.28</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ind w:left="0" w:right="0" w:hanging="0"/>
              <w:rPr/>
            </w:pPr>
            <w:r>
              <w:rPr/>
              <w:t> </w:t>
            </w:r>
          </w:p>
        </w:tc>
        <w:tc>
          <w:tcPr>
            <w:tcW w:w="13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0.06</w:t>
            </w:r>
          </w:p>
        </w:tc>
        <w:tc>
          <w:tcPr>
            <w:tcW w:w="80" w:type="dxa"/>
            <w:tcBorders/>
            <w:shd w:fill="CCEEFF" w:val="clear"/>
            <w:vAlign w:val="center"/>
          </w:tcPr>
          <w:p>
            <w:pPr>
              <w:pStyle w:val="TableContents"/>
              <w:spacing w:before="0" w:after="283"/>
              <w:rPr/>
            </w:pPr>
            <w:r>
              <w:rPr/>
              <w:t> </w:t>
            </w:r>
          </w:p>
        </w:tc>
      </w:tr>
      <w:tr>
        <w:trPr/>
        <w:tc>
          <w:tcPr>
            <w:tcW w:w="46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Weighted average shares outstanding - basic</w:t>
            </w:r>
          </w:p>
        </w:tc>
        <w:tc>
          <w:tcPr>
            <w:tcW w:w="60" w:type="dxa"/>
            <w:tcBorders/>
            <w:shd w:fill="FFFFFF" w:val="clear"/>
            <w:vAlign w:val="center"/>
          </w:tcPr>
          <w:p>
            <w:pPr>
              <w:pStyle w:val="TableContents"/>
              <w:spacing w:before="0" w:after="283"/>
              <w:rPr/>
            </w:pPr>
            <w:r>
              <w:rPr/>
              <w:t> </w:t>
            </w:r>
          </w:p>
        </w:tc>
        <w:tc>
          <w:tcPr>
            <w:tcW w:w="137"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6,664</w:t>
            </w:r>
          </w:p>
        </w:tc>
        <w:tc>
          <w:tcPr>
            <w:tcW w:w="88"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137"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3,920</w:t>
            </w:r>
          </w:p>
        </w:tc>
        <w:tc>
          <w:tcPr>
            <w:tcW w:w="80" w:type="dxa"/>
            <w:tcBorders/>
            <w:shd w:fill="FFFFFF"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Weighted average shares outstanding - diluted</w:t>
            </w:r>
          </w:p>
        </w:tc>
        <w:tc>
          <w:tcPr>
            <w:tcW w:w="60" w:type="dxa"/>
            <w:tcBorders/>
            <w:shd w:fill="CCEEFF" w:val="clear"/>
            <w:vAlign w:val="center"/>
          </w:tcPr>
          <w:p>
            <w:pPr>
              <w:pStyle w:val="TableContents"/>
              <w:spacing w:before="0" w:after="283"/>
              <w:rPr/>
            </w:pPr>
            <w:r>
              <w:rPr/>
              <w:t> </w:t>
            </w:r>
          </w:p>
        </w:tc>
        <w:tc>
          <w:tcPr>
            <w:tcW w:w="137"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6,664</w:t>
            </w:r>
          </w:p>
        </w:tc>
        <w:tc>
          <w:tcPr>
            <w:tcW w:w="88"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37"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3,920</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F-6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36" w:name="equity"/>
      <w:bookmarkEnd w:id="36"/>
      <w:r>
        <w:rPr>
          <w:rFonts w:ascii="Times New Roman" w:hAnsi="Times New Roman"/>
          <w:b/>
          <w:caps w:val="false"/>
          <w:smallCaps w:val="false"/>
          <w:sz w:val="20"/>
        </w:rPr>
        <w:t>CREATIVE REALITIES, INC.</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years ended December 31, 2022 and 2021</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250"/>
        <w:gridCol w:w="60"/>
        <w:gridCol w:w="60"/>
        <w:gridCol w:w="845"/>
        <w:gridCol w:w="60"/>
        <w:gridCol w:w="60"/>
        <w:gridCol w:w="184"/>
        <w:gridCol w:w="496"/>
        <w:gridCol w:w="60"/>
        <w:gridCol w:w="60"/>
        <w:gridCol w:w="160"/>
        <w:gridCol w:w="760"/>
        <w:gridCol w:w="60"/>
        <w:gridCol w:w="60"/>
        <w:gridCol w:w="179"/>
        <w:gridCol w:w="936"/>
        <w:gridCol w:w="80"/>
        <w:gridCol w:w="60"/>
        <w:gridCol w:w="125"/>
        <w:gridCol w:w="590"/>
        <w:gridCol w:w="60"/>
      </w:tblGrid>
      <w:tr>
        <w:trPr/>
        <w:tc>
          <w:tcPr>
            <w:tcW w:w="52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496"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936"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52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05"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paid in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5250" w:type="dxa"/>
            <w:tcBorders/>
            <w:shd w:fill="FFFFFF"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Year ended December 31, 2022</w:t>
            </w:r>
          </w:p>
        </w:tc>
        <w:tc>
          <w:tcPr>
            <w:tcW w:w="60" w:type="dxa"/>
            <w:tcBorders/>
            <w:shd w:fill="FFFFFF" w:val="clear"/>
            <w:vAlign w:val="center"/>
          </w:tcPr>
          <w:p>
            <w:pPr>
              <w:pStyle w:val="TableContents"/>
              <w:spacing w:before="0" w:after="283"/>
              <w:ind w:left="0" w:right="0" w:hanging="0"/>
              <w:rPr/>
            </w:pPr>
            <w:r>
              <w:rPr/>
              <w:t> </w:t>
            </w:r>
          </w:p>
        </w:tc>
        <w:tc>
          <w:tcPr>
            <w:tcW w:w="90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spacing w:before="0" w:after="283"/>
              <w:rPr/>
            </w:pPr>
            <w:r>
              <w:rPr/>
              <w:t> </w:t>
            </w:r>
          </w:p>
        </w:tc>
      </w:tr>
      <w:tr>
        <w:trPr/>
        <w:tc>
          <w:tcPr>
            <w:tcW w:w="52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as of December 31, 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4,002,843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8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60,863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(52,254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8,729</w:t>
            </w:r>
          </w:p>
        </w:tc>
        <w:tc>
          <w:tcPr>
            <w:tcW w:w="60" w:type="dxa"/>
            <w:tcBorders/>
            <w:shd w:fill="CCEEFF" w:val="clear"/>
            <w:vAlign w:val="center"/>
          </w:tcPr>
          <w:p>
            <w:pPr>
              <w:pStyle w:val="TableContents"/>
              <w:spacing w:before="0" w:after="283"/>
              <w:rPr/>
            </w:pPr>
            <w:r>
              <w:rPr/>
              <w:t> </w:t>
            </w:r>
          </w:p>
        </w:tc>
      </w:tr>
      <w:tr>
        <w:trPr/>
        <w:tc>
          <w:tcPr>
            <w:tcW w:w="52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Stock-based compensation - employees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9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7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ind w:left="0" w:right="0" w:hanging="0"/>
              <w:rPr/>
            </w:pPr>
            <w:r>
              <w:rPr/>
              <w:t> </w:t>
            </w:r>
          </w:p>
        </w:tc>
        <w:tc>
          <w:tcPr>
            <w:tcW w:w="9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1,689</w:t>
            </w:r>
          </w:p>
        </w:tc>
        <w:tc>
          <w:tcPr>
            <w:tcW w:w="60" w:type="dxa"/>
            <w:tcBorders/>
            <w:shd w:fill="FFFFFF" w:val="clear"/>
            <w:vAlign w:val="center"/>
          </w:tcPr>
          <w:p>
            <w:pPr>
              <w:pStyle w:val="TableContents"/>
              <w:spacing w:before="0" w:after="283"/>
              <w:rPr/>
            </w:pPr>
            <w:r>
              <w:rPr/>
              <w:t> </w:t>
            </w:r>
          </w:p>
        </w:tc>
      </w:tr>
      <w:tr>
        <w:trPr/>
        <w:tc>
          <w:tcPr>
            <w:tcW w:w="52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Stock-based compensation - directors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7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ind w:left="0" w:right="0" w:hanging="0"/>
              <w:rPr/>
            </w:pPr>
            <w:r>
              <w:rPr/>
              <w:t> </w:t>
            </w:r>
          </w:p>
        </w:tc>
        <w:tc>
          <w:tcPr>
            <w:tcW w:w="9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w:t>
            </w:r>
          </w:p>
        </w:tc>
        <w:tc>
          <w:tcPr>
            <w:tcW w:w="60" w:type="dxa"/>
            <w:tcBorders/>
            <w:shd w:fill="CCEEFF" w:val="clear"/>
            <w:vAlign w:val="center"/>
          </w:tcPr>
          <w:p>
            <w:pPr>
              <w:pStyle w:val="TableContents"/>
              <w:spacing w:before="0" w:after="283"/>
              <w:rPr/>
            </w:pPr>
            <w:r>
              <w:rPr/>
              <w:t> </w:t>
            </w:r>
          </w:p>
        </w:tc>
      </w:tr>
      <w:tr>
        <w:trPr/>
        <w:tc>
          <w:tcPr>
            <w:tcW w:w="52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Stock-based compensation - vendors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41,369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9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7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ind w:left="0" w:right="0" w:hanging="0"/>
              <w:rPr/>
            </w:pPr>
            <w:r>
              <w:rPr/>
              <w:t> </w:t>
            </w:r>
          </w:p>
        </w:tc>
        <w:tc>
          <w:tcPr>
            <w:tcW w:w="9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60" w:type="dxa"/>
            <w:tcBorders/>
            <w:shd w:fill="FFFFFF" w:val="clear"/>
            <w:vAlign w:val="center"/>
          </w:tcPr>
          <w:p>
            <w:pPr>
              <w:pStyle w:val="TableContents"/>
              <w:spacing w:before="0" w:after="283"/>
              <w:rPr/>
            </w:pPr>
            <w:r>
              <w:rPr/>
              <w:t> </w:t>
            </w:r>
          </w:p>
        </w:tc>
      </w:tr>
      <w:tr>
        <w:trPr/>
        <w:tc>
          <w:tcPr>
            <w:tcW w:w="52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Shares issued and warrants exercised in private investment in public entity ("PIPE")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2,388,836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7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2,206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ind w:left="0" w:right="0" w:hanging="0"/>
              <w:rPr/>
            </w:pPr>
            <w:r>
              <w:rPr/>
              <w:t> </w:t>
            </w:r>
          </w:p>
        </w:tc>
        <w:tc>
          <w:tcPr>
            <w:tcW w:w="9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2,278</w:t>
            </w:r>
          </w:p>
        </w:tc>
        <w:tc>
          <w:tcPr>
            <w:tcW w:w="60" w:type="dxa"/>
            <w:tcBorders/>
            <w:shd w:fill="CCEEFF" w:val="clear"/>
            <w:vAlign w:val="center"/>
          </w:tcPr>
          <w:p>
            <w:pPr>
              <w:pStyle w:val="TableContents"/>
              <w:spacing w:before="0" w:after="283"/>
              <w:rPr/>
            </w:pPr>
            <w:r>
              <w:rPr/>
              <w:t> </w:t>
            </w:r>
          </w:p>
        </w:tc>
      </w:tr>
      <w:tr>
        <w:trPr/>
        <w:tc>
          <w:tcPr>
            <w:tcW w:w="52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Shares issued in Reflect Systems, Inc. Merger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833,334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9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7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4,975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ind w:left="0" w:right="0" w:hanging="0"/>
              <w:rPr/>
            </w:pPr>
            <w:r>
              <w:rPr/>
              <w:t> </w:t>
            </w:r>
          </w:p>
        </w:tc>
        <w:tc>
          <w:tcPr>
            <w:tcW w:w="9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5,000</w:t>
            </w:r>
          </w:p>
        </w:tc>
        <w:tc>
          <w:tcPr>
            <w:tcW w:w="60" w:type="dxa"/>
            <w:tcBorders/>
            <w:shd w:fill="FFFFFF" w:val="clear"/>
            <w:vAlign w:val="center"/>
          </w:tcPr>
          <w:p>
            <w:pPr>
              <w:pStyle w:val="TableContents"/>
              <w:spacing w:before="0" w:after="283"/>
              <w:rPr/>
            </w:pPr>
            <w:r>
              <w:rPr/>
              <w:t> </w:t>
            </w:r>
          </w:p>
        </w:tc>
      </w:tr>
      <w:tr>
        <w:trPr/>
        <w:tc>
          <w:tcPr>
            <w:tcW w:w="52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Warrant repricing events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7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ind w:left="0" w:right="0" w:hanging="0"/>
              <w:rPr/>
            </w:pPr>
            <w:r>
              <w:rPr/>
              <w:t> </w:t>
            </w:r>
          </w:p>
        </w:tc>
        <w:tc>
          <w:tcPr>
            <w:tcW w:w="9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52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Warrant amendment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pPr>
            <w:r>
              <w:rPr>
                <w:rStyle w:val="Emphasis"/>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49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7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5,709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93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5,709</w:t>
            </w:r>
          </w:p>
        </w:tc>
        <w:tc>
          <w:tcPr>
            <w:tcW w:w="60" w:type="dxa"/>
            <w:tcBorders/>
            <w:shd w:fill="FFFFFF" w:val="clear"/>
            <w:vAlign w:val="center"/>
          </w:tcPr>
          <w:p>
            <w:pPr>
              <w:pStyle w:val="TableContents"/>
              <w:spacing w:before="0" w:after="283"/>
              <w:rPr/>
            </w:pPr>
            <w:r>
              <w:rPr/>
              <w:t> </w:t>
            </w:r>
          </w:p>
        </w:tc>
      </w:tr>
      <w:tr>
        <w:trPr/>
        <w:tc>
          <w:tcPr>
            <w:tcW w:w="52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4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9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6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3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1,876</w:t>
            </w:r>
          </w:p>
        </w:tc>
        <w:tc>
          <w:tcPr>
            <w:tcW w:w="60" w:type="dxa"/>
            <w:tcBorders/>
            <w:shd w:fill="CCEEFF" w:val="clear"/>
            <w:vAlign w:val="center"/>
          </w:tcPr>
          <w:p>
            <w:pPr>
              <w:pStyle w:val="TableContents"/>
              <w:spacing w:before="0" w:after="283"/>
              <w:rPr/>
            </w:pPr>
            <w:r>
              <w:rPr/>
              <w:t> </w:t>
            </w:r>
          </w:p>
        </w:tc>
      </w:tr>
      <w:tr>
        <w:trPr/>
        <w:tc>
          <w:tcPr>
            <w:tcW w:w="52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as of December 31, 2022</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8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7,266,382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6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75,770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(50,409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25,579</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8290" w:type="dxa"/>
        <w:jc w:val="left"/>
        <w:tblInd w:w="0" w:type="dxa"/>
        <w:tblCellMar>
          <w:top w:w="0" w:type="dxa"/>
          <w:left w:w="0" w:type="dxa"/>
          <w:bottom w:w="0" w:type="dxa"/>
          <w:right w:w="0" w:type="dxa"/>
        </w:tblCellMar>
      </w:tblPr>
      <w:tblGrid>
        <w:gridCol w:w="3440"/>
        <w:gridCol w:w="60"/>
        <w:gridCol w:w="60"/>
        <w:gridCol w:w="845"/>
        <w:gridCol w:w="60"/>
        <w:gridCol w:w="60"/>
        <w:gridCol w:w="184"/>
        <w:gridCol w:w="496"/>
        <w:gridCol w:w="60"/>
        <w:gridCol w:w="60"/>
        <w:gridCol w:w="160"/>
        <w:gridCol w:w="760"/>
        <w:gridCol w:w="60"/>
        <w:gridCol w:w="60"/>
        <w:gridCol w:w="179"/>
        <w:gridCol w:w="936"/>
        <w:gridCol w:w="80"/>
        <w:gridCol w:w="60"/>
        <w:gridCol w:w="125"/>
        <w:gridCol w:w="485"/>
        <w:gridCol w:w="60"/>
      </w:tblGrid>
      <w:tr>
        <w:trPr/>
        <w:tc>
          <w:tcPr>
            <w:tcW w:w="34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496"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936"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34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05"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paid in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3440" w:type="dxa"/>
            <w:tcBorders/>
            <w:shd w:fill="FFFFFF"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Year ended December 31, 2021</w:t>
            </w:r>
          </w:p>
        </w:tc>
        <w:tc>
          <w:tcPr>
            <w:tcW w:w="60" w:type="dxa"/>
            <w:tcBorders/>
            <w:shd w:fill="FFFFFF" w:val="clear"/>
            <w:vAlign w:val="center"/>
          </w:tcPr>
          <w:p>
            <w:pPr>
              <w:pStyle w:val="TableContents"/>
              <w:spacing w:before="0" w:after="283"/>
              <w:ind w:left="0" w:right="0" w:hanging="0"/>
              <w:rPr/>
            </w:pPr>
            <w:r>
              <w:rPr/>
              <w:t> </w:t>
            </w:r>
          </w:p>
        </w:tc>
        <w:tc>
          <w:tcPr>
            <w:tcW w:w="90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as of December 31, 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3,641,429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56,712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(52,486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4,335</w:t>
            </w:r>
          </w:p>
        </w:tc>
        <w:tc>
          <w:tcPr>
            <w:tcW w:w="60" w:type="dxa"/>
            <w:tcBorders/>
            <w:shd w:fill="CCEEFF" w:val="clear"/>
            <w:vAlign w:val="center"/>
          </w:tcPr>
          <w:p>
            <w:pPr>
              <w:pStyle w:val="TableContents"/>
              <w:spacing w:before="0" w:after="283"/>
              <w:rPr/>
            </w:pPr>
            <w:r>
              <w:rPr/>
              <w:t> </w:t>
            </w:r>
          </w:p>
        </w:tc>
      </w:tr>
      <w:tr>
        <w:trPr/>
        <w:tc>
          <w:tcPr>
            <w:tcW w:w="344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Stock-based compensation – employees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49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76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1,494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936"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1,494</w:t>
            </w:r>
          </w:p>
        </w:tc>
        <w:tc>
          <w:tcPr>
            <w:tcW w:w="60" w:type="dxa"/>
            <w:tcBorders/>
            <w:shd w:fill="FFFFFF"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Stock-based compensation - directors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35,511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7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ind w:left="0" w:right="0" w:hanging="0"/>
              <w:rPr/>
            </w:pPr>
            <w:r>
              <w:rPr/>
              <w:t> </w:t>
            </w:r>
          </w:p>
        </w:tc>
        <w:tc>
          <w:tcPr>
            <w:tcW w:w="9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399</w:t>
            </w:r>
          </w:p>
        </w:tc>
        <w:tc>
          <w:tcPr>
            <w:tcW w:w="60" w:type="dxa"/>
            <w:tcBorders/>
            <w:shd w:fill="CCEEFF" w:val="clear"/>
            <w:vAlign w:val="center"/>
          </w:tcPr>
          <w:p>
            <w:pPr>
              <w:pStyle w:val="TableContents"/>
              <w:spacing w:before="0" w:after="283"/>
              <w:rPr/>
            </w:pPr>
            <w:r>
              <w:rPr/>
              <w:t> </w:t>
            </w:r>
          </w:p>
        </w:tc>
      </w:tr>
      <w:tr>
        <w:trPr/>
        <w:tc>
          <w:tcPr>
            <w:tcW w:w="34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Stock-based compensation - vendors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26,854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9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7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ind w:left="0" w:right="0" w:hanging="0"/>
              <w:rPr/>
            </w:pPr>
            <w:r>
              <w:rPr/>
              <w:t> </w:t>
            </w:r>
          </w:p>
        </w:tc>
        <w:tc>
          <w:tcPr>
            <w:tcW w:w="9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w:t>
            </w:r>
          </w:p>
        </w:tc>
        <w:tc>
          <w:tcPr>
            <w:tcW w:w="60" w:type="dxa"/>
            <w:tcBorders/>
            <w:shd w:fill="FFFFFF"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Conversion of Disbursed Escrow Loan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32,382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76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263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93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264</w:t>
            </w:r>
          </w:p>
        </w:tc>
        <w:tc>
          <w:tcPr>
            <w:tcW w:w="60" w:type="dxa"/>
            <w:tcBorders/>
            <w:shd w:fill="CCEEFF" w:val="clear"/>
            <w:vAlign w:val="center"/>
          </w:tcPr>
          <w:p>
            <w:pPr>
              <w:pStyle w:val="TableContents"/>
              <w:spacing w:before="0" w:after="283"/>
              <w:rPr/>
            </w:pPr>
            <w:r>
              <w:rPr/>
              <w:t> </w:t>
            </w:r>
          </w:p>
        </w:tc>
      </w:tr>
      <w:tr>
        <w:trPr/>
        <w:tc>
          <w:tcPr>
            <w:tcW w:w="34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Gain on Extinguishment of Special Loan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9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7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ind w:left="0" w:right="0" w:hanging="0"/>
              <w:rPr/>
            </w:pPr>
            <w:r>
              <w:rPr/>
              <w:t> </w:t>
            </w:r>
          </w:p>
        </w:tc>
        <w:tc>
          <w:tcPr>
            <w:tcW w:w="9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FFFFFF"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Shares issued via registered direct offering</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266,667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7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ind w:left="0" w:right="0" w:hanging="0"/>
              <w:rPr/>
            </w:pPr>
            <w:r>
              <w:rPr/>
              <w:t> </w:t>
            </w:r>
          </w:p>
        </w:tc>
        <w:tc>
          <w:tcPr>
            <w:tcW w:w="9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1,849</w:t>
            </w:r>
          </w:p>
        </w:tc>
        <w:tc>
          <w:tcPr>
            <w:tcW w:w="60" w:type="dxa"/>
            <w:tcBorders/>
            <w:shd w:fill="CCEEFF" w:val="clear"/>
            <w:vAlign w:val="center"/>
          </w:tcPr>
          <w:p>
            <w:pPr>
              <w:pStyle w:val="TableContents"/>
              <w:spacing w:before="0" w:after="283"/>
              <w:rPr/>
            </w:pPr>
            <w:r>
              <w:rPr/>
              <w:t> </w:t>
            </w:r>
          </w:p>
        </w:tc>
      </w:tr>
      <w:tr>
        <w:trPr/>
        <w:tc>
          <w:tcPr>
            <w:tcW w:w="34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9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w:t>
            </w:r>
          </w:p>
        </w:tc>
        <w:tc>
          <w:tcPr>
            <w:tcW w:w="60" w:type="dxa"/>
            <w:tcBorders/>
            <w:shd w:fill="FFFFFF"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as of December 31, 2021</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8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4,002,843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8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9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6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60,863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(52,254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8,729</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F-7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37" w:name="cf"/>
      <w:bookmarkEnd w:id="37"/>
      <w:r>
        <w:rPr>
          <w:rFonts w:ascii="Times New Roman" w:hAnsi="Times New Roman"/>
          <w:b/>
          <w:caps w:val="false"/>
          <w:smallCaps w:val="false"/>
          <w:sz w:val="20"/>
        </w:rPr>
        <w:t>CREATIVE REALITIES,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per share amounts)</w:t>
      </w:r>
    </w:p>
    <w:p>
      <w:pPr>
        <w:pStyle w:val="TextBody"/>
        <w:spacing w:before="0" w:after="0"/>
        <w:ind w:left="0" w:right="0" w:hanging="0"/>
        <w:rPr>
          <w:caps w:val="false"/>
          <w:smallCaps w:val="false"/>
        </w:rPr>
      </w:pPr>
      <w:r>
        <w:rPr>
          <w:caps w:val="false"/>
          <w:smallCaps w:val="false"/>
        </w:rPr>
        <w:t> </w:t>
      </w:r>
    </w:p>
    <w:tbl>
      <w:tblPr>
        <w:tblW w:w="8817" w:type="dxa"/>
        <w:jc w:val="left"/>
        <w:tblInd w:w="0" w:type="dxa"/>
        <w:tblCellMar>
          <w:top w:w="0" w:type="dxa"/>
          <w:left w:w="0" w:type="dxa"/>
          <w:bottom w:w="0" w:type="dxa"/>
          <w:right w:w="0" w:type="dxa"/>
        </w:tblCellMar>
      </w:tblPr>
      <w:tblGrid>
        <w:gridCol w:w="6950"/>
        <w:gridCol w:w="60"/>
        <w:gridCol w:w="136"/>
        <w:gridCol w:w="709"/>
        <w:gridCol w:w="87"/>
        <w:gridCol w:w="65"/>
        <w:gridCol w:w="136"/>
        <w:gridCol w:w="594"/>
        <w:gridCol w:w="80"/>
      </w:tblGrid>
      <w:tr>
        <w:trPr/>
        <w:tc>
          <w:tcPr>
            <w:tcW w:w="6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7"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For the Years Ended</w:t>
            </w:r>
          </w:p>
        </w:tc>
        <w:tc>
          <w:tcPr>
            <w:tcW w:w="80" w:type="dxa"/>
            <w:tcBorders/>
            <w:shd w:fill="FFFF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7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709"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594"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spacing w:before="0" w:after="283"/>
              <w:ind w:left="0" w:right="0" w:hanging="0"/>
              <w:rPr/>
            </w:pPr>
            <w:r>
              <w:rPr/>
              <w:t> </w:t>
            </w:r>
          </w:p>
        </w:tc>
        <w:tc>
          <w:tcPr>
            <w:tcW w:w="13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1,876</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13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Adjustments to reconcile net income to be used in operating activities:</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709"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594"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2,833</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1,364</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Amortization of debt discount</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1,268</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2,116</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2,023</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 in excess/obsolete inventory reserve</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1,275</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409</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 in allowance for doubtful accounts</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398</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Employee retention and other government credits</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Increase in notes due to in-kind interest</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467</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Non-cash receivables from in-process projects</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Non-cash application of customer deposits to completed projects</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Gain on forgiveness of Paycheck Protection Program</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(1,552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Gain on settlement of Seller Note</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Loss/(Gain) on settlement of obligations</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Changes in fair value of Convertible Loan</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 on debt waiver consent</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1,212</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 on warrant amendment</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345</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Gain on change in fair value of contingent consideration</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709"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(1,074</w:t>
            </w:r>
          </w:p>
        </w:tc>
        <w:tc>
          <w:tcPr>
            <w:tcW w:w="8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59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Gain on change in fair value of warrants</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(7,902</w:t>
            </w:r>
          </w:p>
        </w:tc>
        <w:tc>
          <w:tcPr>
            <w:tcW w:w="8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Changes to operating assets and liabilities:</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709"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594"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Accounts receivable and unbilled receivables</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(3,927</w:t>
            </w:r>
          </w:p>
        </w:tc>
        <w:tc>
          <w:tcPr>
            <w:tcW w:w="8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(1,472</w:t>
            </w:r>
          </w:p>
        </w:tc>
        <w:tc>
          <w:tcPr>
            <w:tcW w:w="8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480</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Accounts payable and other current payables</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914</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869</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(462</w:t>
            </w:r>
          </w:p>
        </w:tc>
        <w:tc>
          <w:tcPr>
            <w:tcW w:w="8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Accrued expenses, net</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1,112</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206</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Customer deposits</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1,261</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spacing w:before="0" w:after="283"/>
              <w:rPr/>
            </w:pPr>
            <w:r>
              <w:rPr/>
              <w:t> </w:t>
            </w:r>
          </w:p>
        </w:tc>
        <w:tc>
          <w:tcPr>
            <w:tcW w:w="13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0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w:t>
            </w:r>
          </w:p>
        </w:tc>
        <w:tc>
          <w:tcPr>
            <w:tcW w:w="8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spacing w:before="0" w:after="283"/>
              <w:rPr/>
            </w:pPr>
            <w:r>
              <w:rPr/>
              <w:t> </w:t>
            </w:r>
          </w:p>
        </w:tc>
        <w:tc>
          <w:tcPr>
            <w:tcW w:w="13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cash provided by / (used in) operating activities</w:t>
            </w:r>
          </w:p>
        </w:tc>
        <w:tc>
          <w:tcPr>
            <w:tcW w:w="60" w:type="dxa"/>
            <w:tcBorders/>
            <w:shd w:fill="FFFFFF" w:val="clear"/>
            <w:vAlign w:val="center"/>
          </w:tcPr>
          <w:p>
            <w:pPr>
              <w:pStyle w:val="TableContents"/>
              <w:spacing w:before="0" w:after="283"/>
              <w:rPr/>
            </w:pPr>
            <w:r>
              <w:rPr/>
              <w:t> </w:t>
            </w:r>
          </w:p>
        </w:tc>
        <w:tc>
          <w:tcPr>
            <w:tcW w:w="13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0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(708</w:t>
            </w:r>
          </w:p>
        </w:tc>
        <w:tc>
          <w:tcPr>
            <w:tcW w:w="8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spacing w:before="0" w:after="283"/>
              <w:rPr/>
            </w:pPr>
            <w:r>
              <w:rPr/>
              <w:t> </w:t>
            </w:r>
          </w:p>
        </w:tc>
        <w:tc>
          <w:tcPr>
            <w:tcW w:w="13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471</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709"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594"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Acquisition of business, net of cash acquired</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rPr/>
            </w:pPr>
            <w:r>
              <w:rPr/>
              <w:t> </w:t>
            </w:r>
          </w:p>
        </w:tc>
        <w:tc>
          <w:tcPr>
            <w:tcW w:w="709"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(17,186</w:t>
            </w:r>
          </w:p>
        </w:tc>
        <w:tc>
          <w:tcPr>
            <w:tcW w:w="8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rPr/>
            </w:pPr>
            <w:r>
              <w:rPr/>
              <w:t> </w:t>
            </w:r>
          </w:p>
        </w:tc>
        <w:tc>
          <w:tcPr>
            <w:tcW w:w="594"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w:t>
            </w:r>
          </w:p>
        </w:tc>
        <w:tc>
          <w:tcPr>
            <w:tcW w:w="8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Capitalization of internal and external labor for software development</w:t>
            </w:r>
          </w:p>
        </w:tc>
        <w:tc>
          <w:tcPr>
            <w:tcW w:w="60" w:type="dxa"/>
            <w:tcBorders/>
            <w:shd w:fill="FFFFFF" w:val="clear"/>
            <w:vAlign w:val="center"/>
          </w:tcPr>
          <w:p>
            <w:pPr>
              <w:pStyle w:val="TableContents"/>
              <w:spacing w:before="0" w:after="283"/>
              <w:rPr/>
            </w:pPr>
            <w:r>
              <w:rPr/>
              <w:t> </w:t>
            </w:r>
          </w:p>
        </w:tc>
        <w:tc>
          <w:tcPr>
            <w:tcW w:w="13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0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(4,140</w:t>
            </w:r>
          </w:p>
        </w:tc>
        <w:tc>
          <w:tcPr>
            <w:tcW w:w="8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spacing w:before="0" w:after="283"/>
              <w:rPr/>
            </w:pPr>
            <w:r>
              <w:rPr/>
              <w:t> </w:t>
            </w:r>
          </w:p>
        </w:tc>
        <w:tc>
          <w:tcPr>
            <w:tcW w:w="13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spacing w:before="0" w:after="283"/>
              <w:rPr/>
            </w:pPr>
            <w:r>
              <w:rPr/>
              <w:t> </w:t>
            </w:r>
          </w:p>
        </w:tc>
        <w:tc>
          <w:tcPr>
            <w:tcW w:w="13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0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(21,475</w:t>
            </w:r>
          </w:p>
        </w:tc>
        <w:tc>
          <w:tcPr>
            <w:tcW w:w="8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spacing w:before="0" w:after="283"/>
              <w:rPr/>
            </w:pPr>
            <w:r>
              <w:rPr/>
              <w:t> </w:t>
            </w:r>
          </w:p>
        </w:tc>
        <w:tc>
          <w:tcPr>
            <w:tcW w:w="13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rPr/>
            </w:pPr>
            <w:r>
              <w:rPr/>
              <w:t> </w:t>
            </w:r>
          </w:p>
        </w:tc>
        <w:tc>
          <w:tcPr>
            <w:tcW w:w="709"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rPr/>
            </w:pPr>
            <w:r>
              <w:rPr/>
              <w:t> </w:t>
            </w:r>
          </w:p>
        </w:tc>
        <w:tc>
          <w:tcPr>
            <w:tcW w:w="594"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Principal payments on finance leases</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Proceeds from sale of common stock in PIPE, net of offering expenses</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1,814</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Proceeds from sale &amp; exercise of pre-funded warrants in PIPE, net of offering expenses</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709"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8,295</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59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Proceeds from Acquisition Term Loan, net of offering expenses</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rPr/>
            </w:pPr>
            <w:r>
              <w:rPr/>
              <w:t> </w:t>
            </w:r>
          </w:p>
        </w:tc>
        <w:tc>
          <w:tcPr>
            <w:tcW w:w="709"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9,868</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rPr/>
            </w:pPr>
            <w:r>
              <w:rPr/>
              <w:t> </w:t>
            </w:r>
          </w:p>
        </w:tc>
        <w:tc>
          <w:tcPr>
            <w:tcW w:w="594"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Proceeds from Term Loan (2022)</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Repayment of seller note</w:t>
            </w:r>
          </w:p>
        </w:tc>
        <w:tc>
          <w:tcPr>
            <w:tcW w:w="60"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7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(1,044</w:t>
            </w:r>
          </w:p>
        </w:tc>
        <w:tc>
          <w:tcPr>
            <w:tcW w:w="8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ind w:left="0" w:right="0" w:hanging="0"/>
              <w:rPr/>
            </w:pPr>
            <w:r>
              <w:rPr/>
              <w:t> </w:t>
            </w:r>
          </w:p>
        </w:tc>
        <w:tc>
          <w:tcPr>
            <w:tcW w:w="59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Proceeds from common stock issuance, net of issuance costs</w:t>
            </w:r>
          </w:p>
        </w:tc>
        <w:tc>
          <w:tcPr>
            <w:tcW w:w="60" w:type="dxa"/>
            <w:tcBorders/>
            <w:shd w:fill="CCEEFF" w:val="clear"/>
            <w:vAlign w:val="center"/>
          </w:tcPr>
          <w:p>
            <w:pPr>
              <w:pStyle w:val="TableContents"/>
              <w:spacing w:before="0" w:after="283"/>
              <w:rPr/>
            </w:pPr>
            <w:r>
              <w:rPr/>
              <w:t> </w:t>
            </w:r>
          </w:p>
        </w:tc>
        <w:tc>
          <w:tcPr>
            <w:tcW w:w="13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0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1,849</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FFFFFF" w:val="clear"/>
            <w:vAlign w:val="center"/>
          </w:tcPr>
          <w:p>
            <w:pPr>
              <w:pStyle w:val="TableContents"/>
              <w:spacing w:before="0" w:after="283"/>
              <w:rPr/>
            </w:pPr>
            <w:r>
              <w:rPr/>
              <w:t> </w:t>
            </w:r>
          </w:p>
        </w:tc>
        <w:tc>
          <w:tcPr>
            <w:tcW w:w="13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0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20,933</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1,745</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Decrease in Cash and Cash Equivalents</w:t>
            </w:r>
          </w:p>
        </w:tc>
        <w:tc>
          <w:tcPr>
            <w:tcW w:w="60"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7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(1,250</w:t>
            </w:r>
          </w:p>
        </w:tc>
        <w:tc>
          <w:tcPr>
            <w:tcW w:w="8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ind w:left="0" w:right="0" w:hanging="0"/>
              <w:rPr/>
            </w:pPr>
            <w:r>
              <w:rPr/>
              <w:t> </w:t>
            </w:r>
          </w:p>
        </w:tc>
        <w:tc>
          <w:tcPr>
            <w:tcW w:w="59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1,057</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and Cash Equivalents, beginning of year</w:t>
            </w:r>
          </w:p>
        </w:tc>
        <w:tc>
          <w:tcPr>
            <w:tcW w:w="60" w:type="dxa"/>
            <w:tcBorders/>
            <w:shd w:fill="FFFFFF" w:val="clear"/>
            <w:vAlign w:val="center"/>
          </w:tcPr>
          <w:p>
            <w:pPr>
              <w:pStyle w:val="TableContents"/>
              <w:spacing w:before="0" w:after="283"/>
              <w:rPr/>
            </w:pPr>
            <w:r>
              <w:rPr/>
              <w:t> </w:t>
            </w:r>
          </w:p>
        </w:tc>
        <w:tc>
          <w:tcPr>
            <w:tcW w:w="13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0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2,883</w:t>
            </w:r>
          </w:p>
        </w:tc>
        <w:tc>
          <w:tcPr>
            <w:tcW w:w="87"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3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1,826</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and Cash Equivalents, end of year</w:t>
            </w:r>
          </w:p>
        </w:tc>
        <w:tc>
          <w:tcPr>
            <w:tcW w:w="60" w:type="dxa"/>
            <w:tcBorders/>
            <w:shd w:fill="CCEEFF" w:val="clear"/>
            <w:vAlign w:val="center"/>
          </w:tcPr>
          <w:p>
            <w:pPr>
              <w:pStyle w:val="TableContents"/>
              <w:spacing w:before="0" w:after="283"/>
              <w:ind w:left="0" w:right="0" w:hanging="0"/>
              <w:rPr/>
            </w:pPr>
            <w:r>
              <w:rPr/>
              <w:t> </w:t>
            </w:r>
          </w:p>
        </w:tc>
        <w:tc>
          <w:tcPr>
            <w:tcW w:w="13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1,633</w:t>
            </w:r>
          </w:p>
        </w:tc>
        <w:tc>
          <w:tcPr>
            <w:tcW w:w="87"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13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2,883</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F-8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38" w:name="notes"/>
      <w:bookmarkEnd w:id="38"/>
      <w:r>
        <w:rPr>
          <w:rFonts w:ascii="Times New Roman" w:hAnsi="Times New Roman"/>
          <w:b/>
          <w:caps w:val="false"/>
          <w:smallCaps w:val="false"/>
          <w:sz w:val="20"/>
        </w:rPr>
        <w:t>CREATIVE REALITIES,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All currency is rounded to the nearest thousands except share and per share amounts. On March 27, 2023, the Company effectuated a l-for-3 reverse stock split of its outstanding common stock. These Notes to Consolidated Financial Statements and the accompanying Consolidated Financial Statements give retroactive effect to the reverse stock split for all periods presented. The shares of common stock retained a par value of $0.01 per share.</w:t>
      </w:r>
    </w:p>
    <w:p>
      <w:pPr>
        <w:pStyle w:val="TextBody"/>
        <w:rPr/>
      </w:pPr>
      <w:r>
        <w:rPr/>
        <w:t xml:space="preserve">  </w:t>
      </w:r>
    </w:p>
    <w:p>
      <w:pPr>
        <w:pStyle w:val="TextBody"/>
        <w:spacing w:before="0" w:after="0"/>
        <w:ind w:left="0" w:right="0" w:hanging="0"/>
        <w:rPr/>
      </w:pPr>
      <w:bookmarkStart w:id="39" w:name="note1"/>
      <w:bookmarkEnd w:id="39"/>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w:t>
      </w:r>
      <w:r>
        <w:rPr>
          <w:rFonts w:ascii="Times New Roman" w:hAnsi="Times New Roman"/>
          <w:b/>
          <w:caps w:val="false"/>
          <w:smallCaps w:val="false"/>
          <w:sz w:val="20"/>
          <w:u w:val="single"/>
        </w:rPr>
        <w:t xml:space="preserve"> NATURE OF ORGANIZATION AND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i/>
          <w:caps w:val="false"/>
          <w:smallCaps w:val="false"/>
          <w:sz w:val="20"/>
        </w:rPr>
        <w:t xml:space="preserve">Unless the context otherwise indicates, references in these Notes to the accompanying Consolidated Financial Statements to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the Company</w:t>
      </w:r>
      <w:r>
        <w:rPr>
          <w:rFonts w:ascii="Times New Roman" w:hAnsi="Times New Roman"/>
          <w:caps w:val="false"/>
          <w:smallCaps w:val="false"/>
          <w:sz w:val="20"/>
        </w:rPr>
        <w:t xml:space="preserve">” </w:t>
      </w:r>
      <w:r>
        <w:rPr>
          <w:rFonts w:ascii="Times New Roman" w:hAnsi="Times New Roman"/>
          <w:i/>
          <w:caps w:val="false"/>
          <w:smallCaps w:val="false"/>
          <w:sz w:val="20"/>
        </w:rPr>
        <w:t>refer to Creative Realities, Inc. and its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i/>
          <w:caps w:val="false"/>
          <w:smallCaps w:val="false"/>
          <w:sz w:val="20"/>
        </w:rPr>
        <w:t>Nature of the Company</w:t>
      </w:r>
      <w:r>
        <w:rPr>
          <w:rFonts w:ascii="Times New Roman" w:hAnsi="Times New Roman"/>
          <w:caps w:val="false"/>
          <w:smallCaps w:val="false"/>
          <w:sz w:val="20"/>
        </w:rPr>
        <w:t>’</w:t>
      </w:r>
      <w:r>
        <w:rPr>
          <w:rFonts w:ascii="Times New Roman" w:hAnsi="Times New Roman"/>
          <w:i/>
          <w:caps w:val="false"/>
          <w:smallCaps w:val="false"/>
          <w:sz w:val="20"/>
        </w:rPr>
        <w:t>s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Our main operations are conducted directly through Creative Realities, Inc., and under our wholly owned subsidiaries Allure Global Solutions, Inc., a Georgia corporation, Creative Realities Canada, Inc., a Canadian corporation, and Reflect Systems, Inc., a Delaware corporation.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 w:hAnsi="Times New Roman"/>
          <w:i/>
          <w:caps w:val="false"/>
          <w:smallCaps w:val="false"/>
          <w:sz w:val="20"/>
        </w:rPr>
      </w:pPr>
      <w:r>
        <w:rPr>
          <w:rFonts w:ascii="Times New Roman" w:hAnsi="Times New Roman"/>
          <w:i/>
          <w:caps w:val="false"/>
          <w:smallCaps w:val="false"/>
          <w:sz w:val="20"/>
        </w:rPr>
        <w:t>Liquidity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accompanying Consolidated Financial Statements have been prepared on the basis of the realization of assets and the satisfaction of liabilities and commitments in the normal course of business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to the recoverability and classifications of recorded assets and liabilities as a result of uncertainties.</w:t>
      </w:r>
    </w:p>
    <w:p>
      <w:pPr>
        <w:pStyle w:val="TextBody"/>
        <w:spacing w:before="0" w:after="0"/>
        <w:ind w:left="160" w:right="0" w:firstLine="720"/>
        <w:jc w:val="both"/>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we have an accumulated deficit of ($50,409), negative working capital of (</w:t>
      </w:r>
      <w:r>
        <w:rPr>
          <w:rStyle w:val="Emphasis"/>
          <w:rFonts w:ascii="Times New Roman" w:hAnsi="Times New Roman"/>
          <w:caps w:val="false"/>
          <w:smallCaps w:val="false"/>
          <w:sz w:val="20"/>
        </w:rPr>
        <w:t>$2,514</w:t>
      </w:r>
      <w:r>
        <w:rPr>
          <w:rFonts w:ascii="Times New Roman" w:hAnsi="Times New Roman"/>
          <w:caps w:val="false"/>
          <w:smallCaps w:val="false"/>
          <w:sz w:val="20"/>
        </w:rPr>
        <w:t xml:space="preserve">) and cash of $1,633.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we incurred an operating loss of ($2,480) and cash outflows from operations of ($708). Our history of operating losses and near term cash obligations are indicators of substantial doubt about our ability to continue as a going concern. We obtained a continued support letter from Slipstream Communications, LLC ("Slipstream") through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which alleviated the substantial doubt about our ability to continue as a going concern. We can provide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our ongoing operational efforts will be successful which could have a material adverse effect on our results of operations and cash flows.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9</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pPr>
      <w:bookmarkStart w:id="40" w:name="note2"/>
      <w:bookmarkEnd w:id="40"/>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2:</w:t>
      </w:r>
      <w:r>
        <w:rPr>
          <w:rFonts w:ascii="Times New Roman" w:hAnsi="Times New Roman"/>
          <w:b/>
          <w:caps w:val="false"/>
          <w:smallCaps w:val="false"/>
          <w:sz w:val="20"/>
          <w:u w:val="single"/>
        </w:rPr>
        <w:t xml:space="preserve"> SUMMARY OF SIGNIFICANT ACCOUNTING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 summary of the significant accounting policies consistently applied in the preparation of the accompanying Consolidated Financial Statements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Basis of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accompanying Consolidated Financial Statements have been prepared in accordance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and Article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and include all of the information and disclosures required by generally accepted accounting principles in the United States of America (“GAAP”) for annual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Consolidated Financial Statements include the accounts of Creative Realities, Inc. and our wholly owned subsidiaries Allure, Creative Realities (Canada), Inc., and Reflect Systems, Inc. All intercompany balances and transactions have been eliminated in consolidation,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i/>
          <w:caps w:val="false"/>
          <w:smallCaps w:val="false"/>
          <w:sz w:val="20"/>
        </w:rPr>
        <w:t>2.</w:t>
      </w:r>
      <w:r>
        <w:rPr>
          <w:rFonts w:ascii="Times New Roman" w:hAnsi="Times New Roman"/>
          <w:i/>
          <w:caps w:val="false"/>
          <w:smallCaps w:val="false"/>
          <w:sz w:val="20"/>
        </w:rPr>
        <w:t xml:space="preserve"> Revenue Recognition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We recognize revenue in accordance with Financial Accounting Standards Board (“FASB”) Accounting Standards Codification (“ASC”) </w:t>
      </w:r>
      <w:r>
        <w:rPr>
          <w:rStyle w:val="Emphasis"/>
          <w:rFonts w:ascii="Times New Roman" w:hAnsi="Times New Roman"/>
          <w:caps w:val="false"/>
          <w:smallCaps w:val="false"/>
          <w:sz w:val="20"/>
        </w:rPr>
        <w:t>606,</w:t>
      </w:r>
      <w:r>
        <w:rPr>
          <w:rFonts w:ascii="Times New Roman" w:hAnsi="Times New Roman"/>
          <w:caps w:val="false"/>
          <w:smallCaps w:val="false"/>
          <w:sz w:val="20"/>
        </w:rPr>
        <w:t>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applying the </w:t>
      </w:r>
      <w:r>
        <w:rPr>
          <w:rStyle w:val="Emphasis"/>
          <w:rFonts w:ascii="Times New Roman" w:hAnsi="Times New Roman"/>
          <w:caps w:val="false"/>
          <w:smallCaps w:val="false"/>
          <w:sz w:val="20"/>
        </w:rPr>
        <w:t>five</w:t>
      </w:r>
      <w:r>
        <w:rPr>
          <w:rFonts w:ascii="Times New Roman" w:hAnsi="Times New Roman"/>
          <w:caps w:val="false"/>
          <w:smallCaps w:val="false"/>
          <w:sz w:val="20"/>
        </w:rPr>
        <w:t>-step model.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If an arrangement involves multiple performance obligations, the items are analyzed to determine the separate units of accounting, whether the items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Times;serif" w:hAnsi="Times New Roman;Times;serif"/>
          <w:sz w:val="20"/>
        </w:rPr>
        <w:t xml:space="preserve">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w:t>
      </w:r>
      <w:r>
        <w:rPr>
          <w:rStyle w:val="Emphasis"/>
          <w:rFonts w:ascii="Times New Roman;Times;serif" w:hAnsi="Times New Roman;Times;serif"/>
          <w:sz w:val="20"/>
        </w:rPr>
        <w:t>not</w:t>
      </w:r>
      <w:r>
        <w:rPr>
          <w:rFonts w:ascii="Times New Roman;Times;serif" w:hAnsi="Times New Roman;Times;serif"/>
          <w:sz w:val="20"/>
        </w:rPr>
        <w:t xml:space="preserve"> occur when the uncertainty associated with the variable consideration is subsequently resolved. The Company considers the sensitivity of the estimate, its relationship and experience with the client and variable services being performed, the range of possible revenue amounts and the magnitude of the variable consideration to the overall arrangement. The Company receives variable consideration in very few instances.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Revenue is recognized when a customer obtains control of promised goods or services under the terms of a contract and is measured as the amount of consideration the Company expects to receive in exchange for transferring goods or providing services.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material extended payment terms as payment is due at or shortly after the time of the sale, typically ranging between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ninety</w:t>
      </w:r>
      <w:r>
        <w:rPr>
          <w:rFonts w:ascii="Times New Roman" w:hAnsi="Times New Roman"/>
          <w:caps w:val="false"/>
          <w:smallCaps w:val="false"/>
          <w:sz w:val="20"/>
        </w:rPr>
        <w:t xml:space="preserve"> days. Observable prices are used to determine the standalone selling price of separate performance obligations or a cost plus margin approach when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Sales, value-added and other taxes collected concurrently with revenue producing activities are excluded from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Company recognizes contract assets or unbilled receivables related to revenue recognized for services completed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invoiced to the clients. A contract liability is recognized as deferred revenue when the Company invoices clients in advance of performing the related services under the terms of a contract. Deferred revenue is recognized as revenue when the Company has satisfied the related performance obligation.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Company uses the practical expedient for recording an immediate expense for incremental costs of obtaining contracts, including certain design/engineering services, commissions, incentives and payroll taxes, as these incremental and recoverable costs have terms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10</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pPr>
      <w:r>
        <w:rPr>
          <w:rStyle w:val="Emphasis"/>
          <w:rFonts w:ascii="Times New Roman" w:hAnsi="Times New Roman"/>
          <w:i/>
          <w:caps w:val="false"/>
          <w:smallCaps w:val="false"/>
          <w:sz w:val="20"/>
        </w:rPr>
        <w:t>3.</w:t>
      </w:r>
      <w:r>
        <w:rPr>
          <w:rFonts w:ascii="Times New Roman" w:hAnsi="Times New Roman"/>
          <w:i/>
          <w:caps w:val="false"/>
          <w:smallCaps w:val="false"/>
          <w:sz w:val="20"/>
        </w:rPr>
        <w:t xml:space="preserve"> Inventories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Inventories are stated at the lower of cost or net realizable value, determined by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-out (FIFO) method, and consist of the following:</w:t>
      </w:r>
    </w:p>
    <w:p>
      <w:pPr>
        <w:pStyle w:val="TextBody"/>
        <w:spacing w:before="0" w:after="0"/>
        <w:ind w:left="0" w:right="0" w:hanging="0"/>
        <w:rPr>
          <w:caps w:val="false"/>
          <w:smallCaps w:val="false"/>
        </w:rPr>
      </w:pPr>
      <w:r>
        <w:rPr>
          <w:caps w:val="false"/>
          <w:smallCaps w:val="false"/>
        </w:rPr>
        <w:t> </w:t>
      </w:r>
    </w:p>
    <w:tbl>
      <w:tblPr>
        <w:tblW w:w="7573" w:type="dxa"/>
        <w:jc w:val="left"/>
        <w:tblInd w:w="0" w:type="dxa"/>
        <w:tblCellMar>
          <w:top w:w="0" w:type="dxa"/>
          <w:left w:w="0" w:type="dxa"/>
          <w:bottom w:w="0" w:type="dxa"/>
          <w:right w:w="0" w:type="dxa"/>
        </w:tblCellMar>
      </w:tblPr>
      <w:tblGrid>
        <w:gridCol w:w="5045"/>
        <w:gridCol w:w="60"/>
        <w:gridCol w:w="234"/>
        <w:gridCol w:w="910"/>
        <w:gridCol w:w="60"/>
        <w:gridCol w:w="60"/>
        <w:gridCol w:w="234"/>
        <w:gridCol w:w="910"/>
        <w:gridCol w:w="60"/>
      </w:tblGrid>
      <w:tr>
        <w:trPr/>
        <w:tc>
          <w:tcPr>
            <w:tcW w:w="50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50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50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Raw materials, net of reserve of $1,777 and $502, respectively</w:t>
            </w:r>
          </w:p>
        </w:tc>
        <w:tc>
          <w:tcPr>
            <w:tcW w:w="60" w:type="dxa"/>
            <w:tcBorders/>
            <w:shd w:fill="CCEEFF" w:val="clear"/>
            <w:vAlign w:val="center"/>
          </w:tcPr>
          <w:p>
            <w:pPr>
              <w:pStyle w:val="TableContents"/>
              <w:spacing w:before="0" w:after="283"/>
              <w:ind w:left="0" w:right="0" w:hanging="0"/>
              <w:rPr/>
            </w:pPr>
            <w:r>
              <w:rPr/>
              <w:t> </w:t>
            </w:r>
          </w:p>
        </w:tc>
        <w:tc>
          <w:tcPr>
            <w:tcW w:w="23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3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1,583</w:t>
            </w:r>
          </w:p>
        </w:tc>
        <w:tc>
          <w:tcPr>
            <w:tcW w:w="60" w:type="dxa"/>
            <w:tcBorders/>
            <w:shd w:fill="CCEEFF" w:val="clear"/>
            <w:vAlign w:val="center"/>
          </w:tcPr>
          <w:p>
            <w:pPr>
              <w:pStyle w:val="TableContents"/>
              <w:spacing w:before="0" w:after="283"/>
              <w:rPr/>
            </w:pPr>
            <w:r>
              <w:rPr/>
              <w:t> </w:t>
            </w:r>
          </w:p>
        </w:tc>
      </w:tr>
      <w:tr>
        <w:trPr/>
        <w:tc>
          <w:tcPr>
            <w:tcW w:w="50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Work-in-process</w:t>
            </w:r>
          </w:p>
        </w:tc>
        <w:tc>
          <w:tcPr>
            <w:tcW w:w="60" w:type="dxa"/>
            <w:tcBorders/>
            <w:shd w:fill="FFFFFF" w:val="clear"/>
            <w:vAlign w:val="center"/>
          </w:tcPr>
          <w:p>
            <w:pPr>
              <w:pStyle w:val="TableContents"/>
              <w:spacing w:before="0" w:after="283"/>
              <w:rPr/>
            </w:pPr>
            <w:r>
              <w:rPr/>
              <w:t> </w:t>
            </w:r>
          </w:p>
        </w:tc>
        <w:tc>
          <w:tcPr>
            <w:tcW w:w="23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1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1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297</w:t>
            </w:r>
          </w:p>
        </w:tc>
        <w:tc>
          <w:tcPr>
            <w:tcW w:w="60" w:type="dxa"/>
            <w:tcBorders/>
            <w:shd w:fill="FFFFFF" w:val="clear"/>
            <w:vAlign w:val="center"/>
          </w:tcPr>
          <w:p>
            <w:pPr>
              <w:pStyle w:val="TableContents"/>
              <w:spacing w:before="0" w:after="283"/>
              <w:rPr/>
            </w:pPr>
            <w:r>
              <w:rPr/>
              <w:t> </w:t>
            </w:r>
          </w:p>
        </w:tc>
      </w:tr>
      <w:tr>
        <w:trPr/>
        <w:tc>
          <w:tcPr>
            <w:tcW w:w="50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inventories</w:t>
            </w:r>
          </w:p>
        </w:tc>
        <w:tc>
          <w:tcPr>
            <w:tcW w:w="60" w:type="dxa"/>
            <w:tcBorders/>
            <w:shd w:fill="CCEEFF" w:val="clear"/>
            <w:vAlign w:val="center"/>
          </w:tcPr>
          <w:p>
            <w:pPr>
              <w:pStyle w:val="TableContents"/>
              <w:spacing w:before="0" w:after="283"/>
              <w:ind w:left="0" w:right="0" w:hanging="0"/>
              <w:rPr/>
            </w:pPr>
            <w:r>
              <w:rPr/>
              <w:t> </w:t>
            </w:r>
          </w:p>
        </w:tc>
        <w:tc>
          <w:tcPr>
            <w:tcW w:w="23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2,267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3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1,880</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Company increased its reserves for obsolete inventory by $1,275, of which $1,249 related to Safe Space Solutions. The Company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actively promoting the sale of our Safe Space Solutions or purchasing inventory to support such solutions.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i/>
          <w:caps w:val="false"/>
          <w:smallCaps w:val="false"/>
          <w:sz w:val="20"/>
        </w:rPr>
        <w:t>4</w:t>
      </w:r>
    </w:p>
    <w:p>
      <w:pPr>
        <w:pStyle w:val="TextBody"/>
        <w:spacing w:before="0" w:after="0"/>
        <w:ind w:left="0" w:right="0" w:hanging="0"/>
        <w:rPr/>
      </w:pPr>
      <w:r>
        <w:rPr>
          <w:rStyle w:val="Emphasis"/>
          <w:rFonts w:ascii="Times New Roman" w:hAnsi="Times New Roman"/>
          <w:i/>
          <w:caps w:val="false"/>
          <w:smallCaps w:val="false"/>
          <w:sz w:val="20"/>
        </w:rPr>
        <w:t>.</w:t>
      </w:r>
      <w:r>
        <w:rPr>
          <w:rFonts w:ascii="Times New Roman" w:hAnsi="Times New Roman"/>
          <w:i/>
          <w:caps w:val="false"/>
          <w:smallCaps w:val="false"/>
          <w:sz w:val="20"/>
        </w:rPr>
        <w:t xml:space="preserve"> Impairment of Long-Lived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We review the carrying value of all long-lived assets, including property and equipment, for impairment annually as of </w:t>
      </w:r>
      <w:r>
        <w:rPr>
          <w:rStyle w:val="Emphasis"/>
          <w:rFonts w:ascii="Times New Roman" w:hAnsi="Times New Roman"/>
          <w:caps w:val="false"/>
          <w:smallCaps w:val="false"/>
          <w:sz w:val="20"/>
        </w:rPr>
        <w:t>September 30 </w:t>
      </w:r>
      <w:r>
        <w:rPr>
          <w:rFonts w:ascii="Times New Roman" w:hAnsi="Times New Roman"/>
          <w:caps w:val="false"/>
          <w:smallCaps w:val="false"/>
          <w:sz w:val="20"/>
        </w:rPr>
        <w:t xml:space="preserve">in accordance with ASC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w:t>
      </w:r>
      <w:r>
        <w:rPr>
          <w:rFonts w:ascii="Times New Roman" w:hAnsi="Times New Roman"/>
          <w:i/>
          <w:caps w:val="false"/>
          <w:smallCaps w:val="false"/>
          <w:sz w:val="20"/>
        </w:rPr>
        <w:t>Accounting for the</w:t>
      </w:r>
      <w:r>
        <w:rPr>
          <w:rFonts w:ascii="Times New Roman" w:hAnsi="Times New Roman"/>
          <w:caps w:val="false"/>
          <w:smallCaps w:val="false"/>
          <w:sz w:val="20"/>
        </w:rPr>
        <w:t> </w:t>
      </w:r>
      <w:r>
        <w:rPr>
          <w:rFonts w:ascii="Times New Roman" w:hAnsi="Times New Roman"/>
          <w:i/>
          <w:caps w:val="false"/>
          <w:smallCaps w:val="false"/>
          <w:sz w:val="20"/>
        </w:rPr>
        <w:t>Impairment or Disposal of Long-Lived Assets</w:t>
      </w:r>
      <w:r>
        <w:rPr>
          <w:rFonts w:ascii="Times New Roman" w:hAnsi="Times New Roman"/>
          <w:caps w:val="false"/>
          <w:smallCaps w:val="false"/>
          <w:sz w:val="20"/>
        </w:rPr>
        <w:t xml:space="preserve">. Under ASC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impairment losses are recorded whenever events or changes in circumstances indicate the carrying value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i/>
          <w:caps w:val="false"/>
          <w:smallCaps w:val="false"/>
          <w:sz w:val="20"/>
        </w:rPr>
        <w:t>5.</w:t>
      </w:r>
      <w:r>
        <w:rPr>
          <w:rFonts w:ascii="Times New Roman" w:hAnsi="Times New Roman"/>
          <w:i/>
          <w:caps w:val="false"/>
          <w:smallCaps w:val="false"/>
          <w:sz w:val="20"/>
        </w:rPr>
        <w:t xml:space="preserve"> Basic and Diluted Income/(Loss) per Common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Basic and diluted income/(loss)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 Shares reserved for outstanding stock options, including stock options with performance restricted vesting, and warrants totaling approximately 7,360,271 and 2,324,007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 were excluded from the computation of income/(loss) per share as the strike price on the options and warrants were higher than the Company's market price and therefore anti-dilutive.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i/>
          <w:caps w:val="false"/>
          <w:smallCaps w:val="false"/>
          <w:sz w:val="20"/>
        </w:rPr>
        <w:t>6.</w:t>
      </w:r>
      <w:r>
        <w:rPr>
          <w:rFonts w:ascii="Times New Roman" w:hAnsi="Times New Roman"/>
          <w:i/>
          <w:caps w:val="false"/>
          <w:smallCaps w:val="false"/>
          <w:sz w:val="20"/>
        </w:rPr>
        <w:t xml:space="preserve"> 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11</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pPr>
      <w:r>
        <w:rPr>
          <w:rStyle w:val="Emphasis"/>
          <w:rFonts w:ascii="Times New Roman" w:hAnsi="Times New Roman"/>
          <w:i/>
          <w:caps w:val="false"/>
          <w:smallCaps w:val="false"/>
          <w:sz w:val="20"/>
        </w:rPr>
        <w:t>7.</w:t>
      </w:r>
      <w:r>
        <w:rPr>
          <w:rFonts w:ascii="Times New Roman" w:hAnsi="Times New Roman"/>
          <w:i/>
          <w:caps w:val="false"/>
          <w:smallCaps w:val="false"/>
          <w:sz w:val="20"/>
        </w:rPr>
        <w:t xml:space="preserve"> Goodwill and Definite-Lived Intangible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We follow the provisions of ASC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Goodwill and Other Intangible Assets. Pursuant to ASC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goodwill acquired in a purchase business combination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but instead tested for impairment at least annually. The Company uses an annual measurement date of </w:t>
      </w:r>
      <w:r>
        <w:rPr>
          <w:rStyle w:val="Emphasis"/>
          <w:rFonts w:ascii="Times New Roman" w:hAnsi="Times New Roman"/>
          <w:caps w:val="false"/>
          <w:smallCaps w:val="false"/>
          <w:sz w:val="20"/>
        </w:rPr>
        <w:t xml:space="preserve">September 30 </w:t>
      </w:r>
      <w:r>
        <w:rPr>
          <w:rFonts w:ascii="Times New Roman" w:hAnsi="Times New Roman"/>
          <w:caps w:val="false"/>
          <w:smallCaps w:val="false"/>
          <w:sz w:val="20"/>
        </w:rPr>
        <w:t>to assess impairment of goodwill and indefinite-lived intangible assets, or as indicators are identified.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Definite-lived intangible assets are amortized straight-line in accordance with their identified useful lives.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left"/>
        <w:rPr/>
      </w:pPr>
      <w:r>
        <w:rPr>
          <w:rStyle w:val="Emphasis"/>
          <w:rFonts w:ascii="Times New Roman;Times;serif" w:hAnsi="Times New Roman;Times;serif"/>
          <w:i/>
          <w:sz w:val="20"/>
        </w:rPr>
        <w:t>8.</w:t>
      </w:r>
      <w:r>
        <w:rPr>
          <w:rFonts w:ascii="Times New Roman;Times;serif" w:hAnsi="Times New Roman;Times;serif"/>
          <w:i/>
          <w:sz w:val="20"/>
        </w:rPr>
        <w:t xml:space="preserve"> Use of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warrant liability valuation, contingent purchase consideration valuation, the allowance for doubtful accounts,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i/>
          <w:caps w:val="false"/>
          <w:smallCaps w:val="false"/>
          <w:sz w:val="20"/>
        </w:rPr>
        <w:t>9.</w:t>
      </w:r>
      <w:r>
        <w:rPr>
          <w:rFonts w:ascii="Times New Roman" w:hAnsi="Times New Roman"/>
          <w:i/>
          <w:caps w:val="false"/>
          <w:smallCaps w:val="false"/>
          <w:sz w:val="20"/>
        </w:rPr>
        <w:t xml:space="preserve"> Property and Equipment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Property and equipment are carried at cost, less accumulated depreciation and amortization. Depreciation is provided for in amounts sufficient to relate the cost of depreciable assets to operations over the estimated service lives, principally using straight-line methods. Leasehold improvements are amortized over the shorter of the life of the improvement or the lease term, using the straight-line method.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Property and equipment consist of the following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5330" w:type="dxa"/>
        <w:jc w:val="left"/>
        <w:tblInd w:w="0" w:type="dxa"/>
        <w:tblCellMar>
          <w:top w:w="0" w:type="dxa"/>
          <w:left w:w="0" w:type="dxa"/>
          <w:bottom w:w="0" w:type="dxa"/>
          <w:right w:w="0" w:type="dxa"/>
        </w:tblCellMar>
      </w:tblPr>
      <w:tblGrid>
        <w:gridCol w:w="4010"/>
        <w:gridCol w:w="60"/>
        <w:gridCol w:w="125"/>
        <w:gridCol w:w="395"/>
        <w:gridCol w:w="80"/>
        <w:gridCol w:w="60"/>
        <w:gridCol w:w="125"/>
        <w:gridCol w:w="395"/>
        <w:gridCol w:w="80"/>
      </w:tblGrid>
      <w:tr>
        <w:trPr/>
        <w:tc>
          <w:tcPr>
            <w:tcW w:w="4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8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spacing w:before="0" w:after="283"/>
              <w:rPr/>
            </w:pPr>
            <w:r>
              <w:rPr/>
              <w:t> </w:t>
            </w:r>
          </w:p>
        </w:tc>
      </w:tr>
      <w:tr>
        <w:trPr/>
        <w:tc>
          <w:tcPr>
            <w:tcW w:w="4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Equipment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w:t>
            </w:r>
          </w:p>
        </w:tc>
        <w:tc>
          <w:tcPr>
            <w:tcW w:w="80" w:type="dxa"/>
            <w:tcBorders/>
            <w:shd w:fill="CCEEFF" w:val="clear"/>
            <w:vAlign w:val="center"/>
          </w:tcPr>
          <w:p>
            <w:pPr>
              <w:pStyle w:val="TableContents"/>
              <w:spacing w:before="0" w:after="283"/>
              <w:rPr/>
            </w:pPr>
            <w:r>
              <w:rPr/>
              <w:t> </w:t>
            </w:r>
          </w:p>
        </w:tc>
      </w:tr>
      <w:tr>
        <w:trPr/>
        <w:tc>
          <w:tcPr>
            <w:tcW w:w="40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w:t>
            </w:r>
          </w:p>
        </w:tc>
        <w:tc>
          <w:tcPr>
            <w:tcW w:w="80" w:type="dxa"/>
            <w:tcBorders/>
            <w:shd w:fill="FFFFFF"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w:t>
            </w:r>
          </w:p>
        </w:tc>
        <w:tc>
          <w:tcPr>
            <w:tcW w:w="80" w:type="dxa"/>
            <w:tcBorders/>
            <w:shd w:fill="CCEEFF" w:val="clear"/>
            <w:vAlign w:val="center"/>
          </w:tcPr>
          <w:p>
            <w:pPr>
              <w:pStyle w:val="TableContents"/>
              <w:spacing w:before="0" w:after="283"/>
              <w:rPr/>
            </w:pPr>
            <w:r>
              <w:rPr/>
              <w:t> </w:t>
            </w:r>
          </w:p>
        </w:tc>
      </w:tr>
      <w:tr>
        <w:trPr/>
        <w:tc>
          <w:tcPr>
            <w:tcW w:w="40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depreciable assets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w:t>
            </w:r>
          </w:p>
        </w:tc>
        <w:tc>
          <w:tcPr>
            <w:tcW w:w="80" w:type="dxa"/>
            <w:tcBorders/>
            <w:shd w:fill="FFFFFF"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401</w:t>
            </w:r>
          </w:p>
        </w:tc>
        <w:tc>
          <w:tcPr>
            <w:tcW w:w="80" w:type="dxa"/>
            <w:tcBorders/>
            <w:shd w:fill="CCEEFF" w:val="clear"/>
            <w:vAlign w:val="center"/>
          </w:tcPr>
          <w:p>
            <w:pPr>
              <w:pStyle w:val="TableContents"/>
              <w:spacing w:before="0" w:after="283"/>
              <w:rPr/>
            </w:pPr>
            <w:r>
              <w:rPr/>
              <w:t> </w:t>
            </w:r>
          </w:p>
        </w:tc>
      </w:tr>
      <w:tr>
        <w:trPr/>
        <w:tc>
          <w:tcPr>
            <w:tcW w:w="40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0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property and equipment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estimated useful lives used to compute depreciation and amortization are as follows:</w:t>
      </w:r>
    </w:p>
    <w:p>
      <w:pPr>
        <w:pStyle w:val="TextBody"/>
        <w:spacing w:before="0" w:after="0"/>
        <w:ind w:left="0" w:right="0" w:hanging="0"/>
        <w:rPr>
          <w:caps w:val="false"/>
          <w:smallCaps w:val="false"/>
        </w:rPr>
      </w:pPr>
      <w:r>
        <w:rPr>
          <w:caps w:val="false"/>
          <w:smallCaps w:val="false"/>
        </w:rPr>
        <w:t> </w:t>
      </w:r>
    </w:p>
    <w:tbl>
      <w:tblPr>
        <w:tblW w:w="5020" w:type="dxa"/>
        <w:jc w:val="left"/>
        <w:tblInd w:w="0" w:type="dxa"/>
        <w:tblCellMar>
          <w:top w:w="0" w:type="dxa"/>
          <w:left w:w="0" w:type="dxa"/>
          <w:bottom w:w="28" w:type="dxa"/>
          <w:right w:w="0" w:type="dxa"/>
        </w:tblCellMar>
      </w:tblPr>
      <w:tblGrid>
        <w:gridCol w:w="2060"/>
        <w:gridCol w:w="60"/>
        <w:gridCol w:w="60"/>
        <w:gridCol w:w="2780"/>
        <w:gridCol w:w="60"/>
      </w:tblGrid>
      <w:tr>
        <w:trPr/>
        <w:tc>
          <w:tcPr>
            <w:tcW w:w="2060" w:type="dxa"/>
            <w:tcBorders>
              <w:bottom w:val="single" w:sz="2" w:space="0" w:color="000000"/>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Asset class</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2780" w:type="dxa"/>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sz w:val="20"/>
              </w:rPr>
              <w:t>Useful life assigned (in years)</w:t>
            </w:r>
          </w:p>
        </w:tc>
        <w:tc>
          <w:tcPr>
            <w:tcW w:w="60" w:type="dxa"/>
            <w:tcBorders/>
            <w:shd w:fill="FFFFFF" w:val="clear"/>
            <w:tcMar>
              <w:bottom w:w="0" w:type="dxa"/>
            </w:tcMar>
            <w:vAlign w:val="center"/>
          </w:tcPr>
          <w:p>
            <w:pPr>
              <w:pStyle w:val="TableContents"/>
              <w:spacing w:before="0" w:after="283"/>
              <w:rPr/>
            </w:pPr>
            <w:r>
              <w:rPr/>
              <w:t> </w:t>
            </w:r>
          </w:p>
        </w:tc>
      </w:tr>
      <w:tr>
        <w:trPr/>
        <w:tc>
          <w:tcPr>
            <w:tcW w:w="206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Equipment</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780" w:type="dxa"/>
            <w:tcBorders/>
            <w:shd w:fill="CCEEFF" w:val="clear"/>
            <w:tcMar>
              <w:bottom w:w="0" w:type="dxa"/>
            </w:tcMar>
            <w:vAlign w:val="center"/>
          </w:tcPr>
          <w:p>
            <w:pPr>
              <w:pStyle w:val="TableContents"/>
              <w:spacing w:before="0" w:after="283"/>
              <w:ind w:left="0" w:right="0" w:hanging="0"/>
              <w:jc w:val="center"/>
              <w:rPr>
                <w:rFonts w:ascii="Times New Roman" w:hAnsi="Times New Roman"/>
                <w:sz w:val="20"/>
              </w:rPr>
            </w:pPr>
            <w:r>
              <w:rPr>
                <w:rFonts w:ascii="Times New Roman" w:hAnsi="Times New Roman"/>
                <w:sz w:val="20"/>
              </w:rPr>
              <w:t>3 – 5</w:t>
            </w:r>
          </w:p>
        </w:tc>
        <w:tc>
          <w:tcPr>
            <w:tcW w:w="60" w:type="dxa"/>
            <w:tcBorders/>
            <w:shd w:fill="CCEEFF" w:val="clear"/>
            <w:tcMar>
              <w:bottom w:w="0" w:type="dxa"/>
            </w:tcMar>
            <w:vAlign w:val="center"/>
          </w:tcPr>
          <w:p>
            <w:pPr>
              <w:pStyle w:val="TableContents"/>
              <w:spacing w:before="0" w:after="283"/>
              <w:rPr/>
            </w:pPr>
            <w:r>
              <w:rPr/>
              <w:t> </w:t>
            </w:r>
          </w:p>
        </w:tc>
      </w:tr>
      <w:tr>
        <w:trPr/>
        <w:tc>
          <w:tcPr>
            <w:tcW w:w="206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2780" w:type="dxa"/>
            <w:tcBorders/>
            <w:shd w:fill="FFFFFF" w:val="clear"/>
            <w:tcMar>
              <w:bottom w:w="0" w:type="dxa"/>
            </w:tcMar>
            <w:vAlign w:val="center"/>
          </w:tcPr>
          <w:p>
            <w:pPr>
              <w:pStyle w:val="TableContents"/>
              <w:spacing w:before="0" w:after="283"/>
              <w:ind w:left="0" w:right="0" w:hanging="0"/>
              <w:jc w:val="center"/>
              <w:rPr>
                <w:rFonts w:ascii="Times New Roman" w:hAnsi="Times New Roman"/>
                <w:sz w:val="20"/>
              </w:rPr>
            </w:pPr>
            <w:r>
              <w:rPr>
                <w:rFonts w:ascii="Times New Roman" w:hAnsi="Times New Roman"/>
                <w:sz w:val="20"/>
              </w:rPr>
              <w:t>5</w:t>
            </w:r>
          </w:p>
        </w:tc>
        <w:tc>
          <w:tcPr>
            <w:tcW w:w="60" w:type="dxa"/>
            <w:tcBorders/>
            <w:shd w:fill="FFFFFF" w:val="clear"/>
            <w:tcMar>
              <w:bottom w:w="0" w:type="dxa"/>
            </w:tcMar>
            <w:vAlign w:val="center"/>
          </w:tcPr>
          <w:p>
            <w:pPr>
              <w:pStyle w:val="TableContents"/>
              <w:spacing w:before="0" w:after="283"/>
              <w:rPr/>
            </w:pPr>
            <w:r>
              <w:rPr/>
              <w:t> </w:t>
            </w:r>
          </w:p>
        </w:tc>
      </w:tr>
      <w:tr>
        <w:trPr/>
        <w:tc>
          <w:tcPr>
            <w:tcW w:w="206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2780" w:type="dxa"/>
            <w:tcBorders/>
            <w:shd w:fill="CCEEFF" w:val="clear"/>
            <w:tcMar>
              <w:bottom w:w="0" w:type="dxa"/>
            </w:tcMar>
            <w:vAlign w:val="center"/>
          </w:tcPr>
          <w:p>
            <w:pPr>
              <w:pStyle w:val="TableContents"/>
              <w:spacing w:before="0" w:after="0"/>
              <w:ind w:left="0" w:right="0" w:hanging="0"/>
              <w:jc w:val="center"/>
              <w:rPr/>
            </w:pPr>
            <w:r>
              <w:rPr>
                <w:rStyle w:val="Emphasis"/>
                <w:rFonts w:ascii="Times New Roman" w:hAnsi="Times New Roman"/>
                <w:sz w:val="20"/>
              </w:rPr>
              <w:t>Shorter of 5 years or term of lease</w:t>
            </w:r>
          </w:p>
        </w:tc>
        <w:tc>
          <w:tcPr>
            <w:tcW w:w="60" w:type="dxa"/>
            <w:tcBorders/>
            <w:shd w:fill="CCEEFF"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Depreciation expense was $131 and $109 for the years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12</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pPr>
      <w:r>
        <w:rPr>
          <w:rStyle w:val="Emphasis"/>
          <w:rFonts w:ascii="Times New Roman" w:hAnsi="Times New Roman"/>
          <w:i/>
          <w:caps w:val="false"/>
          <w:smallCaps w:val="false"/>
          <w:sz w:val="20"/>
        </w:rPr>
        <w:t>10.</w:t>
      </w:r>
      <w:r>
        <w:rPr>
          <w:rFonts w:ascii="Times New Roman" w:hAnsi="Times New Roman"/>
          <w:i/>
          <w:caps w:val="false"/>
          <w:smallCaps w:val="false"/>
          <w:sz w:val="20"/>
        </w:rPr>
        <w:t xml:space="preserve"> Research and Development and Software Development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Research and development expenses consist primarily of development personnel and non-employee contractor costs related to the development of new products and services, enhancement of existing products and services, quality assurance and testing. The Company capitalizes its costs incurred for additional functionality to its internal software. We capitalized approximately $4,444 and $1,140 for the years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 These software development costs include both enhancements and upgrades of our client-based systems including functionality of our internal information systems to aid in our productivity, profitability and customer relationship management. We are amortizing these costs over 3 years once the new projects are completed and placed in service. These costs are included in intangible assets, net on the Consolidated Balance Sheets.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rStyle w:val="Emphasis"/>
          <w:rFonts w:ascii="Times New Roman;Times;serif" w:hAnsi="Times New Roman;Times;serif"/>
          <w:i/>
          <w:sz w:val="20"/>
        </w:rPr>
        <w:t>11.</w:t>
      </w:r>
      <w:r>
        <w:rPr>
          <w:rFonts w:ascii="Times New Roman;Times;serif" w:hAnsi="Times New Roman;Times;serif"/>
          <w:i/>
          <w:sz w:val="20"/>
        </w:rPr>
        <w:t xml:space="preserve"> Business Combinations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Accounting for acquisitions requires us to recognize separately from goodwill the assets acquired and the liabilities assumed at their acquisition date fair values. Goodwill as of the acquisition date is measured as the excess of consideration transferred over the net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up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acquisition date,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i/>
          <w:caps w:val="false"/>
          <w:smallCaps w:val="false"/>
          <w:sz w:val="20"/>
        </w:rPr>
        <w:t>12.</w:t>
      </w:r>
      <w:r>
        <w:rPr>
          <w:rFonts w:ascii="Times New Roman" w:hAnsi="Times New Roman"/>
          <w:i/>
          <w:caps w:val="false"/>
          <w:smallCaps w:val="false"/>
          <w:sz w:val="20"/>
        </w:rPr>
        <w:t xml:space="preserve"> Contingent Consideration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Company has contingent consideration arrangements related to certain acquisitions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w:t>
      </w:r>
      <w:r>
        <w:rPr>
          <w:rStyle w:val="Emphasis"/>
          <w:rFonts w:ascii="Times New Roman" w:hAnsi="Times New Roman"/>
          <w:caps w:val="false"/>
          <w:smallCaps w:val="false"/>
          <w:sz w:val="20"/>
        </w:rPr>
        <w:t>805</w:t>
      </w:r>
      <w:r>
        <w:rPr>
          <w:rFonts w:ascii="Times New Roman" w:hAnsi="Times New Roman"/>
          <w:caps w:val="false"/>
          <w:smallCaps w:val="false"/>
          <w:sz w:val="20"/>
        </w:rPr>
        <w:t>-</w:t>
      </w:r>
      <w:r>
        <w:rPr>
          <w:rStyle w:val="Emphasis"/>
          <w:rFonts w:ascii="Times New Roman" w:hAnsi="Times New Roman"/>
          <w:caps w:val="false"/>
          <w:smallCaps w:val="false"/>
          <w:sz w:val="20"/>
        </w:rPr>
        <w:t>30</w:t>
      </w:r>
      <w:r>
        <w:rPr>
          <w:rFonts w:ascii="Times New Roman" w:hAnsi="Times New Roman"/>
          <w:caps w:val="false"/>
          <w:smallCaps w:val="false"/>
          <w:sz w:val="20"/>
        </w:rPr>
        <w:t>-</w:t>
      </w:r>
      <w:r>
        <w:rPr>
          <w:rStyle w:val="Emphasis"/>
          <w:rFonts w:ascii="Times New Roman" w:hAnsi="Times New Roman"/>
          <w:caps w:val="false"/>
          <w:smallCaps w:val="false"/>
          <w:sz w:val="20"/>
        </w:rPr>
        <w:t>35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using a Monte Carlo simulation model. </w:t>
      </w:r>
    </w:p>
    <w:p>
      <w:pPr>
        <w:pStyle w:val="TextBody"/>
        <w:spacing w:before="0" w:after="0"/>
        <w:ind w:left="0" w:right="0" w:firstLine="72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bookmarkStart w:id="41" w:name="note3"/>
      <w:bookmarkEnd w:id="41"/>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3:</w:t>
      </w:r>
      <w:r>
        <w:rPr>
          <w:rFonts w:ascii="Times New Roman" w:hAnsi="Times New Roman"/>
          <w:b/>
          <w:caps w:val="false"/>
          <w:smallCaps w:val="false"/>
          <w:sz w:val="20"/>
          <w:u w:val="single"/>
        </w:rPr>
        <w:t xml:space="preserve"> RECENTLY ISSUED ACCOUNTING PRONOUNCEMENTS</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80" w:right="0" w:hanging="0"/>
        <w:rPr>
          <w:rFonts w:ascii="Times New Roman" w:hAnsi="Times New Roman"/>
          <w:i/>
          <w:caps w:val="false"/>
          <w:smallCaps w:val="false"/>
          <w:sz w:val="20"/>
        </w:rPr>
      </w:pPr>
      <w:r>
        <w:rPr>
          <w:rFonts w:ascii="Times New Roman" w:hAnsi="Times New Roman"/>
          <w:i/>
          <w:caps w:val="false"/>
          <w:smallCaps w:val="false"/>
          <w:sz w:val="20"/>
        </w:rPr>
        <w:t>Recently adopted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 early adopted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w:t>
      </w:r>
      <w:r>
        <w:rPr>
          <w:rStyle w:val="Emphasis"/>
          <w:rFonts w:ascii="Times New Roman" w:hAnsi="Times New Roman"/>
          <w:caps w:val="false"/>
          <w:smallCaps w:val="false"/>
          <w:sz w:val="20"/>
        </w:rPr>
        <w:t>08,</w:t>
      </w:r>
      <w:r>
        <w:rPr>
          <w:rFonts w:ascii="Times New Roman" w:hAnsi="Times New Roman"/>
          <w:caps w:val="false"/>
          <w:smallCaps w:val="false"/>
          <w:sz w:val="20"/>
        </w:rPr>
        <w:t> </w:t>
      </w:r>
      <w:r>
        <w:rPr>
          <w:rFonts w:ascii="Times New Roman" w:hAnsi="Times New Roman"/>
          <w:i/>
          <w:caps w:val="false"/>
          <w:smallCaps w:val="false"/>
          <w:sz w:val="20"/>
        </w:rPr>
        <w:t xml:space="preserve">Business Combinations (Topic </w:t>
      </w:r>
      <w:r>
        <w:rPr>
          <w:rStyle w:val="Emphasis"/>
          <w:rFonts w:ascii="Times New Roman" w:hAnsi="Times New Roman"/>
          <w:i/>
          <w:caps w:val="false"/>
          <w:smallCaps w:val="false"/>
          <w:sz w:val="20"/>
        </w:rPr>
        <w:t>805</w:t>
      </w:r>
      <w:r>
        <w:rPr>
          <w:rFonts w:ascii="Times New Roman" w:hAnsi="Times New Roman"/>
          <w:i/>
          <w:caps w:val="false"/>
          <w:smallCaps w:val="false"/>
          <w:sz w:val="20"/>
        </w:rPr>
        <w:t>): Accounting for Contract Assets and Contract Liabilities from Contracts with Customers</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2021</w:t>
      </w:r>
      <w:r>
        <w:rPr>
          <w:rFonts w:ascii="Times New Roman" w:hAnsi="Times New Roman"/>
          <w:caps w:val="false"/>
          <w:smallCaps w:val="false"/>
          <w:sz w:val="20"/>
        </w:rPr>
        <w:t>-</w:t>
      </w:r>
      <w:r>
        <w:rPr>
          <w:rStyle w:val="Emphasis"/>
          <w:rFonts w:ascii="Times New Roman" w:hAnsi="Times New Roman"/>
          <w:caps w:val="false"/>
          <w:smallCaps w:val="false"/>
          <w:sz w:val="20"/>
        </w:rPr>
        <w:t>08</w:t>
      </w:r>
      <w:r>
        <w:rPr>
          <w:rFonts w:ascii="Times New Roman" w:hAnsi="Times New Roman"/>
          <w:caps w:val="false"/>
          <w:smallCaps w:val="false"/>
          <w:sz w:val="20"/>
        </w:rPr>
        <w:t xml:space="preserve">), which clarifies that an acquirer of a business should recognize and measure contract assets and contract liabilities in a business combination in accordance with Accounting Standards Codification (ASC) Topic </w:t>
      </w:r>
      <w:r>
        <w:rPr>
          <w:rStyle w:val="Emphasis"/>
          <w:rFonts w:ascii="Times New Roman" w:hAnsi="Times New Roman"/>
          <w:caps w:val="false"/>
          <w:smallCaps w:val="false"/>
          <w:sz w:val="20"/>
        </w:rPr>
        <w:t>606,</w:t>
      </w:r>
      <w:r>
        <w:rPr>
          <w:rFonts w:ascii="Times New Roman" w:hAnsi="Times New Roman"/>
          <w:caps w:val="false"/>
          <w:smallCaps w:val="false"/>
          <w:sz w:val="20"/>
        </w:rPr>
        <w:t> </w:t>
      </w:r>
      <w:r>
        <w:rPr>
          <w:rFonts w:ascii="Times New Roman" w:hAnsi="Times New Roman"/>
          <w:i/>
          <w:caps w:val="false"/>
          <w:smallCaps w:val="false"/>
          <w:sz w:val="20"/>
        </w:rPr>
        <w:t xml:space="preserve">Revenue from Contracts with Customers (Topic </w:t>
      </w:r>
      <w:r>
        <w:rPr>
          <w:rStyle w:val="Emphasis"/>
          <w:rFonts w:ascii="Times New Roman" w:hAnsi="Times New Roman"/>
          <w:i/>
          <w:caps w:val="false"/>
          <w:smallCaps w:val="false"/>
          <w:sz w:val="20"/>
        </w:rPr>
        <w:t>606</w:t>
      </w:r>
      <w:r>
        <w:rPr>
          <w:rFonts w:ascii="Times New Roman" w:hAnsi="Times New Roman"/>
          <w:i/>
          <w:caps w:val="false"/>
          <w:smallCaps w:val="false"/>
          <w:sz w:val="20"/>
        </w:rPr>
        <w:t>)</w:t>
      </w:r>
      <w:r>
        <w:rPr>
          <w:rFonts w:ascii="Times New Roman" w:hAnsi="Times New Roman"/>
          <w:caps w:val="false"/>
          <w:smallCaps w:val="false"/>
          <w:sz w:val="20"/>
        </w:rPr>
        <w:t xml:space="preserve">. The adoption of this new standard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our Consolidated Financial Statements.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2016,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Credit Losses</w:t>
      </w:r>
      <w:r>
        <w:rPr>
          <w:rFonts w:ascii="Times New Roman" w:hAnsi="Times New Roman"/>
          <w:caps w:val="false"/>
          <w:smallCaps w:val="false"/>
          <w:sz w:val="20"/>
        </w:rPr>
        <w:t xml:space="preserve">, which requires entities to estimate expected lifetime credit losses on financial assets and provide expanded disclosures. The main objective is to provide financial statement users with more decision-useful information about the expected credit losses on financial instruments and other commitments to extend credit held by a reporting entity at each reporting date. The amendments in this update replace the incurred loss methodology with a methodology that reflects expected credit losses and requires consideration of a broader range of reasonable and supportable information to calculate credit loss estimates. For trade receivables and loans, entities will be required to estimate lifetime expected credit losses. We adopted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The adoption of this new standard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our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Times New Roman" w:hAnsi="Times New Roman"/>
          <w:i/>
          <w:caps w:val="false"/>
          <w:smallCaps w:val="false"/>
          <w:sz w:val="20"/>
        </w:rPr>
        <w:t>Not</w:t>
      </w:r>
      <w:r>
        <w:rPr>
          <w:rFonts w:ascii="Times New Roman" w:hAnsi="Times New Roman"/>
          <w:i/>
          <w:caps w:val="false"/>
          <w:smallCaps w:val="false"/>
          <w:sz w:val="20"/>
        </w:rPr>
        <w:t xml:space="preserve"> yet adopted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 xml:space="preserve">the FASB issued Accounting Standards Update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w:t>
      </w:r>
      <w:r>
        <w:rPr>
          <w:rFonts w:ascii="Times New Roman" w:hAnsi="Times New Roman"/>
          <w:i/>
          <w:caps w:val="false"/>
          <w:smallCaps w:val="false"/>
          <w:sz w:val="20"/>
        </w:rPr>
        <w:t>Debt</w:t>
      </w:r>
      <w:r>
        <w:rPr>
          <w:rFonts w:ascii="Times New Roman" w:hAnsi="Times New Roman"/>
          <w:caps w:val="false"/>
          <w:smallCaps w:val="false"/>
          <w:sz w:val="20"/>
        </w:rPr>
        <w:t>—</w:t>
      </w:r>
      <w:r>
        <w:rPr>
          <w:rFonts w:ascii="Times New Roman" w:hAnsi="Times New Roman"/>
          <w:i/>
          <w:caps w:val="false"/>
          <w:smallCaps w:val="false"/>
          <w:sz w:val="20"/>
        </w:rPr>
        <w:t xml:space="preserve">Debt with Conversion and Other Options (Subtopic </w:t>
      </w:r>
      <w:r>
        <w:rPr>
          <w:rStyle w:val="Emphasis"/>
          <w:rFonts w:ascii="Times New Roman" w:hAnsi="Times New Roman"/>
          <w:i/>
          <w:caps w:val="false"/>
          <w:smallCaps w:val="false"/>
          <w:sz w:val="20"/>
        </w:rPr>
        <w:t>470</w:t>
      </w:r>
      <w:r>
        <w:rPr>
          <w:rFonts w:ascii="Times New Roman" w:hAnsi="Times New Roman"/>
          <w:i/>
          <w:caps w:val="false"/>
          <w:smallCaps w:val="false"/>
          <w:sz w:val="20"/>
        </w:rPr>
        <w:t>-</w:t>
      </w:r>
      <w:r>
        <w:rPr>
          <w:rStyle w:val="Emphasis"/>
          <w:rFonts w:ascii="Times New Roman" w:hAnsi="Times New Roman"/>
          <w:i/>
          <w:caps w:val="false"/>
          <w:smallCaps w:val="false"/>
          <w:sz w:val="20"/>
        </w:rPr>
        <w:t>20</w:t>
      </w:r>
      <w:r>
        <w:rPr>
          <w:rFonts w:ascii="Times New Roman" w:hAnsi="Times New Roman"/>
          <w:i/>
          <w:caps w:val="false"/>
          <w:smallCaps w:val="false"/>
          <w:sz w:val="20"/>
        </w:rPr>
        <w:t>) and Derivatives and Hedging</w:t>
      </w:r>
      <w:r>
        <w:rPr>
          <w:rFonts w:ascii="Times New Roman" w:hAnsi="Times New Roman"/>
          <w:caps w:val="false"/>
          <w:smallCaps w:val="false"/>
          <w:sz w:val="20"/>
        </w:rPr>
        <w:t>—</w:t>
      </w:r>
      <w:r>
        <w:rPr>
          <w:rFonts w:ascii="Times New Roman" w:hAnsi="Times New Roman"/>
          <w:i/>
          <w:caps w:val="false"/>
          <w:smallCaps w:val="false"/>
          <w:sz w:val="20"/>
        </w:rPr>
        <w:t>Contracts in Entity</w:t>
      </w:r>
      <w:r>
        <w:rPr>
          <w:rFonts w:ascii="Times New Roman" w:hAnsi="Times New Roman"/>
          <w:caps w:val="false"/>
          <w:smallCaps w:val="false"/>
          <w:sz w:val="20"/>
        </w:rPr>
        <w:t>’</w:t>
      </w:r>
      <w:r>
        <w:rPr>
          <w:rFonts w:ascii="Times New Roman" w:hAnsi="Times New Roman"/>
          <w:i/>
          <w:caps w:val="false"/>
          <w:smallCaps w:val="false"/>
          <w:sz w:val="20"/>
        </w:rPr>
        <w:t xml:space="preserve">s Own Equity (Subtopic </w:t>
      </w:r>
      <w:r>
        <w:rPr>
          <w:rStyle w:val="Emphasis"/>
          <w:rFonts w:ascii="Times New Roman" w:hAnsi="Times New Roman"/>
          <w:i/>
          <w:caps w:val="false"/>
          <w:smallCaps w:val="false"/>
          <w:sz w:val="20"/>
        </w:rPr>
        <w:t>815</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Accounting for Convertible Instruments and Contracts in an Entity</w:t>
      </w:r>
      <w:r>
        <w:rPr>
          <w:rFonts w:ascii="Times New Roman" w:hAnsi="Times New Roman"/>
          <w:caps w:val="false"/>
          <w:smallCaps w:val="false"/>
          <w:sz w:val="20"/>
        </w:rPr>
        <w:t>’</w:t>
      </w:r>
      <w:r>
        <w:rPr>
          <w:rFonts w:ascii="Times New Roman" w:hAnsi="Times New Roman"/>
          <w:i/>
          <w:caps w:val="false"/>
          <w:smallCaps w:val="false"/>
          <w:sz w:val="20"/>
        </w:rPr>
        <w:t>s Own Equity</w:t>
      </w:r>
      <w:r>
        <w:rPr>
          <w:rFonts w:ascii="Times New Roman" w:hAnsi="Times New Roman"/>
          <w:caps w:val="false"/>
          <w:smallCaps w:val="false"/>
          <w:sz w:val="20"/>
        </w:rPr>
        <w:t> </w:t>
      </w:r>
      <w:r>
        <w:rPr>
          <w:rFonts w:ascii="Times New Roman" w:hAnsi="Times New Roman"/>
          <w:i/>
          <w:caps w:val="false"/>
          <w:smallCaps w:val="false"/>
          <w:sz w:val="20"/>
        </w:rPr>
        <w:t xml:space="preserve">(ASU </w:t>
      </w:r>
      <w:r>
        <w:rPr>
          <w:rStyle w:val="Emphasis"/>
          <w:rFonts w:ascii="Times New Roman" w:hAnsi="Times New Roman"/>
          <w:i/>
          <w:caps w:val="false"/>
          <w:smallCaps w:val="false"/>
          <w:sz w:val="20"/>
        </w:rPr>
        <w:t>2020</w:t>
      </w:r>
      <w:r>
        <w:rPr>
          <w:rFonts w:ascii="Times New Roman" w:hAnsi="Times New Roman"/>
          <w:i/>
          <w:caps w:val="false"/>
          <w:smallCaps w:val="false"/>
          <w:sz w:val="20"/>
        </w:rPr>
        <w:t>-</w:t>
      </w:r>
      <w:r>
        <w:rPr>
          <w:rStyle w:val="Emphasis"/>
          <w:rFonts w:ascii="Times New Roman" w:hAnsi="Times New Roman"/>
          <w:i/>
          <w:caps w:val="false"/>
          <w:smallCaps w:val="false"/>
          <w:sz w:val="20"/>
        </w:rPr>
        <w:t>06</w:t>
      </w:r>
      <w:r>
        <w:rPr>
          <w:rFonts w:ascii="Times New Roman" w:hAnsi="Times New Roman"/>
          <w:i/>
          <w:caps w:val="false"/>
          <w:smallCaps w:val="false"/>
          <w:sz w:val="20"/>
        </w:rPr>
        <w:t>)</w:t>
      </w:r>
      <w:r>
        <w:rPr>
          <w:rFonts w:ascii="Times New Roman" w:hAnsi="Times New Roman"/>
          <w:caps w:val="false"/>
          <w:smallCaps w:val="false"/>
          <w:sz w:val="20"/>
        </w:rPr>
        <w:t xml:space="preserve">, which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This guidance will be effective for us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on a full or modified retrospective basis, with early adoption permitted. We are currently evaluating the disclosure requirements and potential impact on our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13</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bookmarkStart w:id="42" w:name="note4"/>
      <w:bookmarkEnd w:id="42"/>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4:</w:t>
      </w:r>
      <w:r>
        <w:rPr>
          <w:rFonts w:ascii="Times New Roman" w:hAnsi="Times New Roman"/>
          <w:b/>
          <w:caps w:val="false"/>
          <w:smallCaps w:val="false"/>
          <w:sz w:val="20"/>
          <w:u w:val="single"/>
        </w:rPr>
        <w:t xml:space="preserve"> REVENUE RECOGNITION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Company applies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for revenue recognition. The following table disaggregates the Company’s revenue by major source for the years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5113" w:type="dxa"/>
        <w:jc w:val="left"/>
        <w:tblInd w:w="0" w:type="dxa"/>
        <w:tblCellMar>
          <w:top w:w="0" w:type="dxa"/>
          <w:left w:w="0" w:type="dxa"/>
          <w:bottom w:w="0" w:type="dxa"/>
          <w:right w:w="0" w:type="dxa"/>
        </w:tblCellMar>
      </w:tblPr>
      <w:tblGrid>
        <w:gridCol w:w="2585"/>
        <w:gridCol w:w="60"/>
        <w:gridCol w:w="199"/>
        <w:gridCol w:w="945"/>
        <w:gridCol w:w="60"/>
        <w:gridCol w:w="60"/>
        <w:gridCol w:w="199"/>
        <w:gridCol w:w="945"/>
        <w:gridCol w:w="60"/>
      </w:tblGrid>
      <w:tr>
        <w:trPr/>
        <w:tc>
          <w:tcPr>
            <w:tcW w:w="25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w:t>
            </w:r>
          </w:p>
        </w:tc>
        <w:tc>
          <w:tcPr>
            <w:tcW w:w="60" w:type="dxa"/>
            <w:tcBorders/>
            <w:shd w:fill="FFFFFF" w:val="clear"/>
            <w:vAlign w:val="center"/>
          </w:tcPr>
          <w:p>
            <w:pPr>
              <w:pStyle w:val="TableContents"/>
              <w:spacing w:before="0" w:after="283"/>
              <w:rPr/>
            </w:pPr>
            <w:r>
              <w:rPr/>
              <w:t> </w:t>
            </w:r>
          </w:p>
        </w:tc>
      </w:tr>
      <w:tr>
        <w:trPr/>
        <w:tc>
          <w:tcPr>
            <w:tcW w:w="25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Ended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Ended</w:t>
            </w:r>
          </w:p>
        </w:tc>
        <w:tc>
          <w:tcPr>
            <w:tcW w:w="60" w:type="dxa"/>
            <w:tcBorders/>
            <w:shd w:fill="FFFFFF" w:val="clear"/>
            <w:vAlign w:val="center"/>
          </w:tcPr>
          <w:p>
            <w:pPr>
              <w:pStyle w:val="TableContents"/>
              <w:spacing w:before="0" w:after="283"/>
              <w:rPr/>
            </w:pPr>
            <w:r>
              <w:rPr/>
              <w:t> </w:t>
            </w:r>
          </w:p>
        </w:tc>
      </w:tr>
      <w:tr>
        <w:trPr/>
        <w:tc>
          <w:tcPr>
            <w:tcW w:w="25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2585"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 thousands)</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25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Hardware</w:t>
            </w:r>
          </w:p>
        </w:tc>
        <w:tc>
          <w:tcPr>
            <w:tcW w:w="60" w:type="dxa"/>
            <w:tcBorders/>
            <w:shd w:fill="CCEEFF" w:val="clear"/>
            <w:vAlign w:val="center"/>
          </w:tcPr>
          <w:p>
            <w:pPr>
              <w:pStyle w:val="TableContents"/>
              <w:spacing w:before="0" w:after="283"/>
              <w:ind w:left="0" w:right="0" w:hanging="0"/>
              <w:rPr/>
            </w:pPr>
            <w:r>
              <w:rPr/>
              <w:t> </w:t>
            </w:r>
          </w:p>
        </w:tc>
        <w:tc>
          <w:tcPr>
            <w:tcW w:w="19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19,895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9,450</w:t>
            </w:r>
          </w:p>
        </w:tc>
        <w:tc>
          <w:tcPr>
            <w:tcW w:w="60" w:type="dxa"/>
            <w:tcBorders/>
            <w:shd w:fill="CCEEFF" w:val="clear"/>
            <w:vAlign w:val="center"/>
          </w:tcPr>
          <w:p>
            <w:pPr>
              <w:pStyle w:val="TableContents"/>
              <w:spacing w:before="0" w:after="283"/>
              <w:rPr/>
            </w:pPr>
            <w:r>
              <w:rPr/>
              <w:t> </w:t>
            </w:r>
          </w:p>
        </w:tc>
      </w:tr>
      <w:tr>
        <w:trPr/>
        <w:tc>
          <w:tcPr>
            <w:tcW w:w="25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rPr/>
            </w:pPr>
            <w:r>
              <w:rPr/>
              <w:t> </w:t>
            </w:r>
          </w:p>
        </w:tc>
        <w:tc>
          <w:tcPr>
            <w:tcW w:w="9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rPr/>
            </w:pPr>
            <w:r>
              <w:rPr/>
              <w:t> </w:t>
            </w:r>
          </w:p>
        </w:tc>
        <w:tc>
          <w:tcPr>
            <w:tcW w:w="9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25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Services:</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9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9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25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Installation Services</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ind w:left="0" w:right="0" w:hanging="0"/>
              <w:rPr/>
            </w:pPr>
            <w:r>
              <w:rPr/>
              <w:t> </w:t>
            </w:r>
          </w:p>
        </w:tc>
        <w:tc>
          <w:tcPr>
            <w:tcW w:w="9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5,693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ind w:left="0" w:right="0" w:hanging="0"/>
              <w:rPr/>
            </w:pPr>
            <w:r>
              <w:rPr/>
              <w:t> </w:t>
            </w:r>
          </w:p>
        </w:tc>
        <w:tc>
          <w:tcPr>
            <w:tcW w:w="9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2,600</w:t>
            </w:r>
          </w:p>
        </w:tc>
        <w:tc>
          <w:tcPr>
            <w:tcW w:w="60" w:type="dxa"/>
            <w:tcBorders/>
            <w:shd w:fill="FFFFFF" w:val="clear"/>
            <w:vAlign w:val="center"/>
          </w:tcPr>
          <w:p>
            <w:pPr>
              <w:pStyle w:val="TableContents"/>
              <w:spacing w:before="0" w:after="283"/>
              <w:rPr/>
            </w:pPr>
            <w:r>
              <w:rPr/>
              <w:t> </w:t>
            </w:r>
          </w:p>
        </w:tc>
      </w:tr>
      <w:tr>
        <w:trPr/>
        <w:tc>
          <w:tcPr>
            <w:tcW w:w="25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Software Development Services</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ind w:left="0" w:right="0" w:hanging="0"/>
              <w:rPr/>
            </w:pPr>
            <w:r>
              <w:rPr/>
              <w:t> </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ind w:left="0" w:right="0" w:hanging="0"/>
              <w:rPr/>
            </w:pPr>
            <w:r>
              <w:rPr/>
              <w:t> </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791</w:t>
            </w:r>
          </w:p>
        </w:tc>
        <w:tc>
          <w:tcPr>
            <w:tcW w:w="60" w:type="dxa"/>
            <w:tcBorders/>
            <w:shd w:fill="CCEEFF" w:val="clear"/>
            <w:vAlign w:val="center"/>
          </w:tcPr>
          <w:p>
            <w:pPr>
              <w:pStyle w:val="TableContents"/>
              <w:spacing w:before="0" w:after="283"/>
              <w:rPr/>
            </w:pPr>
            <w:r>
              <w:rPr/>
              <w:t> </w:t>
            </w:r>
          </w:p>
        </w:tc>
      </w:tr>
      <w:tr>
        <w:trPr/>
        <w:tc>
          <w:tcPr>
            <w:tcW w:w="258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Media Sales</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rPr/>
            </w:pPr>
            <w:r>
              <w:rPr/>
              <w:t> </w:t>
            </w:r>
          </w:p>
        </w:tc>
        <w:tc>
          <w:tcPr>
            <w:tcW w:w="94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1,511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rPr/>
            </w:pPr>
            <w:r>
              <w:rPr/>
              <w:t> </w:t>
            </w:r>
          </w:p>
        </w:tc>
        <w:tc>
          <w:tcPr>
            <w:tcW w:w="94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r>
      <w:tr>
        <w:trPr/>
        <w:tc>
          <w:tcPr>
            <w:tcW w:w="258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License Revenue</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94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1,375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94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25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Managed Services</w:t>
            </w:r>
          </w:p>
        </w:tc>
        <w:tc>
          <w:tcPr>
            <w:tcW w:w="60" w:type="dxa"/>
            <w:tcBorders/>
            <w:shd w:fill="FFFFFF" w:val="clear"/>
            <w:vAlign w:val="center"/>
          </w:tcPr>
          <w:p>
            <w:pPr>
              <w:pStyle w:val="TableContents"/>
              <w:spacing w:before="0" w:after="283"/>
              <w:rPr/>
            </w:pPr>
            <w:r>
              <w:rPr/>
              <w:t> </w:t>
            </w:r>
          </w:p>
        </w:tc>
        <w:tc>
          <w:tcPr>
            <w:tcW w:w="19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14,320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5,596</w:t>
            </w:r>
          </w:p>
        </w:tc>
        <w:tc>
          <w:tcPr>
            <w:tcW w:w="60" w:type="dxa"/>
            <w:tcBorders/>
            <w:shd w:fill="FFFFFF" w:val="clear"/>
            <w:vAlign w:val="center"/>
          </w:tcPr>
          <w:p>
            <w:pPr>
              <w:pStyle w:val="TableContents"/>
              <w:spacing w:before="0" w:after="283"/>
              <w:rPr/>
            </w:pPr>
            <w:r>
              <w:rPr/>
              <w:t> </w:t>
            </w:r>
          </w:p>
        </w:tc>
      </w:tr>
      <w:tr>
        <w:trPr/>
        <w:tc>
          <w:tcPr>
            <w:tcW w:w="25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Services</w:t>
            </w:r>
          </w:p>
        </w:tc>
        <w:tc>
          <w:tcPr>
            <w:tcW w:w="60" w:type="dxa"/>
            <w:tcBorders/>
            <w:shd w:fill="CCEEFF" w:val="clear"/>
            <w:vAlign w:val="center"/>
          </w:tcPr>
          <w:p>
            <w:pPr>
              <w:pStyle w:val="TableContents"/>
              <w:spacing w:before="0" w:after="283"/>
              <w:rPr/>
            </w:pPr>
            <w:r>
              <w:rPr/>
              <w:t> </w:t>
            </w:r>
          </w:p>
        </w:tc>
        <w:tc>
          <w:tcPr>
            <w:tcW w:w="19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23,455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8,987</w:t>
            </w:r>
          </w:p>
        </w:tc>
        <w:tc>
          <w:tcPr>
            <w:tcW w:w="60" w:type="dxa"/>
            <w:tcBorders/>
            <w:shd w:fill="CCEEFF" w:val="clear"/>
            <w:vAlign w:val="center"/>
          </w:tcPr>
          <w:p>
            <w:pPr>
              <w:pStyle w:val="TableContents"/>
              <w:spacing w:before="0" w:after="283"/>
              <w:rPr/>
            </w:pPr>
            <w:r>
              <w:rPr/>
              <w:t> </w:t>
            </w:r>
          </w:p>
        </w:tc>
      </w:tr>
      <w:tr>
        <w:trPr/>
        <w:tc>
          <w:tcPr>
            <w:tcW w:w="25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Hardware and Services</w:t>
            </w:r>
          </w:p>
        </w:tc>
        <w:tc>
          <w:tcPr>
            <w:tcW w:w="60" w:type="dxa"/>
            <w:tcBorders/>
            <w:shd w:fill="FFFFFF" w:val="clear"/>
            <w:vAlign w:val="center"/>
          </w:tcPr>
          <w:p>
            <w:pPr>
              <w:pStyle w:val="TableContents"/>
              <w:spacing w:before="0" w:after="283"/>
              <w:ind w:left="0" w:right="0" w:hanging="0"/>
              <w:rPr/>
            </w:pPr>
            <w:r>
              <w:rPr/>
              <w:t> </w:t>
            </w:r>
          </w:p>
        </w:tc>
        <w:tc>
          <w:tcPr>
            <w:tcW w:w="19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43,350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9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18,437</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jc w:val="left"/>
        <w:rPr>
          <w:rFonts w:ascii="Times New Roman;Times;serif" w:hAnsi="Times New Roman;Times;serif"/>
          <w:i/>
          <w:sz w:val="20"/>
        </w:rPr>
      </w:pPr>
      <w:r>
        <w:rPr>
          <w:rFonts w:ascii="Times New Roman;Times;serif" w:hAnsi="Times New Roman;Times;serif"/>
          <w:i/>
          <w:sz w:val="20"/>
        </w:rPr>
        <w:t>System hardware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i/>
          <w:caps w:val="false"/>
          <w:smallCaps w:val="false"/>
          <w:sz w:val="20"/>
        </w:rPr>
      </w:pPr>
      <w:r>
        <w:rPr>
          <w:rFonts w:ascii="Times New Roman" w:hAnsi="Times New Roman"/>
          <w:i/>
          <w:caps w:val="false"/>
          <w:smallCaps w:val="false"/>
          <w:sz w:val="20"/>
        </w:rPr>
        <w:t>Installation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Company performs outsourced installation services for customers and recognizes revenue upon completion of the installations. Installation services also includes engineering services performed as part of an installation project.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When system hardware sales include installation services to be performed by the Company, the goods and services in the contract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distinct, so the arrangement is accounted for as a single performance obligation. Our customers control the work-in-process and can make changes to the design specifications over the contract term. Revenues are recognized over time as the installation services are completed based on the relative portion of labor hours completed as a percentage of the budgeted hours for the installation. Installation services revenues are classified as “Installation Services” within our disaggregated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jc w:val="left"/>
        <w:rPr>
          <w:rFonts w:ascii="Times New Roman;Times;serif" w:hAnsi="Times New Roman;Times;serif"/>
          <w:i/>
          <w:sz w:val="20"/>
        </w:rPr>
      </w:pPr>
      <w:r>
        <w:rPr>
          <w:rFonts w:ascii="Times New Roman;Times;serif" w:hAnsi="Times New Roman;Times;serif"/>
          <w:i/>
          <w:sz w:val="20"/>
        </w:rPr>
        <w:t>Software design and development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Software and software license sales are revenue when a fixed fee order has been received and delivery has occurred to the customer. Revenue is recognized generally upon customer acceptance (point-in-time) of the software product and verification that it meets the required specifications. Software is delivered to customers electronically. Software design and development revenues are classified as “Software Development Services” within our disaggregated revenue.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14</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360"/>
        <w:rPr>
          <w:rFonts w:ascii="Times New Roman" w:hAnsi="Times New Roman"/>
          <w:i/>
          <w:caps w:val="false"/>
          <w:smallCaps w:val="false"/>
          <w:sz w:val="20"/>
        </w:rPr>
      </w:pPr>
      <w:r>
        <w:rPr>
          <w:rFonts w:ascii="Times New Roman" w:hAnsi="Times New Roman"/>
          <w:i/>
          <w:caps w:val="false"/>
          <w:smallCaps w:val="false"/>
          <w:sz w:val="20"/>
        </w:rPr>
        <w:t>Software as a service license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Software as a service includes revenue from software licensing and delivery in which software is licensed on a subscription basis and is centrally hosted by the Company.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w:t>
      </w:r>
      <w:r>
        <w:rPr>
          <w:rStyle w:val="Emphasis"/>
          <w:rFonts w:ascii="Times New Roman" w:hAnsi="Times New Roman"/>
          <w:caps w:val="false"/>
          <w:smallCaps w:val="false"/>
          <w:sz w:val="20"/>
        </w:rPr>
        <w:t>985</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recognize revenue ratably over the performance period. Software as a service revenue are classified as “Managed Services” within our disaggregated revenue.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 w:hAnsi="Times New Roman"/>
          <w:i/>
          <w:caps w:val="false"/>
          <w:smallCaps w:val="false"/>
          <w:sz w:val="20"/>
        </w:rPr>
      </w:pPr>
      <w:r>
        <w:rPr>
          <w:rFonts w:ascii="Times New Roman" w:hAnsi="Times New Roman"/>
          <w:i/>
          <w:caps w:val="false"/>
          <w:smallCaps w:val="false"/>
          <w:sz w:val="20"/>
        </w:rPr>
        <w:t>Software as a service perpetual license sales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Perpetual license sales includes revenue from the sale of a perpetual license to customers that host their own instances of our software. These services traditionally are accompanied by the sale of maintenance and support services contracts. Perpetual license revenue is classified as "License Revenue" within our disaggregated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i/>
          <w:caps w:val="false"/>
          <w:smallCaps w:val="false"/>
          <w:sz w:val="20"/>
        </w:rPr>
      </w:pPr>
      <w:r>
        <w:rPr>
          <w:rFonts w:ascii="Times New Roman" w:hAnsi="Times New Roman"/>
          <w:i/>
          <w:caps w:val="false"/>
          <w:smallCaps w:val="false"/>
          <w:sz w:val="20"/>
        </w:rPr>
        <w:t>Maintenance and support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Company sells support services which include access to technical support personnel for software and hardware troubleshooting. The Company offers a hosting service through our network operations center, or NOC, allowing the ability to monitor and support its customers’ networks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days a week,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hours a day. These contracts are generally 12-36 months in length. Revenue is recognized over the term of the agreement in proportion to the costs incurred in fulfilling performance obligations under the contract. Maintenance and Support revenues are classified as “Managed Services” within our disaggregated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Maintenance and support fees are based on the level of service provided to end customers, which can range from monitoring the health of a customer’s network to supporting a sophisticated web-portal to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12-36 months in length. Revenue is recognized ratably and evenly over the service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Company also performs time and materials-based maintenance and repair work for customers. Revenue is recognized at a point in time when the performance obligation has been fully satisfied.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 w:hAnsi="Times New Roman"/>
          <w:i/>
          <w:caps w:val="false"/>
          <w:smallCaps w:val="false"/>
          <w:sz w:val="20"/>
        </w:rPr>
      </w:pPr>
      <w:r>
        <w:rPr>
          <w:rFonts w:ascii="Times New Roman" w:hAnsi="Times New Roman"/>
          <w:i/>
          <w:caps w:val="false"/>
          <w:smallCaps w:val="false"/>
          <w:sz w:val="20"/>
        </w:rPr>
        <w:t>Media sales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Media revenues are derived from selling (i) sponsorship packages, including mobile takeover or physical presence, or (ii) advertising space to customers on digital displays or other outdoor structures, each within physical venues. We generally do </w:t>
      </w:r>
      <w:r>
        <w:rPr>
          <w:rStyle w:val="Emphasis"/>
          <w:rFonts w:ascii="Times New Roman" w:hAnsi="Times New Roman"/>
          <w:caps w:val="false"/>
          <w:smallCaps w:val="false"/>
          <w:sz w:val="20"/>
        </w:rPr>
        <w:t>not</w:t>
      </w:r>
      <w:r>
        <w:rPr>
          <w:rFonts w:ascii="Times New Roman" w:hAnsi="Times New Roman"/>
          <w:caps w:val="false"/>
          <w:smallCaps w:val="false"/>
          <w:sz w:val="20"/>
        </w:rPr>
        <w:t> own the physical structures on which we display advertising for our customers but instead sell advertising or sponsorship opportunities on behalf of our media network owners to our brand customers. Media revenue services are recognized either on a straight-line basis over the available hours of advertising during the contracted period, or at the time of an event in the case of sponsorships.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Our media revenue contracts with customers range from four weeks to three years and billing commences at the beginning of the contract term, with payment generally due within </w:t>
      </w:r>
      <w:r>
        <w:rPr>
          <w:rStyle w:val="Emphasis"/>
          <w:rFonts w:ascii="Times New Roman" w:hAnsi="Times New Roman"/>
          <w:caps w:val="false"/>
          <w:smallCaps w:val="false"/>
          <w:sz w:val="20"/>
        </w:rPr>
        <w:t>ninety</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90</w:t>
      </w:r>
      <w:r>
        <w:rPr>
          <w:rFonts w:ascii="Times New Roman" w:hAnsi="Times New Roman"/>
          <w:caps w:val="false"/>
          <w:smallCaps w:val="false"/>
          <w:sz w:val="20"/>
        </w:rPr>
        <w:t>) days of billing. For the majority of our contracts, transaction prices are explicitly stated. Any contracts with transaction prices that contain multiple performance obligations are allocated primarily based on a relative standalone selling price basis.  Any deferred revenues primarily consist of revenues paid in advance of being earned.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On a contract-by-contract basis, we evaluate whether we should be considered the principal (i.e., report revenues on a gross basis) or an agent (i.e., report revenues on a net basis). We are considered the principal in our arrangements and report revenues on a gross basis, wherein the amounts billed to customers are recorded as revenues and amounts paid to network owners are recorded as expenses. We are considered the principal because we control the advertising space before and after the contract term, are primarily responsible to our customers, and have discretion in pricing. For revenues generated through the use of a subcontracted advertising agency, commissions are calculated based on a stated percentage of gross advertising revenue and reported in the Consolidated Statement of Operations within Sales and Marketing expenses.</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15</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pPr>
      <w:bookmarkStart w:id="43" w:name="note5"/>
      <w:bookmarkEnd w:id="43"/>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5:</w:t>
      </w:r>
      <w:r>
        <w:rPr>
          <w:rFonts w:ascii="Times New Roman" w:hAnsi="Times New Roman"/>
          <w:b/>
          <w:caps w:val="false"/>
          <w:smallCaps w:val="false"/>
          <w:sz w:val="20"/>
          <w:u w:val="single"/>
        </w:rPr>
        <w:t xml:space="preserve"> FAIR VALUE MEASUREMENT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We measure certain financial assets, including cash equivalents, at fair value on a recurring basis. In accordance with ASC </w:t>
      </w:r>
      <w:r>
        <w:rPr>
          <w:rStyle w:val="Emphasis"/>
          <w:rFonts w:ascii="Times New Roman" w:hAnsi="Times New Roman"/>
          <w:caps w:val="false"/>
          <w:smallCaps w:val="false"/>
          <w:sz w:val="20"/>
        </w:rPr>
        <w:t>820</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fair value is a market-based measurement that should be determined based on the assumptions that market participants would use in pricing an asset or liability. As a basis for considering such assumptions, ASC </w:t>
      </w:r>
      <w:r>
        <w:rPr>
          <w:rStyle w:val="Emphasis"/>
          <w:rFonts w:ascii="Times New Roman" w:hAnsi="Times New Roman"/>
          <w:caps w:val="false"/>
          <w:smallCaps w:val="false"/>
          <w:sz w:val="20"/>
        </w:rPr>
        <w:t>820</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35</w:t>
      </w:r>
      <w:r>
        <w:rPr>
          <w:rFonts w:ascii="Times New Roman" w:hAnsi="Times New Roman"/>
          <w:caps w:val="false"/>
          <w:smallCaps w:val="false"/>
          <w:sz w:val="20"/>
        </w:rPr>
        <w:t xml:space="preserve">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-level hierarchy that prioritizes the inputs used in measuring fair value.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hierarchy levels are defined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Valuations based on unadjusted quoted prices in active markets for identical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Valuations based on observable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prices), such as quoted prices for similar assets at the measurement date; quoted prices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or other inputs that are observable, either directly or indirectly.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Valuations based on inputs that are unobservable and involve management judgment and the reporting entity’s own assumptions about market participants and pricing.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Company previously recorded warrant liabilities that were measured at fair value on a recurring basis using a binomial option pricing model.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calculation of the fair value of the contingent consideration contains inputs which are unobservable and involve management judgment and are considered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estimates. Additionally, the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estimates.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estimates.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Convertible Loan is deemed to be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valuation. Certain unobservable inputs into the calculation of the fair value of this liability include an estimate of the fair value of the Company at a future date using a discounted cash flow model, discount rate assumptions, and an estimation of the likelihood of conversion of the Convertible Loan. The Convertible Loan was refinanced into the Consolidation Term Loan in </w:t>
      </w:r>
      <w:r>
        <w:rPr>
          <w:rStyle w:val="Emphasis"/>
          <w:rFonts w:ascii="Times New Roman" w:hAnsi="Times New Roman"/>
          <w:caps w:val="false"/>
          <w:smallCaps w:val="false"/>
          <w:sz w:val="20"/>
        </w:rPr>
        <w:t>February 2022.</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calculation of the fair value of the warrant liability contains valuation inputs which are based on observable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prices) and are considered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estimates. The liability warrants were converted to equity warrants effective </w:t>
      </w:r>
      <w:r>
        <w:rPr>
          <w:rStyle w:val="Emphasis"/>
          <w:rFonts w:ascii="Times New Roman" w:hAnsi="Times New Roman"/>
          <w:caps w:val="false"/>
          <w:smallCaps w:val="false"/>
          <w:sz w:val="20"/>
        </w:rPr>
        <w:t>June 30, 2022.</w:t>
      </w:r>
    </w:p>
    <w:p>
      <w:pPr>
        <w:pStyle w:val="TextBody"/>
        <w:rPr/>
      </w:pPr>
      <w:r>
        <w:rPr/>
        <w:t xml:space="preserve">  </w:t>
      </w:r>
    </w:p>
    <w:p>
      <w:pPr>
        <w:pStyle w:val="TextBody"/>
        <w:spacing w:before="0" w:after="0"/>
        <w:ind w:left="0" w:right="0" w:hanging="0"/>
        <w:rPr/>
      </w:pPr>
      <w:bookmarkStart w:id="44" w:name="note6"/>
      <w:bookmarkEnd w:id="44"/>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6:</w:t>
      </w:r>
      <w:r>
        <w:rPr>
          <w:rFonts w:ascii="Times New Roman" w:hAnsi="Times New Roman"/>
          <w:b/>
          <w:caps w:val="false"/>
          <w:smallCaps w:val="false"/>
          <w:sz w:val="20"/>
          <w:u w:val="single"/>
        </w:rPr>
        <w:t xml:space="preserve"> SUPPLEMENTAL CASH FLOW STATEMENT INFORMATION</w:t>
      </w:r>
    </w:p>
    <w:p>
      <w:pPr>
        <w:pStyle w:val="TextBody"/>
        <w:spacing w:before="0" w:after="0"/>
        <w:ind w:left="0" w:right="0" w:hanging="0"/>
        <w:rPr>
          <w:caps w:val="false"/>
          <w:smallCaps w:val="false"/>
        </w:rPr>
      </w:pPr>
      <w:r>
        <w:rPr>
          <w:caps w:val="false"/>
          <w:smallCaps w:val="false"/>
        </w:rPr>
        <w:t> </w:t>
      </w:r>
    </w:p>
    <w:tbl>
      <w:tblPr>
        <w:tblW w:w="6175" w:type="dxa"/>
        <w:jc w:val="left"/>
        <w:tblInd w:w="0" w:type="dxa"/>
        <w:tblCellMar>
          <w:top w:w="0" w:type="dxa"/>
          <w:left w:w="0" w:type="dxa"/>
          <w:bottom w:w="0" w:type="dxa"/>
          <w:right w:w="0" w:type="dxa"/>
        </w:tblCellMar>
      </w:tblPr>
      <w:tblGrid>
        <w:gridCol w:w="4865"/>
        <w:gridCol w:w="60"/>
        <w:gridCol w:w="125"/>
        <w:gridCol w:w="485"/>
        <w:gridCol w:w="60"/>
        <w:gridCol w:w="60"/>
        <w:gridCol w:w="125"/>
        <w:gridCol w:w="335"/>
        <w:gridCol w:w="60"/>
      </w:tblGrid>
      <w:tr>
        <w:trPr/>
        <w:tc>
          <w:tcPr>
            <w:tcW w:w="48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90"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w:t>
            </w:r>
          </w:p>
        </w:tc>
        <w:tc>
          <w:tcPr>
            <w:tcW w:w="60" w:type="dxa"/>
            <w:tcBorders/>
            <w:shd w:fill="FFFFFF" w:val="clear"/>
            <w:vAlign w:val="center"/>
          </w:tcPr>
          <w:p>
            <w:pPr>
              <w:pStyle w:val="TableContents"/>
              <w:spacing w:before="0" w:after="283"/>
              <w:rPr/>
            </w:pPr>
            <w:r>
              <w:rPr/>
              <w:t> </w:t>
            </w:r>
          </w:p>
        </w:tc>
      </w:tr>
      <w:tr>
        <w:trPr/>
        <w:tc>
          <w:tcPr>
            <w:tcW w:w="48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9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48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4865"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Supplemental non-cash Investing and Financing activities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486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Capitalized software in accounts payable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556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486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Property and equipment in accounts payable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r>
      <w:tr>
        <w:trPr/>
        <w:tc>
          <w:tcPr>
            <w:tcW w:w="48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Conversion of disbursed escrow loan into common stock</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264</w:t>
            </w:r>
          </w:p>
        </w:tc>
        <w:tc>
          <w:tcPr>
            <w:tcW w:w="60" w:type="dxa"/>
            <w:tcBorders/>
            <w:shd w:fill="CCEEFF" w:val="clear"/>
            <w:vAlign w:val="center"/>
          </w:tcPr>
          <w:p>
            <w:pPr>
              <w:pStyle w:val="TableContents"/>
              <w:spacing w:before="0" w:after="283"/>
              <w:rPr/>
            </w:pPr>
            <w:r>
              <w:rPr/>
              <w:t> </w:t>
            </w:r>
          </w:p>
        </w:tc>
      </w:tr>
      <w:tr>
        <w:trPr/>
        <w:tc>
          <w:tcPr>
            <w:tcW w:w="48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Increase in debt related to financing fees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w:t>
            </w:r>
          </w:p>
        </w:tc>
        <w:tc>
          <w:tcPr>
            <w:tcW w:w="60" w:type="dxa"/>
            <w:tcBorders/>
            <w:shd w:fill="FFFFFF" w:val="clear"/>
            <w:vAlign w:val="center"/>
          </w:tcPr>
          <w:p>
            <w:pPr>
              <w:pStyle w:val="TableContents"/>
              <w:spacing w:before="0" w:after="283"/>
              <w:rPr/>
            </w:pPr>
            <w:r>
              <w:rPr/>
              <w:t> </w:t>
            </w:r>
          </w:p>
        </w:tc>
      </w:tr>
      <w:tr>
        <w:trPr/>
        <w:tc>
          <w:tcPr>
            <w:tcW w:w="48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Decrease in debt discount via amended Credit Agreement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133</w:t>
            </w:r>
          </w:p>
        </w:tc>
        <w:tc>
          <w:tcPr>
            <w:tcW w:w="60" w:type="dxa"/>
            <w:tcBorders/>
            <w:shd w:fill="CCEEFF" w:val="clear"/>
            <w:vAlign w:val="center"/>
          </w:tcPr>
          <w:p>
            <w:pPr>
              <w:pStyle w:val="TableContents"/>
              <w:spacing w:before="0" w:after="283"/>
              <w:rPr/>
            </w:pPr>
            <w:r>
              <w:rPr/>
              <w:t> </w:t>
            </w:r>
          </w:p>
        </w:tc>
      </w:tr>
      <w:tr>
        <w:trPr/>
        <w:tc>
          <w:tcPr>
            <w:tcW w:w="48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4865"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Supplemental disclosure information for cash flow</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48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paid during the period for:</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486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w:t>
            </w:r>
          </w:p>
        </w:tc>
        <w:tc>
          <w:tcPr>
            <w:tcW w:w="60" w:type="dxa"/>
            <w:tcBorders/>
            <w:shd w:fill="CCEEFF" w:val="clear"/>
            <w:vAlign w:val="center"/>
          </w:tcPr>
          <w:p>
            <w:pPr>
              <w:pStyle w:val="TableContents"/>
              <w:spacing w:before="0" w:after="283"/>
              <w:rPr/>
            </w:pPr>
            <w:r>
              <w:rPr/>
              <w:t> </w:t>
            </w:r>
          </w:p>
        </w:tc>
      </w:tr>
      <w:tr>
        <w:trPr/>
        <w:tc>
          <w:tcPr>
            <w:tcW w:w="486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Income taxes, net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16</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bookmarkStart w:id="45" w:name="note7"/>
      <w:bookmarkEnd w:id="45"/>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7:</w:t>
      </w:r>
      <w:r>
        <w:rPr>
          <w:rFonts w:ascii="Times New Roman" w:hAnsi="Times New Roman"/>
          <w:b/>
          <w:caps w:val="false"/>
          <w:smallCaps w:val="false"/>
          <w:sz w:val="20"/>
          <w:u w:val="single"/>
        </w:rPr>
        <w:t xml:space="preserve"> INTANGIBLE ASSETS AND GOODWILL</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Times New Roman" w:hAnsi="Times New Roman"/>
          <w:i/>
          <w:caps w:val="false"/>
          <w:smallCaps w:val="false"/>
          <w:sz w:val="20"/>
        </w:rPr>
      </w:pPr>
      <w:r>
        <w:rPr>
          <w:rFonts w:ascii="Times New Roman" w:hAnsi="Times New Roman"/>
          <w:i/>
          <w:caps w:val="false"/>
          <w:smallCaps w:val="false"/>
          <w:sz w:val="20"/>
        </w:rPr>
        <w:t>Intangible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Intangible assets consisted of the following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8290" w:type="dxa"/>
        <w:jc w:val="left"/>
        <w:tblInd w:w="0" w:type="dxa"/>
        <w:tblCellMar>
          <w:top w:w="0" w:type="dxa"/>
          <w:left w:w="0" w:type="dxa"/>
          <w:bottom w:w="0" w:type="dxa"/>
          <w:right w:w="0" w:type="dxa"/>
        </w:tblCellMar>
      </w:tblPr>
      <w:tblGrid>
        <w:gridCol w:w="4040"/>
        <w:gridCol w:w="60"/>
        <w:gridCol w:w="134"/>
        <w:gridCol w:w="636"/>
        <w:gridCol w:w="60"/>
        <w:gridCol w:w="60"/>
        <w:gridCol w:w="102"/>
        <w:gridCol w:w="1013"/>
        <w:gridCol w:w="60"/>
        <w:gridCol w:w="60"/>
        <w:gridCol w:w="134"/>
        <w:gridCol w:w="636"/>
        <w:gridCol w:w="60"/>
        <w:gridCol w:w="60"/>
        <w:gridCol w:w="122"/>
        <w:gridCol w:w="993"/>
        <w:gridCol w:w="60"/>
      </w:tblGrid>
      <w:tr>
        <w:trPr/>
        <w:tc>
          <w:tcPr>
            <w:tcW w:w="40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05"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05"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05"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05"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1013"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993"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Carrying</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Accumulated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Carrying</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Accumulated</w:t>
            </w:r>
          </w:p>
        </w:tc>
        <w:tc>
          <w:tcPr>
            <w:tcW w:w="60" w:type="dxa"/>
            <w:tcBorders/>
            <w:shd w:fill="FFFFFF"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Amortization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Amortization</w:t>
            </w:r>
          </w:p>
        </w:tc>
        <w:tc>
          <w:tcPr>
            <w:tcW w:w="60" w:type="dxa"/>
            <w:tcBorders/>
            <w:shd w:fill="FFFFFF"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Technology platform</w:t>
            </w:r>
          </w:p>
        </w:tc>
        <w:tc>
          <w:tcPr>
            <w:tcW w:w="60" w:type="dxa"/>
            <w:tcBorders/>
            <w:shd w:fill="CCEEFF" w:val="clear"/>
            <w:vAlign w:val="center"/>
          </w:tcPr>
          <w:p>
            <w:pPr>
              <w:pStyle w:val="TableContents"/>
              <w:spacing w:before="0" w:after="283"/>
              <w:ind w:left="0" w:right="0" w:hanging="0"/>
              <w:rPr/>
            </w:pPr>
            <w:r>
              <w:rPr/>
              <w:t> </w:t>
            </w:r>
          </w:p>
        </w:tc>
        <w:tc>
          <w:tcPr>
            <w:tcW w:w="13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ind w:left="0" w:right="0" w:hanging="0"/>
              <w:rPr/>
            </w:pPr>
            <w:r>
              <w:rPr/>
              <w:t> </w:t>
            </w:r>
          </w:p>
        </w:tc>
        <w:tc>
          <w:tcPr>
            <w:tcW w:w="10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4,354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ind w:left="0" w:right="0" w:hanging="0"/>
              <w:rPr/>
            </w:pPr>
            <w:r>
              <w:rPr/>
              <w:t> </w:t>
            </w:r>
          </w:p>
        </w:tc>
        <w:tc>
          <w:tcPr>
            <w:tcW w:w="99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3,652</w:t>
            </w:r>
          </w:p>
        </w:tc>
        <w:tc>
          <w:tcPr>
            <w:tcW w:w="60" w:type="dxa"/>
            <w:tcBorders/>
            <w:shd w:fill="CCEEFF"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Purchased and developed software</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4,682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ind w:left="0" w:right="0" w:hanging="0"/>
              <w:rPr/>
            </w:pPr>
            <w:r>
              <w:rPr/>
              <w:t> </w:t>
            </w:r>
          </w:p>
        </w:tc>
        <w:tc>
          <w:tcPr>
            <w:tcW w:w="101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3,375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3,488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ind w:left="0" w:right="0" w:hanging="0"/>
              <w:rPr/>
            </w:pPr>
            <w:r>
              <w:rPr/>
              <w:t> </w:t>
            </w:r>
          </w:p>
        </w:tc>
        <w:tc>
          <w:tcPr>
            <w:tcW w:w="99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2,713</w:t>
            </w:r>
          </w:p>
        </w:tc>
        <w:tc>
          <w:tcPr>
            <w:tcW w:w="60" w:type="dxa"/>
            <w:tcBorders/>
            <w:shd w:fill="FFFFFF"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In-Process internally developed software platform</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6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4,074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ind w:left="0" w:right="0" w:hanging="0"/>
              <w:rPr/>
            </w:pPr>
            <w:r>
              <w:rPr/>
              <w:t> </w:t>
            </w:r>
          </w:p>
        </w:tc>
        <w:tc>
          <w:tcPr>
            <w:tcW w:w="10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6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ind w:left="0" w:right="0" w:hanging="0"/>
              <w:rPr/>
            </w:pPr>
            <w:r>
              <w:rPr/>
              <w:t> </w:t>
            </w:r>
          </w:p>
        </w:tc>
        <w:tc>
          <w:tcPr>
            <w:tcW w:w="99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ind w:left="0" w:right="0" w:hanging="0"/>
              <w:rPr/>
            </w:pPr>
            <w:r>
              <w:rPr/>
              <w:t> </w:t>
            </w:r>
          </w:p>
        </w:tc>
        <w:tc>
          <w:tcPr>
            <w:tcW w:w="101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2,849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3,960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ind w:left="0" w:right="0" w:hanging="0"/>
              <w:rPr/>
            </w:pPr>
            <w:r>
              <w:rPr/>
              <w:t> </w:t>
            </w:r>
          </w:p>
        </w:tc>
        <w:tc>
          <w:tcPr>
            <w:tcW w:w="99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1,692</w:t>
            </w:r>
          </w:p>
        </w:tc>
        <w:tc>
          <w:tcPr>
            <w:tcW w:w="60" w:type="dxa"/>
            <w:tcBorders/>
            <w:shd w:fill="FFFFFF"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Trademarks and trade names</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6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ind w:left="0" w:right="0" w:hanging="0"/>
              <w:rPr/>
            </w:pPr>
            <w:r>
              <w:rPr/>
              <w:t> </w:t>
            </w:r>
          </w:p>
        </w:tc>
        <w:tc>
          <w:tcPr>
            <w:tcW w:w="10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6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ind w:left="0" w:right="0" w:hanging="0"/>
              <w:rPr/>
            </w:pPr>
            <w:r>
              <w:rPr/>
              <w:t> </w:t>
            </w:r>
          </w:p>
        </w:tc>
        <w:tc>
          <w:tcPr>
            <w:tcW w:w="99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640</w:t>
            </w:r>
          </w:p>
        </w:tc>
        <w:tc>
          <w:tcPr>
            <w:tcW w:w="60" w:type="dxa"/>
            <w:tcBorders/>
            <w:shd w:fill="CCEEFF" w:val="clear"/>
            <w:vAlign w:val="center"/>
          </w:tcPr>
          <w:p>
            <w:pPr>
              <w:pStyle w:val="TableContents"/>
              <w:spacing w:before="0" w:after="283"/>
              <w:ind w:left="0" w:right="0" w:hanging="0"/>
              <w:rPr/>
            </w:pPr>
            <w:r>
              <w:rPr/>
              <w:t> </w:t>
            </w:r>
          </w:p>
        </w:tc>
      </w:tr>
      <w:tr>
        <w:trPr/>
        <w:tc>
          <w:tcPr>
            <w:tcW w:w="404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Noncompete</w:t>
            </w:r>
          </w:p>
        </w:tc>
        <w:tc>
          <w:tcPr>
            <w:tcW w:w="60" w:type="dxa"/>
            <w:tcBorders/>
            <w:shd w:fill="FFFFFF" w:val="clear"/>
            <w:vAlign w:val="center"/>
          </w:tcPr>
          <w:p>
            <w:pPr>
              <w:pStyle w:val="TableContents"/>
              <w:spacing w:before="0" w:after="0"/>
              <w:ind w:left="0" w:right="0" w:hanging="0"/>
              <w:rPr/>
            </w:pPr>
            <w:r>
              <w:rPr/>
              <w:t> </w:t>
            </w:r>
          </w:p>
        </w:tc>
        <w:tc>
          <w:tcPr>
            <w:tcW w:w="134"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36"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30</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0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3"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34"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36"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2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93"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0"/>
              <w:rPr/>
            </w:pPr>
            <w:r>
              <w:rPr/>
              <w:t> </w:t>
            </w:r>
          </w:p>
        </w:tc>
      </w:tr>
      <w:tr>
        <w:trPr/>
        <w:tc>
          <w:tcPr>
            <w:tcW w:w="404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amortizable intangible assets</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3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35,151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101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11,399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36"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13,547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993"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8,697</w:t>
            </w:r>
          </w:p>
        </w:tc>
        <w:tc>
          <w:tcPr>
            <w:tcW w:w="60" w:type="dxa"/>
            <w:tcBorders/>
            <w:shd w:fill="CCEEFF"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Accumulated amortization</w:t>
            </w:r>
          </w:p>
        </w:tc>
        <w:tc>
          <w:tcPr>
            <w:tcW w:w="60" w:type="dxa"/>
            <w:tcBorders/>
            <w:shd w:fill="FFFFFF" w:val="clear"/>
            <w:vAlign w:val="center"/>
          </w:tcPr>
          <w:p>
            <w:pPr>
              <w:pStyle w:val="TableContents"/>
              <w:spacing w:before="0" w:after="283"/>
              <w:rPr/>
            </w:pPr>
            <w:r>
              <w:rPr/>
              <w:t> </w:t>
            </w:r>
          </w:p>
        </w:tc>
        <w:tc>
          <w:tcPr>
            <w:tcW w:w="13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11,399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1013"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3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8,697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993"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book value of amortizable intangible assets</w:t>
            </w:r>
          </w:p>
        </w:tc>
        <w:tc>
          <w:tcPr>
            <w:tcW w:w="60" w:type="dxa"/>
            <w:tcBorders/>
            <w:shd w:fill="FFFFFF" w:val="clear"/>
            <w:vAlign w:val="center"/>
          </w:tcPr>
          <w:p>
            <w:pPr>
              <w:pStyle w:val="TableContents"/>
              <w:spacing w:before="0" w:after="283"/>
              <w:ind w:left="0" w:right="0" w:hanging="0"/>
              <w:rPr/>
            </w:pPr>
            <w:r>
              <w:rPr/>
              <w:t> </w:t>
            </w:r>
          </w:p>
        </w:tc>
        <w:tc>
          <w:tcPr>
            <w:tcW w:w="13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23,752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1013"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4,850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993"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For the years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amortization of intangible assets charged to operations was $2,702 and $1,251, respectively. For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Company wrote-off a $380 fully amortized trade name asset and a $1,370 fully amortized customer list asset and the related accumulated amortization for each related to a former wholly owned subsidiary of the Company, ConeXus World Global, LLC, an entity dissolved by the Company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Company’s Consolidated Balance Sheet or Consolidated Statement of Operations during the period.  On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 xml:space="preserve">the Company acquired intangible assets as a result of the Merger in accordance with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Estimated amortization is as follows:</w:t>
      </w:r>
    </w:p>
    <w:p>
      <w:pPr>
        <w:pStyle w:val="TextBody"/>
        <w:spacing w:before="0" w:after="0"/>
        <w:ind w:left="0" w:right="0" w:hanging="0"/>
        <w:rPr>
          <w:caps w:val="false"/>
          <w:smallCaps w:val="false"/>
        </w:rPr>
      </w:pPr>
      <w:r>
        <w:rPr>
          <w:caps w:val="false"/>
          <w:smallCaps w:val="false"/>
        </w:rPr>
        <w:t> </w:t>
      </w:r>
    </w:p>
    <w:tbl>
      <w:tblPr>
        <w:tblW w:w="3849" w:type="dxa"/>
        <w:jc w:val="left"/>
        <w:tblInd w:w="0" w:type="dxa"/>
        <w:tblCellMar>
          <w:top w:w="0" w:type="dxa"/>
          <w:left w:w="0" w:type="dxa"/>
          <w:bottom w:w="0" w:type="dxa"/>
          <w:right w:w="0" w:type="dxa"/>
        </w:tblCellMar>
      </w:tblPr>
      <w:tblGrid>
        <w:gridCol w:w="2255"/>
        <w:gridCol w:w="60"/>
        <w:gridCol w:w="257"/>
        <w:gridCol w:w="1217"/>
        <w:gridCol w:w="60"/>
      </w:tblGrid>
      <w:tr>
        <w:trPr/>
        <w:tc>
          <w:tcPr>
            <w:tcW w:w="22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7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Estimated Future</w:t>
            </w:r>
          </w:p>
        </w:tc>
        <w:tc>
          <w:tcPr>
            <w:tcW w:w="60" w:type="dxa"/>
            <w:tcBorders/>
            <w:shd w:fill="FFFFFF" w:val="clear"/>
            <w:vAlign w:val="center"/>
          </w:tcPr>
          <w:p>
            <w:pPr>
              <w:pStyle w:val="TableContents"/>
              <w:spacing w:before="0" w:after="283"/>
              <w:rPr/>
            </w:pPr>
            <w:r>
              <w:rPr/>
              <w:t> </w:t>
            </w:r>
          </w:p>
        </w:tc>
      </w:tr>
      <w:tr>
        <w:trPr/>
        <w:tc>
          <w:tcPr>
            <w:tcW w:w="2255"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Year ending December 31,</w:t>
            </w:r>
          </w:p>
        </w:tc>
        <w:tc>
          <w:tcPr>
            <w:tcW w:w="60" w:type="dxa"/>
            <w:tcBorders/>
            <w:shd w:fill="FFFFFF" w:val="clear"/>
            <w:vAlign w:val="center"/>
          </w:tcPr>
          <w:p>
            <w:pPr>
              <w:pStyle w:val="TableContents"/>
              <w:spacing w:before="0" w:after="283"/>
              <w:ind w:left="0" w:right="0" w:hanging="0"/>
              <w:rPr/>
            </w:pPr>
            <w:r>
              <w:rPr/>
              <w:t> </w:t>
            </w:r>
          </w:p>
        </w:tc>
        <w:tc>
          <w:tcPr>
            <w:tcW w:w="14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Amortization</w:t>
            </w:r>
          </w:p>
        </w:tc>
        <w:tc>
          <w:tcPr>
            <w:tcW w:w="60" w:type="dxa"/>
            <w:tcBorders/>
            <w:shd w:fill="FFFFFF" w:val="clear"/>
            <w:vAlign w:val="center"/>
          </w:tcPr>
          <w:p>
            <w:pPr>
              <w:pStyle w:val="TableContents"/>
              <w:spacing w:before="0" w:after="283"/>
              <w:rPr/>
            </w:pPr>
            <w:r>
              <w:rPr/>
              <w:t> </w:t>
            </w:r>
          </w:p>
        </w:tc>
      </w:tr>
      <w:tr>
        <w:trPr/>
        <w:tc>
          <w:tcPr>
            <w:tcW w:w="22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CCEEFF" w:val="clear"/>
            <w:vAlign w:val="center"/>
          </w:tcPr>
          <w:p>
            <w:pPr>
              <w:pStyle w:val="TableContents"/>
              <w:spacing w:before="0" w:after="283"/>
              <w:rPr/>
            </w:pPr>
            <w:r>
              <w:rPr/>
              <w:t> </w:t>
            </w:r>
          </w:p>
        </w:tc>
        <w:tc>
          <w:tcPr>
            <w:tcW w:w="25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1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3,272</w:t>
            </w:r>
          </w:p>
        </w:tc>
        <w:tc>
          <w:tcPr>
            <w:tcW w:w="60" w:type="dxa"/>
            <w:tcBorders/>
            <w:shd w:fill="CCEEFF" w:val="clear"/>
            <w:vAlign w:val="center"/>
          </w:tcPr>
          <w:p>
            <w:pPr>
              <w:pStyle w:val="TableContents"/>
              <w:spacing w:before="0" w:after="283"/>
              <w:rPr/>
            </w:pPr>
            <w:r>
              <w:rPr/>
              <w:t> </w:t>
            </w:r>
          </w:p>
        </w:tc>
      </w:tr>
      <w:tr>
        <w:trPr/>
        <w:tc>
          <w:tcPr>
            <w:tcW w:w="22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spacing w:before="0" w:after="283"/>
              <w:rPr/>
            </w:pPr>
            <w:r>
              <w:rPr/>
              <w:t> </w:t>
            </w:r>
          </w:p>
        </w:tc>
        <w:tc>
          <w:tcPr>
            <w:tcW w:w="257" w:type="dxa"/>
            <w:tcBorders/>
            <w:shd w:fill="FFFFFF" w:val="clear"/>
            <w:vAlign w:val="center"/>
          </w:tcPr>
          <w:p>
            <w:pPr>
              <w:pStyle w:val="TableContents"/>
              <w:spacing w:before="0" w:after="283"/>
              <w:ind w:left="0" w:right="0" w:hanging="0"/>
              <w:rPr/>
            </w:pPr>
            <w:r>
              <w:rPr/>
              <w:t> </w:t>
            </w:r>
          </w:p>
        </w:tc>
        <w:tc>
          <w:tcPr>
            <w:tcW w:w="121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3,109</w:t>
            </w:r>
          </w:p>
        </w:tc>
        <w:tc>
          <w:tcPr>
            <w:tcW w:w="60" w:type="dxa"/>
            <w:tcBorders/>
            <w:shd w:fill="FFFFFF" w:val="clear"/>
            <w:vAlign w:val="center"/>
          </w:tcPr>
          <w:p>
            <w:pPr>
              <w:pStyle w:val="TableContents"/>
              <w:spacing w:before="0" w:after="283"/>
              <w:rPr/>
            </w:pPr>
            <w:r>
              <w:rPr/>
              <w:t> </w:t>
            </w:r>
          </w:p>
        </w:tc>
      </w:tr>
      <w:tr>
        <w:trPr/>
        <w:tc>
          <w:tcPr>
            <w:tcW w:w="22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spacing w:before="0" w:after="283"/>
              <w:rPr/>
            </w:pPr>
            <w:r>
              <w:rPr/>
              <w:t> </w:t>
            </w:r>
          </w:p>
        </w:tc>
        <w:tc>
          <w:tcPr>
            <w:tcW w:w="257" w:type="dxa"/>
            <w:tcBorders/>
            <w:shd w:fill="CCEEFF" w:val="clear"/>
            <w:vAlign w:val="center"/>
          </w:tcPr>
          <w:p>
            <w:pPr>
              <w:pStyle w:val="TableContents"/>
              <w:spacing w:before="0" w:after="283"/>
              <w:ind w:left="0" w:right="0" w:hanging="0"/>
              <w:rPr/>
            </w:pPr>
            <w:r>
              <w:rPr/>
              <w:t> </w:t>
            </w:r>
          </w:p>
        </w:tc>
        <w:tc>
          <w:tcPr>
            <w:tcW w:w="121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2,875</w:t>
            </w:r>
          </w:p>
        </w:tc>
        <w:tc>
          <w:tcPr>
            <w:tcW w:w="60" w:type="dxa"/>
            <w:tcBorders/>
            <w:shd w:fill="CCEEFF" w:val="clear"/>
            <w:vAlign w:val="center"/>
          </w:tcPr>
          <w:p>
            <w:pPr>
              <w:pStyle w:val="TableContents"/>
              <w:spacing w:before="0" w:after="283"/>
              <w:rPr/>
            </w:pPr>
            <w:r>
              <w:rPr/>
              <w:t> </w:t>
            </w:r>
          </w:p>
        </w:tc>
      </w:tr>
      <w:tr>
        <w:trPr/>
        <w:tc>
          <w:tcPr>
            <w:tcW w:w="22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spacing w:before="0" w:after="283"/>
              <w:ind w:left="0" w:right="0" w:hanging="0"/>
              <w:rPr/>
            </w:pPr>
            <w:r>
              <w:rPr/>
              <w:t> </w:t>
            </w:r>
          </w:p>
        </w:tc>
        <w:tc>
          <w:tcPr>
            <w:tcW w:w="257" w:type="dxa"/>
            <w:tcBorders/>
            <w:shd w:fill="FFFFFF" w:val="clear"/>
            <w:vAlign w:val="center"/>
          </w:tcPr>
          <w:p>
            <w:pPr>
              <w:pStyle w:val="TableContents"/>
              <w:spacing w:before="0" w:after="283"/>
              <w:ind w:left="0" w:right="0" w:hanging="0"/>
              <w:rPr/>
            </w:pPr>
            <w:r>
              <w:rPr/>
              <w:t> </w:t>
            </w:r>
          </w:p>
        </w:tc>
        <w:tc>
          <w:tcPr>
            <w:tcW w:w="121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2,408</w:t>
            </w:r>
          </w:p>
        </w:tc>
        <w:tc>
          <w:tcPr>
            <w:tcW w:w="60" w:type="dxa"/>
            <w:tcBorders/>
            <w:shd w:fill="FFFFFF" w:val="clear"/>
            <w:vAlign w:val="center"/>
          </w:tcPr>
          <w:p>
            <w:pPr>
              <w:pStyle w:val="TableContents"/>
              <w:spacing w:before="0" w:after="283"/>
              <w:rPr/>
            </w:pPr>
            <w:r>
              <w:rPr/>
              <w:t> </w:t>
            </w:r>
          </w:p>
        </w:tc>
      </w:tr>
      <w:tr>
        <w:trPr/>
        <w:tc>
          <w:tcPr>
            <w:tcW w:w="22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CCEEFF" w:val="clear"/>
            <w:vAlign w:val="center"/>
          </w:tcPr>
          <w:p>
            <w:pPr>
              <w:pStyle w:val="TableContents"/>
              <w:spacing w:before="0" w:after="283"/>
              <w:rPr/>
            </w:pPr>
            <w:r>
              <w:rPr/>
              <w:t> </w:t>
            </w:r>
          </w:p>
        </w:tc>
        <w:tc>
          <w:tcPr>
            <w:tcW w:w="257" w:type="dxa"/>
            <w:tcBorders/>
            <w:shd w:fill="CCEEFF" w:val="clear"/>
            <w:vAlign w:val="center"/>
          </w:tcPr>
          <w:p>
            <w:pPr>
              <w:pStyle w:val="TableContents"/>
              <w:spacing w:before="0" w:after="283"/>
              <w:ind w:left="0" w:right="0" w:hanging="0"/>
              <w:rPr/>
            </w:pPr>
            <w:r>
              <w:rPr/>
              <w:t> </w:t>
            </w:r>
          </w:p>
        </w:tc>
        <w:tc>
          <w:tcPr>
            <w:tcW w:w="121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12,088</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Intangible assets include the following and are being amortized over their estimated useful lives as follows:</w:t>
      </w:r>
    </w:p>
    <w:p>
      <w:pPr>
        <w:pStyle w:val="TextBody"/>
        <w:spacing w:before="0" w:after="0"/>
        <w:ind w:left="0" w:right="0" w:hanging="0"/>
        <w:rPr>
          <w:caps w:val="false"/>
          <w:smallCaps w:val="false"/>
        </w:rPr>
      </w:pPr>
      <w:r>
        <w:rPr>
          <w:caps w:val="false"/>
          <w:smallCaps w:val="false"/>
        </w:rPr>
        <w:t> </w:t>
      </w:r>
    </w:p>
    <w:tbl>
      <w:tblPr>
        <w:tblW w:w="4045" w:type="dxa"/>
        <w:jc w:val="left"/>
        <w:tblInd w:w="0" w:type="dxa"/>
        <w:tblCellMar>
          <w:top w:w="0" w:type="dxa"/>
          <w:left w:w="0" w:type="dxa"/>
          <w:bottom w:w="0" w:type="dxa"/>
          <w:right w:w="0" w:type="dxa"/>
        </w:tblCellMar>
      </w:tblPr>
      <w:tblGrid>
        <w:gridCol w:w="2810"/>
        <w:gridCol w:w="60"/>
        <w:gridCol w:w="1115"/>
        <w:gridCol w:w="60"/>
      </w:tblGrid>
      <w:tr>
        <w:trPr/>
        <w:tc>
          <w:tcPr>
            <w:tcW w:w="28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tcBorders/>
            <w:shd w:fill="FFFFFF" w:val="clear"/>
            <w:vAlign w:val="center"/>
          </w:tcPr>
          <w:p>
            <w:pPr>
              <w:pStyle w:val="TableContents"/>
              <w:spacing w:before="0" w:after="0"/>
              <w:ind w:left="0" w:right="0" w:hanging="0"/>
              <w:jc w:val="center"/>
              <w:rPr/>
            </w:pPr>
            <w:r>
              <w:rPr>
                <w:rStyle w:val="Emphasis"/>
                <w:rFonts w:ascii="Times New Roman" w:hAnsi="Times New Roman"/>
                <w:b/>
                <w:i/>
                <w:caps w:val="false"/>
                <w:smallCaps w:val="false"/>
                <w:sz w:val="20"/>
              </w:rPr>
              <w:t>Amortization</w:t>
            </w:r>
          </w:p>
        </w:tc>
        <w:tc>
          <w:tcPr>
            <w:tcW w:w="60" w:type="dxa"/>
            <w:tcBorders/>
            <w:shd w:fill="FFFFFF" w:val="clear"/>
            <w:vAlign w:val="center"/>
          </w:tcPr>
          <w:p>
            <w:pPr>
              <w:pStyle w:val="TableContents"/>
              <w:spacing w:before="0" w:after="283"/>
              <w:rPr/>
            </w:pPr>
            <w:r>
              <w:rPr/>
              <w:t> </w:t>
            </w:r>
          </w:p>
        </w:tc>
      </w:tr>
      <w:tr>
        <w:trPr/>
        <w:tc>
          <w:tcPr>
            <w:tcW w:w="28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5" w:type="dxa"/>
            <w:tcBorders/>
            <w:shd w:fill="FFFFFF" w:val="clear"/>
            <w:vAlign w:val="center"/>
          </w:tcPr>
          <w:p>
            <w:pPr>
              <w:pStyle w:val="TableContents"/>
              <w:spacing w:before="0" w:after="0"/>
              <w:ind w:left="0" w:right="0" w:hanging="0"/>
              <w:jc w:val="center"/>
              <w:rPr/>
            </w:pPr>
            <w:r>
              <w:rPr>
                <w:rStyle w:val="Emphasis"/>
                <w:rFonts w:ascii="Times New Roman" w:hAnsi="Times New Roman"/>
                <w:b/>
                <w:i/>
                <w:caps w:val="false"/>
                <w:smallCaps w:val="false"/>
                <w:sz w:val="20"/>
              </w:rPr>
              <w:t>Period:</w:t>
            </w:r>
          </w:p>
        </w:tc>
        <w:tc>
          <w:tcPr>
            <w:tcW w:w="60" w:type="dxa"/>
            <w:tcBorders/>
            <w:shd w:fill="FFFFFF" w:val="clear"/>
            <w:vAlign w:val="center"/>
          </w:tcPr>
          <w:p>
            <w:pPr>
              <w:pStyle w:val="TableContents"/>
              <w:spacing w:before="0" w:after="283"/>
              <w:rPr/>
            </w:pPr>
            <w:r>
              <w:rPr/>
              <w:t> </w:t>
            </w:r>
          </w:p>
        </w:tc>
      </w:tr>
      <w:tr>
        <w:trPr/>
        <w:tc>
          <w:tcPr>
            <w:tcW w:w="2810"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Acquired Intangible Asset:</w:t>
            </w:r>
          </w:p>
        </w:tc>
        <w:tc>
          <w:tcPr>
            <w:tcW w:w="60" w:type="dxa"/>
            <w:tcBorders/>
            <w:shd w:fill="FFFFFF" w:val="clear"/>
            <w:vAlign w:val="center"/>
          </w:tcPr>
          <w:p>
            <w:pPr>
              <w:pStyle w:val="TableContents"/>
              <w:spacing w:before="0" w:after="283"/>
              <w:ind w:left="0" w:right="0" w:hanging="0"/>
              <w:rPr/>
            </w:pPr>
            <w:r>
              <w:rPr/>
              <w:t> </w:t>
            </w:r>
          </w:p>
        </w:tc>
        <w:tc>
          <w:tcPr>
            <w:tcW w:w="1115"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i/>
                <w:caps w:val="false"/>
                <w:smallCaps w:val="false"/>
                <w:sz w:val="20"/>
              </w:rPr>
              <w:t>(years)</w:t>
            </w:r>
          </w:p>
        </w:tc>
        <w:tc>
          <w:tcPr>
            <w:tcW w:w="60" w:type="dxa"/>
            <w:tcBorders/>
            <w:shd w:fill="FFFFFF"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Technology platform and patents</w:t>
            </w:r>
          </w:p>
        </w:tc>
        <w:tc>
          <w:tcPr>
            <w:tcW w:w="60"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7 - 10</w:t>
            </w:r>
          </w:p>
        </w:tc>
        <w:tc>
          <w:tcPr>
            <w:tcW w:w="60" w:type="dxa"/>
            <w:tcBorders/>
            <w:shd w:fill="CCEEFF" w:val="clear"/>
            <w:vAlign w:val="center"/>
          </w:tcPr>
          <w:p>
            <w:pPr>
              <w:pStyle w:val="TableContents"/>
              <w:spacing w:before="0" w:after="283"/>
              <w:rPr/>
            </w:pPr>
            <w:r>
              <w:rPr/>
              <w:t> </w:t>
            </w:r>
          </w:p>
        </w:tc>
      </w:tr>
      <w:tr>
        <w:trPr/>
        <w:tc>
          <w:tcPr>
            <w:tcW w:w="28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Purchased and developed software</w:t>
            </w:r>
          </w:p>
        </w:tc>
        <w:tc>
          <w:tcPr>
            <w:tcW w:w="60" w:type="dxa"/>
            <w:tcBorders/>
            <w:shd w:fill="FFFFFF" w:val="clear"/>
            <w:vAlign w:val="center"/>
          </w:tcPr>
          <w:p>
            <w:pPr>
              <w:pStyle w:val="TableContents"/>
              <w:spacing w:before="0" w:after="283"/>
              <w:rPr/>
            </w:pPr>
            <w:r>
              <w:rPr/>
              <w:t> </w:t>
            </w:r>
          </w:p>
        </w:tc>
        <w:tc>
          <w:tcPr>
            <w:tcW w:w="1115" w:type="dxa"/>
            <w:tcBorders/>
            <w:shd w:fill="FFFFFF" w:val="clear"/>
            <w:vAlign w:val="center"/>
          </w:tcPr>
          <w:p>
            <w:pPr>
              <w:pStyle w:val="TableContents"/>
              <w:spacing w:before="0" w:after="283"/>
              <w:ind w:left="0" w:right="0" w:hanging="0"/>
              <w:jc w:val="center"/>
              <w:rPr>
                <w:rFonts w:ascii="Times New Roman" w:hAnsi="Times New Roman"/>
                <w:sz w:val="20"/>
              </w:rPr>
            </w:pPr>
            <w:r>
              <w:rPr>
                <w:rFonts w:ascii="Times New Roman" w:hAnsi="Times New Roman"/>
                <w:sz w:val="20"/>
              </w:rPr>
              <w:t>3 - 5</w:t>
            </w:r>
          </w:p>
        </w:tc>
        <w:tc>
          <w:tcPr>
            <w:tcW w:w="60" w:type="dxa"/>
            <w:tcBorders/>
            <w:shd w:fill="FFFFFF"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Trade names</w:t>
            </w:r>
          </w:p>
        </w:tc>
        <w:tc>
          <w:tcPr>
            <w:tcW w:w="60"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ind w:left="0" w:right="0" w:hanging="0"/>
              <w:jc w:val="center"/>
              <w:rPr>
                <w:rFonts w:ascii="Times New Roman" w:hAnsi="Times New Roman"/>
                <w:sz w:val="20"/>
              </w:rPr>
            </w:pPr>
            <w:r>
              <w:rPr>
                <w:rFonts w:ascii="Times New Roman" w:hAnsi="Times New Roman"/>
                <w:sz w:val="20"/>
              </w:rPr>
              <w:t>3 - 5</w:t>
            </w:r>
          </w:p>
        </w:tc>
        <w:tc>
          <w:tcPr>
            <w:tcW w:w="60" w:type="dxa"/>
            <w:tcBorders/>
            <w:shd w:fill="CCEEFF" w:val="clear"/>
            <w:vAlign w:val="center"/>
          </w:tcPr>
          <w:p>
            <w:pPr>
              <w:pStyle w:val="TableContents"/>
              <w:spacing w:before="0" w:after="283"/>
              <w:rPr/>
            </w:pPr>
            <w:r>
              <w:rPr/>
              <w:t> </w:t>
            </w:r>
          </w:p>
        </w:tc>
      </w:tr>
      <w:tr>
        <w:trPr/>
        <w:tc>
          <w:tcPr>
            <w:tcW w:w="281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Customer relationships</w:t>
            </w:r>
          </w:p>
        </w:tc>
        <w:tc>
          <w:tcPr>
            <w:tcW w:w="60" w:type="dxa"/>
            <w:tcBorders/>
            <w:shd w:fill="FFFFFF" w:val="clear"/>
            <w:vAlign w:val="center"/>
          </w:tcPr>
          <w:p>
            <w:pPr>
              <w:pStyle w:val="TableContents"/>
              <w:spacing w:before="0" w:after="283"/>
              <w:rPr/>
            </w:pPr>
            <w:r>
              <w:rPr/>
              <w:t> </w:t>
            </w:r>
          </w:p>
        </w:tc>
        <w:tc>
          <w:tcPr>
            <w:tcW w:w="1115"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3 - 15</w:t>
            </w:r>
          </w:p>
        </w:tc>
        <w:tc>
          <w:tcPr>
            <w:tcW w:w="60" w:type="dxa"/>
            <w:tcBorders/>
            <w:shd w:fill="FFFFFF" w:val="clear"/>
            <w:vAlign w:val="center"/>
          </w:tcPr>
          <w:p>
            <w:pPr>
              <w:pStyle w:val="TableContents"/>
              <w:spacing w:before="0" w:after="283"/>
              <w:rPr/>
            </w:pPr>
            <w:r>
              <w:rPr/>
              <w:t> </w:t>
            </w:r>
          </w:p>
        </w:tc>
      </w:tr>
      <w:tr>
        <w:trPr/>
        <w:tc>
          <w:tcPr>
            <w:tcW w:w="28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Noncompete</w:t>
            </w:r>
          </w:p>
        </w:tc>
        <w:tc>
          <w:tcPr>
            <w:tcW w:w="60" w:type="dxa"/>
            <w:tcBorders/>
            <w:shd w:fill="FFFFFF" w:val="clear"/>
            <w:vAlign w:val="center"/>
          </w:tcPr>
          <w:p>
            <w:pPr>
              <w:pStyle w:val="TableContents"/>
              <w:spacing w:before="0" w:after="283"/>
              <w:ind w:left="0" w:right="0" w:hanging="0"/>
              <w:rPr/>
            </w:pPr>
            <w:r>
              <w:rPr/>
              <w:t> </w:t>
            </w:r>
          </w:p>
        </w:tc>
        <w:tc>
          <w:tcPr>
            <w:tcW w:w="1115"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17</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360" w:right="0" w:hanging="0"/>
        <w:rPr>
          <w:rFonts w:ascii="Times New Roman" w:hAnsi="Times New Roman"/>
          <w:i/>
          <w:caps w:val="false"/>
          <w:smallCaps w:val="false"/>
          <w:sz w:val="20"/>
        </w:rPr>
      </w:pPr>
      <w:r>
        <w:rPr>
          <w:rFonts w:ascii="Times New Roman" w:hAnsi="Times New Roman"/>
          <w:i/>
          <w:caps w:val="false"/>
          <w:smallCaps w:val="false"/>
          <w:sz w:val="20"/>
        </w:rPr>
        <w:t>Goodwill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Goodwill represents the excess of the purchase price over the fair value of net assets acquired. Goodwill is subject to an impairment review at a reporting unit level, on an annual basis as of the end of </w:t>
      </w:r>
      <w:r>
        <w:rPr>
          <w:rStyle w:val="Emphasis"/>
          <w:rFonts w:ascii="Times New Roman" w:hAnsi="Times New Roman"/>
          <w:caps w:val="false"/>
          <w:smallCaps w:val="false"/>
          <w:sz w:val="20"/>
        </w:rPr>
        <w:t xml:space="preserve">September </w:t>
      </w:r>
      <w:r>
        <w:rPr>
          <w:rFonts w:ascii="Times New Roman" w:hAnsi="Times New Roman"/>
          <w:caps w:val="false"/>
          <w:smallCaps w:val="false"/>
          <w:sz w:val="20"/>
        </w:rPr>
        <w:t xml:space="preserve">of each fiscal year, or when an event occurs, or circumstances change that would indicate potential impairment. The Company has only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reporting unit, and therefore the entire goodwill is allocated to that reporting unit.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Company assessed the carrying value of goodwill at the reporting unit level based on an estimate of the fair value of the respective reporting unit. Fair value of the reporting unit was estimated using a discounted cash flow analyses consisting of various assumptions, including expectations of future cash flows based on projections or forecasts derived from analysis of business prospects and economic or market trends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occur, specifically, the Company gave significant consideration to actual historic financial results, including revenue growth rates in the preceding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Based on the Company’s assessment, we determined that the fair value of our reporting unit exceeds its carrying value, and accordingly, the goodwill associated with the reporting unit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to be impaired at </w:t>
      </w:r>
      <w:r>
        <w:rPr>
          <w:rStyle w:val="Emphasis"/>
          <w:rFonts w:ascii="Times New Roman" w:hAnsi="Times New Roman"/>
          <w:caps w:val="false"/>
          <w:smallCaps w:val="false"/>
          <w:sz w:val="20"/>
        </w:rPr>
        <w:t>September 30, 2022.</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we concluded the decline in our market value represented an interim indicator of potential impairment.  Based on a quantitative assessment of our fair value performed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using the same approach as our annual impairment performed at </w:t>
      </w:r>
      <w:r>
        <w:rPr>
          <w:rStyle w:val="Emphasis"/>
          <w:rFonts w:ascii="Times New Roman" w:hAnsi="Times New Roman"/>
          <w:caps w:val="false"/>
          <w:smallCaps w:val="false"/>
          <w:sz w:val="20"/>
        </w:rPr>
        <w:t xml:space="preserve">September 30, </w:t>
      </w:r>
      <w:r>
        <w:rPr>
          <w:rFonts w:ascii="Times New Roman" w:hAnsi="Times New Roman"/>
          <w:caps w:val="false"/>
          <w:smallCaps w:val="false"/>
          <w:sz w:val="20"/>
        </w:rPr>
        <w:t xml:space="preserve">described above, we concluded that the carrying value of our goodwill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the reporting unit fair value.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While our overall business performance has been consistent with our expectations, both before and after the acquisition of Reflect, we believe a significant portion of the decline in our market price relates primarily to several macroeconomic factors including: (</w:t>
      </w:r>
      <w:r>
        <w:rPr>
          <w:rStyle w:val="Emphasis"/>
          <w:rFonts w:ascii="Times New Roman" w:hAnsi="Times New Roman"/>
          <w:caps w:val="false"/>
          <w:smallCaps w:val="false"/>
          <w:sz w:val="20"/>
        </w:rPr>
        <w:t>1</w:t>
      </w:r>
      <w:r>
        <w:rPr>
          <w:rFonts w:ascii="Times New Roman" w:hAnsi="Times New Roman"/>
          <w:caps w:val="false"/>
          <w:smallCaps w:val="false"/>
          <w:sz w:val="20"/>
        </w:rPr>
        <w:t>) market wide recessionary fears, (</w:t>
      </w:r>
      <w:r>
        <w:rPr>
          <w:rStyle w:val="Emphasis"/>
          <w:rFonts w:ascii="Times New Roman" w:hAnsi="Times New Roman"/>
          <w:caps w:val="false"/>
          <w:smallCaps w:val="false"/>
          <w:sz w:val="20"/>
        </w:rPr>
        <w:t>2</w:t>
      </w:r>
      <w:r>
        <w:rPr>
          <w:rFonts w:ascii="Times New Roman" w:hAnsi="Times New Roman"/>
          <w:caps w:val="false"/>
          <w:smallCaps w:val="false"/>
          <w:sz w:val="20"/>
        </w:rPr>
        <w:t>) rapid inflation fears, which often have an outsized, direct negative impact on the share price of high-growth companies with limited or negative cash flow from operations, (</w:t>
      </w:r>
      <w:r>
        <w:rPr>
          <w:rStyle w:val="Emphasis"/>
          <w:rFonts w:ascii="Times New Roman" w:hAnsi="Times New Roman"/>
          <w:caps w:val="false"/>
          <w:smallCaps w:val="false"/>
          <w:sz w:val="20"/>
        </w:rPr>
        <w:t>3</w:t>
      </w:r>
      <w:r>
        <w:rPr>
          <w:rFonts w:ascii="Times New Roman" w:hAnsi="Times New Roman"/>
          <w:caps w:val="false"/>
          <w:smallCaps w:val="false"/>
          <w:sz w:val="20"/>
        </w:rPr>
        <w:t>) a lack of comprehension by the markets of the recent Merger with Reflect and related financing transaction, and (</w:t>
      </w:r>
      <w:r>
        <w:rPr>
          <w:rStyle w:val="Emphasis"/>
          <w:rFonts w:ascii="Times New Roman" w:hAnsi="Times New Roman"/>
          <w:caps w:val="false"/>
          <w:smallCaps w:val="false"/>
          <w:sz w:val="20"/>
        </w:rPr>
        <w:t>4</w:t>
      </w:r>
      <w:r>
        <w:rPr>
          <w:rFonts w:ascii="Times New Roman" w:hAnsi="Times New Roman"/>
          <w:caps w:val="false"/>
          <w:smallCaps w:val="false"/>
          <w:sz w:val="20"/>
        </w:rPr>
        <w:t>) the sale of over </w:t>
      </w:r>
      <w:r>
        <w:rPr>
          <w:rStyle w:val="Emphasis"/>
          <w:rFonts w:ascii="Times New Roman" w:hAnsi="Times New Roman"/>
          <w:caps w:val="false"/>
          <w:smallCaps w:val="false"/>
          <w:sz w:val="20"/>
        </w:rPr>
        <w:t>2,333,334</w:t>
      </w:r>
      <w:r>
        <w:rPr>
          <w:rFonts w:ascii="Times New Roman" w:hAnsi="Times New Roman"/>
          <w:caps w:val="false"/>
          <w:smallCaps w:val="false"/>
          <w:sz w:val="20"/>
        </w:rPr>
        <w:t xml:space="preserve"> shares of our common stock into the market by a new investor, resulting in significant negative volume and price pressure on the stock unrelated to the Company fundamentals.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these factors are consistent with or reflective of the underlying value of the business, and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indicators of potential impairment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Should our market price remain at this level for an extended period of time; however, there could be potential future impairment.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Company recognizes that any changes in our projected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future results could potentially have a material impact on our assessment of goodwill impairment. The Company will continue to monitor the actual performance of its operations against expectations and assess further indicators of possible impairment. The valuation of goodwill and intangible assets is subject to a high degree of judgment, uncertainty and complexity. Should any indicators of impairment occur in subsequent periods, the Company will be required to perform an analysis in order to determine whether goodwill is impaired.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18</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bookmarkStart w:id="46" w:name="note8"/>
      <w:bookmarkEnd w:id="46"/>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8:</w:t>
      </w:r>
      <w:r>
        <w:rPr>
          <w:rFonts w:ascii="Times New Roman" w:hAnsi="Times New Roman"/>
          <w:b/>
          <w:caps w:val="false"/>
          <w:smallCaps w:val="false"/>
          <w:sz w:val="20"/>
          <w:u w:val="single"/>
        </w:rPr>
        <w:t xml:space="preserve"> LOANS PAYABLE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outstanding debt with detachable warrants, as applicable, are shown in the table below. Further discussion of the notes follows.</w:t>
      </w:r>
    </w:p>
    <w:p>
      <w:pPr>
        <w:pStyle w:val="TextBody"/>
        <w:spacing w:before="0" w:after="0"/>
        <w:ind w:left="0" w:right="0" w:hanging="0"/>
        <w:rPr>
          <w:caps w:val="false"/>
          <w:smallCaps w:val="false"/>
        </w:rPr>
      </w:pPr>
      <w:r>
        <w:rPr>
          <w:caps w:val="false"/>
          <w:smallCaps w:val="false"/>
        </w:rPr>
        <w:t> </w:t>
      </w:r>
    </w:p>
    <w:tbl>
      <w:tblPr>
        <w:tblW w:w="7025" w:type="dxa"/>
        <w:jc w:val="left"/>
        <w:tblInd w:w="0" w:type="dxa"/>
        <w:tblCellMar>
          <w:top w:w="0" w:type="dxa"/>
          <w:left w:w="0" w:type="dxa"/>
          <w:bottom w:w="0" w:type="dxa"/>
          <w:right w:w="0" w:type="dxa"/>
        </w:tblCellMar>
      </w:tblPr>
      <w:tblGrid>
        <w:gridCol w:w="890"/>
        <w:gridCol w:w="1880"/>
        <w:gridCol w:w="60"/>
        <w:gridCol w:w="139"/>
        <w:gridCol w:w="661"/>
        <w:gridCol w:w="80"/>
        <w:gridCol w:w="875"/>
        <w:gridCol w:w="60"/>
        <w:gridCol w:w="60"/>
        <w:gridCol w:w="845"/>
        <w:gridCol w:w="60"/>
        <w:gridCol w:w="1415"/>
      </w:tblGrid>
      <w:tr>
        <w:trPr/>
        <w:tc>
          <w:tcPr>
            <w:tcW w:w="7025" w:type="dxa"/>
            <w:gridSpan w:val="12"/>
            <w:tcBorders/>
            <w:shd w:fill="FFFFFF" w:val="clear"/>
            <w:vAlign w:val="center"/>
          </w:tcPr>
          <w:p>
            <w:pPr>
              <w:pStyle w:val="TableContents"/>
              <w:spacing w:before="0" w:after="0"/>
              <w:ind w:left="0" w:right="0" w:hanging="0"/>
              <w:jc w:val="center"/>
              <w:rPr/>
            </w:pPr>
            <w:r>
              <w:rPr>
                <w:rStyle w:val="Emphasis"/>
                <w:rFonts w:ascii="Times New Roman" w:hAnsi="Times New Roman"/>
                <w:i/>
                <w:caps w:val="false"/>
                <w:smallCaps w:val="false"/>
                <w:sz w:val="20"/>
              </w:rPr>
              <w:t>As of December 31, 2022</w:t>
            </w:r>
          </w:p>
        </w:tc>
      </w:tr>
      <w:tr>
        <w:trPr/>
        <w:tc>
          <w:tcPr>
            <w:tcW w:w="890" w:type="dxa"/>
            <w:tcBorders/>
            <w:shd w:fill="FFFFFF" w:val="clear"/>
            <w:vAlign w:val="center"/>
          </w:tcPr>
          <w:p>
            <w:pPr>
              <w:pStyle w:val="TableContents"/>
              <w:spacing w:before="0" w:after="283"/>
              <w:ind w:left="0" w:right="0" w:hanging="0"/>
              <w:rPr/>
            </w:pPr>
            <w:r>
              <w:rPr/>
              <w:t> </w:t>
            </w:r>
          </w:p>
        </w:tc>
        <w:tc>
          <w:tcPr>
            <w:tcW w:w="1880" w:type="dxa"/>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Issuance</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661"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Maturity</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ind w:left="0" w:right="0" w:hanging="0"/>
              <w:rPr/>
            </w:pPr>
            <w:r>
              <w:rPr/>
              <w:t> </w:t>
            </w:r>
          </w:p>
        </w:tc>
        <w:tc>
          <w:tcPr>
            <w:tcW w:w="1415" w:type="dxa"/>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Interest Rate</w:t>
            </w:r>
          </w:p>
        </w:tc>
      </w:tr>
      <w:tr>
        <w:trPr/>
        <w:tc>
          <w:tcPr>
            <w:tcW w:w="890"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Debt Type</w:t>
            </w:r>
          </w:p>
        </w:tc>
        <w:tc>
          <w:tcPr>
            <w:tcW w:w="1880"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Date</w:t>
            </w:r>
          </w:p>
        </w:tc>
        <w:tc>
          <w:tcPr>
            <w:tcW w:w="60" w:type="dxa"/>
            <w:tcBorders/>
            <w:shd w:fill="FFFFFF" w:val="clear"/>
            <w:vAlign w:val="center"/>
          </w:tcPr>
          <w:p>
            <w:pPr>
              <w:pStyle w:val="TableContents"/>
              <w:spacing w:before="0" w:after="283"/>
              <w:ind w:left="0" w:right="0" w:hanging="0"/>
              <w:rPr/>
            </w:pPr>
            <w:r>
              <w:rPr/>
              <w:t> </w:t>
            </w:r>
          </w:p>
        </w:tc>
        <w:tc>
          <w:tcPr>
            <w:tcW w:w="80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Principal</w:t>
            </w:r>
          </w:p>
        </w:tc>
        <w:tc>
          <w:tcPr>
            <w:tcW w:w="80" w:type="dxa"/>
            <w:tcBorders/>
            <w:shd w:fill="FFFFFF" w:val="clear"/>
            <w:vAlign w:val="center"/>
          </w:tcPr>
          <w:p>
            <w:pPr>
              <w:pStyle w:val="TableContents"/>
              <w:spacing w:before="0" w:after="283"/>
              <w:ind w:left="0" w:right="0" w:hanging="0"/>
              <w:rPr/>
            </w:pPr>
            <w:r>
              <w:rPr/>
              <w:t> </w:t>
            </w:r>
          </w:p>
        </w:tc>
        <w:tc>
          <w:tcPr>
            <w:tcW w:w="875"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Date</w:t>
            </w:r>
          </w:p>
        </w:tc>
        <w:tc>
          <w:tcPr>
            <w:tcW w:w="60" w:type="dxa"/>
            <w:tcBorders/>
            <w:shd w:fill="FFFFFF" w:val="clear"/>
            <w:vAlign w:val="center"/>
          </w:tcPr>
          <w:p>
            <w:pPr>
              <w:pStyle w:val="TableContents"/>
              <w:spacing w:before="0" w:after="283"/>
              <w:ind w:left="0" w:right="0" w:hanging="0"/>
              <w:rPr/>
            </w:pPr>
            <w:r>
              <w:rPr/>
              <w:t> </w:t>
            </w:r>
          </w:p>
        </w:tc>
        <w:tc>
          <w:tcPr>
            <w:tcW w:w="90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Warrants</w:t>
            </w:r>
          </w:p>
        </w:tc>
        <w:tc>
          <w:tcPr>
            <w:tcW w:w="60" w:type="dxa"/>
            <w:tcBorders/>
            <w:shd w:fill="FFFFFF" w:val="clear"/>
            <w:vAlign w:val="center"/>
          </w:tcPr>
          <w:p>
            <w:pPr>
              <w:pStyle w:val="TableContents"/>
              <w:spacing w:before="0" w:after="283"/>
              <w:ind w:left="0" w:right="0" w:hanging="0"/>
              <w:rPr/>
            </w:pPr>
            <w:r>
              <w:rPr/>
              <w:t> </w:t>
            </w:r>
          </w:p>
        </w:tc>
        <w:tc>
          <w:tcPr>
            <w:tcW w:w="1415"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Information</w:t>
            </w:r>
          </w:p>
        </w:tc>
      </w:tr>
      <w:tr>
        <w:trPr/>
        <w:tc>
          <w:tcPr>
            <w:tcW w:w="89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w:t>
            </w:r>
          </w:p>
        </w:tc>
        <w:tc>
          <w:tcPr>
            <w:tcW w:w="188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2/17/2022</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10,000</w:t>
            </w:r>
          </w:p>
        </w:tc>
        <w:tc>
          <w:tcPr>
            <w:tcW w:w="80"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2/15/2025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833,334</w:t>
            </w:r>
          </w:p>
        </w:tc>
        <w:tc>
          <w:tcPr>
            <w:tcW w:w="60" w:type="dxa"/>
            <w:tcBorders/>
            <w:shd w:fill="CCEEFF" w:val="clear"/>
            <w:vAlign w:val="center"/>
          </w:tcPr>
          <w:p>
            <w:pPr>
              <w:pStyle w:val="TableContents"/>
              <w:spacing w:before="0" w:after="283"/>
              <w:ind w:left="0" w:right="0" w:hanging="0"/>
              <w:rPr/>
            </w:pPr>
            <w:r>
              <w:rPr/>
              <w:t> </w:t>
            </w:r>
          </w:p>
        </w:tc>
        <w:tc>
          <w:tcPr>
            <w:tcW w:w="1415" w:type="dxa"/>
            <w:tcBorders/>
            <w:shd w:fill="CCEEFF" w:val="clear"/>
            <w:vAlign w:val="center"/>
          </w:tcPr>
          <w:p>
            <w:pPr>
              <w:pStyle w:val="TableContents"/>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8.0% interest(1)</w:t>
            </w:r>
          </w:p>
        </w:tc>
      </w:tr>
      <w:tr>
        <w:trPr/>
        <w:tc>
          <w:tcPr>
            <w:tcW w:w="890"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w:t>
            </w:r>
          </w:p>
        </w:tc>
        <w:tc>
          <w:tcPr>
            <w:tcW w:w="1880"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2/17/2022</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66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1,456</w:t>
            </w:r>
          </w:p>
        </w:tc>
        <w:tc>
          <w:tcPr>
            <w:tcW w:w="80"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2/17/2024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415" w:type="dxa"/>
            <w:tcBorders/>
            <w:shd w:fill="FFFFFF" w:val="clear"/>
            <w:vAlign w:val="center"/>
          </w:tcPr>
          <w:p>
            <w:pPr>
              <w:pStyle w:val="TableContents"/>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0.59% interest(2)</w:t>
            </w:r>
          </w:p>
        </w:tc>
      </w:tr>
      <w:tr>
        <w:trPr/>
        <w:tc>
          <w:tcPr>
            <w:tcW w:w="89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w:t>
            </w:r>
          </w:p>
        </w:tc>
        <w:tc>
          <w:tcPr>
            <w:tcW w:w="188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2/17/2022</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6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7,185</w:t>
            </w:r>
          </w:p>
        </w:tc>
        <w:tc>
          <w:tcPr>
            <w:tcW w:w="80"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2/15/2025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898,165</w:t>
            </w:r>
          </w:p>
        </w:tc>
        <w:tc>
          <w:tcPr>
            <w:tcW w:w="60" w:type="dxa"/>
            <w:tcBorders/>
            <w:shd w:fill="CCEEFF" w:val="clear"/>
            <w:vAlign w:val="center"/>
          </w:tcPr>
          <w:p>
            <w:pPr>
              <w:pStyle w:val="TableContents"/>
              <w:spacing w:before="0" w:after="283"/>
              <w:ind w:left="0" w:right="0" w:hanging="0"/>
              <w:rPr/>
            </w:pPr>
            <w:r>
              <w:rPr/>
              <w:t> </w:t>
            </w:r>
          </w:p>
        </w:tc>
        <w:tc>
          <w:tcPr>
            <w:tcW w:w="1415" w:type="dxa"/>
            <w:tcBorders/>
            <w:shd w:fill="CCEEFF" w:val="clear"/>
            <w:vAlign w:val="center"/>
          </w:tcPr>
          <w:p>
            <w:pPr>
              <w:pStyle w:val="TableContents"/>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 interest(3)</w:t>
            </w:r>
          </w:p>
        </w:tc>
      </w:tr>
      <w:tr>
        <w:trPr/>
        <w:tc>
          <w:tcPr>
            <w:tcW w:w="890"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w:t>
            </w:r>
          </w:p>
        </w:tc>
        <w:tc>
          <w:tcPr>
            <w:tcW w:w="1880"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10/31/2022</w:t>
            </w:r>
          </w:p>
        </w:tc>
        <w:tc>
          <w:tcPr>
            <w:tcW w:w="60" w:type="dxa"/>
            <w:tcBorders/>
            <w:shd w:fill="FFFFFF" w:val="clear"/>
            <w:vAlign w:val="center"/>
          </w:tcPr>
          <w:p>
            <w:pPr>
              <w:pStyle w:val="TableContents"/>
              <w:spacing w:before="0" w:after="283"/>
              <w:rPr/>
            </w:pPr>
            <w:r>
              <w:rPr/>
              <w:t> </w:t>
            </w:r>
          </w:p>
        </w:tc>
        <w:tc>
          <w:tcPr>
            <w:tcW w:w="13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w:t>
            </w:r>
          </w:p>
        </w:tc>
        <w:tc>
          <w:tcPr>
            <w:tcW w:w="80"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9/1/2023</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415" w:type="dxa"/>
            <w:tcBorders/>
            <w:shd w:fill="FFFFFF" w:val="clear"/>
            <w:vAlign w:val="center"/>
          </w:tcPr>
          <w:p>
            <w:pPr>
              <w:pStyle w:val="TableContents"/>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12.5% interest(4)</w:t>
            </w:r>
          </w:p>
        </w:tc>
      </w:tr>
      <w:tr>
        <w:trPr/>
        <w:tc>
          <w:tcPr>
            <w:tcW w:w="890" w:type="dxa"/>
            <w:tcBorders/>
            <w:shd w:fill="CCEEFF" w:val="clear"/>
            <w:vAlign w:val="center"/>
          </w:tcPr>
          <w:p>
            <w:pPr>
              <w:pStyle w:val="TableContents"/>
              <w:spacing w:before="0" w:after="283"/>
              <w:ind w:left="0" w:right="0" w:hanging="0"/>
              <w:rPr/>
            </w:pPr>
            <w:r>
              <w:rPr/>
              <w:t> </w:t>
            </w:r>
          </w:p>
        </w:tc>
        <w:tc>
          <w:tcPr>
            <w:tcW w:w="1880" w:type="dxa"/>
            <w:tcBorders/>
            <w:shd w:fill="CCEE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Total debt, gross</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6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20,641</w:t>
            </w:r>
          </w:p>
        </w:tc>
        <w:tc>
          <w:tcPr>
            <w:tcW w:w="8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1,731,499</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rStyle w:val="Emphasis"/>
              </w:rPr>
              <w:t> </w:t>
            </w:r>
          </w:p>
        </w:tc>
      </w:tr>
      <w:tr>
        <w:trPr/>
        <w:tc>
          <w:tcPr>
            <w:tcW w:w="890" w:type="dxa"/>
            <w:tcBorders/>
            <w:shd w:fill="FFFFFF" w:val="clear"/>
            <w:vAlign w:val="center"/>
          </w:tcPr>
          <w:p>
            <w:pPr>
              <w:pStyle w:val="TableContents"/>
              <w:spacing w:before="0" w:after="283"/>
              <w:ind w:left="0" w:right="0" w:hanging="0"/>
              <w:rPr/>
            </w:pPr>
            <w:r>
              <w:rPr/>
              <w:t> </w:t>
            </w:r>
          </w:p>
        </w:tc>
        <w:tc>
          <w:tcPr>
            <w:tcW w:w="1880" w:type="dxa"/>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Debt discount</w:t>
            </w:r>
          </w:p>
        </w:tc>
        <w:tc>
          <w:tcPr>
            <w:tcW w:w="60" w:type="dxa"/>
            <w:tcBorders/>
            <w:shd w:fill="FFFFFF" w:val="clear"/>
            <w:vAlign w:val="center"/>
          </w:tcPr>
          <w:p>
            <w:pPr>
              <w:pStyle w:val="TableContents"/>
              <w:spacing w:before="0" w:after="283"/>
              <w:rPr/>
            </w:pPr>
            <w:r>
              <w:rPr/>
              <w:t> </w:t>
            </w:r>
          </w:p>
        </w:tc>
        <w:tc>
          <w:tcPr>
            <w:tcW w:w="13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(3,069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75"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1415" w:type="dxa"/>
            <w:tcBorders/>
            <w:shd w:fill="FFFFFF" w:val="clear"/>
            <w:vAlign w:val="center"/>
          </w:tcPr>
          <w:p>
            <w:pPr>
              <w:pStyle w:val="TableContents"/>
              <w:spacing w:before="0" w:after="283"/>
              <w:rPr/>
            </w:pPr>
            <w:r>
              <w:rPr>
                <w:rStyle w:val="Emphasis"/>
              </w:rPr>
              <w:t> </w:t>
            </w:r>
          </w:p>
        </w:tc>
      </w:tr>
      <w:tr>
        <w:trPr/>
        <w:tc>
          <w:tcPr>
            <w:tcW w:w="890" w:type="dxa"/>
            <w:tcBorders/>
            <w:shd w:fill="CCEEFF" w:val="clear"/>
            <w:vAlign w:val="center"/>
          </w:tcPr>
          <w:p>
            <w:pPr>
              <w:pStyle w:val="TableContents"/>
              <w:spacing w:before="0" w:after="283"/>
              <w:ind w:left="0" w:right="0" w:hanging="0"/>
              <w:rPr/>
            </w:pPr>
            <w:r>
              <w:rPr/>
              <w:t> </w:t>
            </w:r>
          </w:p>
        </w:tc>
        <w:tc>
          <w:tcPr>
            <w:tcW w:w="1880" w:type="dxa"/>
            <w:tcBorders/>
            <w:shd w:fill="CCEE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Total debt, net</w:t>
            </w:r>
          </w:p>
        </w:tc>
        <w:tc>
          <w:tcPr>
            <w:tcW w:w="60" w:type="dxa"/>
            <w:tcBorders/>
            <w:shd w:fill="CCEEFF" w:val="clear"/>
            <w:vAlign w:val="center"/>
          </w:tcPr>
          <w:p>
            <w:pPr>
              <w:pStyle w:val="TableContents"/>
              <w:spacing w:before="0" w:after="283"/>
              <w:ind w:left="0" w:right="0" w:hanging="0"/>
              <w:rPr/>
            </w:pPr>
            <w:r>
              <w:rPr/>
              <w:t> </w:t>
            </w:r>
          </w:p>
        </w:tc>
        <w:tc>
          <w:tcPr>
            <w:tcW w:w="13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17,572</w:t>
            </w:r>
          </w:p>
        </w:tc>
        <w:tc>
          <w:tcPr>
            <w:tcW w:w="8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rStyle w:val="Emphasis"/>
              </w:rPr>
              <w:t> </w:t>
            </w:r>
          </w:p>
        </w:tc>
      </w:tr>
      <w:tr>
        <w:trPr/>
        <w:tc>
          <w:tcPr>
            <w:tcW w:w="890" w:type="dxa"/>
            <w:tcBorders/>
            <w:shd w:fill="FFFFFF" w:val="clear"/>
            <w:vAlign w:val="center"/>
          </w:tcPr>
          <w:p>
            <w:pPr>
              <w:pStyle w:val="TableContents"/>
              <w:spacing w:before="0" w:after="283"/>
              <w:ind w:left="0" w:right="0" w:hanging="0"/>
              <w:rPr/>
            </w:pPr>
            <w:r>
              <w:rPr/>
              <w:t> </w:t>
            </w:r>
          </w:p>
        </w:tc>
        <w:tc>
          <w:tcPr>
            <w:tcW w:w="1880" w:type="dxa"/>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Less current maturities</w:t>
            </w:r>
          </w:p>
        </w:tc>
        <w:tc>
          <w:tcPr>
            <w:tcW w:w="60" w:type="dxa"/>
            <w:tcBorders/>
            <w:shd w:fill="FFFFFF" w:val="clear"/>
            <w:vAlign w:val="center"/>
          </w:tcPr>
          <w:p>
            <w:pPr>
              <w:pStyle w:val="TableContents"/>
              <w:spacing w:before="0" w:after="283"/>
              <w:rPr/>
            </w:pPr>
            <w:r>
              <w:rPr/>
              <w:t> </w:t>
            </w:r>
          </w:p>
        </w:tc>
        <w:tc>
          <w:tcPr>
            <w:tcW w:w="13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(4,499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75"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1415" w:type="dxa"/>
            <w:tcBorders/>
            <w:shd w:fill="FFFFFF" w:val="clear"/>
            <w:vAlign w:val="center"/>
          </w:tcPr>
          <w:p>
            <w:pPr>
              <w:pStyle w:val="TableContents"/>
              <w:spacing w:before="0" w:after="283"/>
              <w:rPr/>
            </w:pPr>
            <w:r>
              <w:rPr>
                <w:rStyle w:val="Emphasis"/>
              </w:rPr>
              <w:t> </w:t>
            </w:r>
          </w:p>
        </w:tc>
      </w:tr>
      <w:tr>
        <w:trPr/>
        <w:tc>
          <w:tcPr>
            <w:tcW w:w="890" w:type="dxa"/>
            <w:tcBorders/>
            <w:shd w:fill="CCEEFF" w:val="clear"/>
            <w:vAlign w:val="center"/>
          </w:tcPr>
          <w:p>
            <w:pPr>
              <w:pStyle w:val="TableContents"/>
              <w:spacing w:before="0" w:after="283"/>
              <w:ind w:left="0" w:right="0" w:hanging="0"/>
              <w:rPr/>
            </w:pPr>
            <w:r>
              <w:rPr/>
              <w:t> </w:t>
            </w:r>
          </w:p>
        </w:tc>
        <w:tc>
          <w:tcPr>
            <w:tcW w:w="1880" w:type="dxa"/>
            <w:tcBorders/>
            <w:shd w:fill="CCEE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Long term debt</w:t>
            </w:r>
          </w:p>
        </w:tc>
        <w:tc>
          <w:tcPr>
            <w:tcW w:w="60" w:type="dxa"/>
            <w:tcBorders/>
            <w:shd w:fill="CCEEFF" w:val="clear"/>
            <w:vAlign w:val="center"/>
          </w:tcPr>
          <w:p>
            <w:pPr>
              <w:pStyle w:val="TableContents"/>
              <w:spacing w:before="0" w:after="283"/>
              <w:rPr/>
            </w:pPr>
            <w:r>
              <w:rPr/>
              <w:t> </w:t>
            </w:r>
          </w:p>
        </w:tc>
        <w:tc>
          <w:tcPr>
            <w:tcW w:w="13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13,073</w:t>
            </w:r>
          </w:p>
        </w:tc>
        <w:tc>
          <w:tcPr>
            <w:tcW w:w="8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rStyle w:val="Emphasis"/>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rStyle w:val="Emphasis"/>
              </w:rPr>
              <w:t> </w:t>
            </w:r>
          </w:p>
        </w:tc>
      </w:tr>
    </w:tbl>
    <w:p>
      <w:pPr>
        <w:pStyle w:val="TextBody"/>
        <w:spacing w:before="0" w:after="0"/>
        <w:rPr/>
      </w:pPr>
      <w:r>
        <w:rPr/>
        <w:t xml:space="preserve">  </w:t>
      </w:r>
    </w:p>
    <w:tbl>
      <w:tblPr>
        <w:tblW w:w="6920" w:type="dxa"/>
        <w:jc w:val="left"/>
        <w:tblInd w:w="0" w:type="dxa"/>
        <w:tblCellMar>
          <w:top w:w="0" w:type="dxa"/>
          <w:left w:w="0" w:type="dxa"/>
          <w:bottom w:w="0" w:type="dxa"/>
          <w:right w:w="0" w:type="dxa"/>
        </w:tblCellMar>
      </w:tblPr>
      <w:tblGrid>
        <w:gridCol w:w="890"/>
        <w:gridCol w:w="1880"/>
        <w:gridCol w:w="60"/>
        <w:gridCol w:w="163"/>
        <w:gridCol w:w="637"/>
        <w:gridCol w:w="80"/>
        <w:gridCol w:w="875"/>
        <w:gridCol w:w="60"/>
        <w:gridCol w:w="63"/>
        <w:gridCol w:w="737"/>
        <w:gridCol w:w="60"/>
        <w:gridCol w:w="1415"/>
      </w:tblGrid>
      <w:tr>
        <w:trPr/>
        <w:tc>
          <w:tcPr>
            <w:tcW w:w="6920" w:type="dxa"/>
            <w:gridSpan w:val="12"/>
            <w:tcBorders/>
            <w:shd w:fill="FFFFFF" w:val="clear"/>
            <w:vAlign w:val="center"/>
          </w:tcPr>
          <w:p>
            <w:pPr>
              <w:pStyle w:val="TableContents"/>
              <w:spacing w:before="0" w:after="0"/>
              <w:ind w:left="0" w:right="0" w:hanging="0"/>
              <w:jc w:val="center"/>
              <w:rPr/>
            </w:pPr>
            <w:r>
              <w:rPr>
                <w:rStyle w:val="Emphasis"/>
                <w:rFonts w:ascii="Times New Roman" w:hAnsi="Times New Roman"/>
                <w:i/>
                <w:caps w:val="false"/>
                <w:smallCaps w:val="false"/>
                <w:sz w:val="20"/>
              </w:rPr>
              <w:t>As of December 31, 2021</w:t>
            </w:r>
          </w:p>
        </w:tc>
      </w:tr>
      <w:tr>
        <w:trPr/>
        <w:tc>
          <w:tcPr>
            <w:tcW w:w="890" w:type="dxa"/>
            <w:tcBorders/>
            <w:shd w:fill="FFFFFF" w:val="clear"/>
            <w:vAlign w:val="center"/>
          </w:tcPr>
          <w:p>
            <w:pPr>
              <w:pStyle w:val="TableContents"/>
              <w:spacing w:before="0" w:after="283"/>
              <w:ind w:left="0" w:right="0" w:hanging="0"/>
              <w:rPr/>
            </w:pPr>
            <w:r>
              <w:rPr/>
              <w:t> </w:t>
            </w:r>
          </w:p>
        </w:tc>
        <w:tc>
          <w:tcPr>
            <w:tcW w:w="1880" w:type="dxa"/>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Issuance</w:t>
            </w:r>
          </w:p>
        </w:tc>
        <w:tc>
          <w:tcPr>
            <w:tcW w:w="60" w:type="dxa"/>
            <w:tcBorders/>
            <w:shd w:fill="FFFFFF" w:val="clear"/>
            <w:vAlign w:val="center"/>
          </w:tcPr>
          <w:p>
            <w:pPr>
              <w:pStyle w:val="TableContents"/>
              <w:spacing w:before="0" w:after="283"/>
              <w:rPr/>
            </w:pPr>
            <w:r>
              <w:rPr/>
              <w:t> </w:t>
            </w:r>
          </w:p>
        </w:tc>
        <w:tc>
          <w:tcPr>
            <w:tcW w:w="163" w:type="dxa"/>
            <w:tcBorders/>
            <w:shd w:fill="FFFFFF" w:val="clear"/>
            <w:vAlign w:val="center"/>
          </w:tcPr>
          <w:p>
            <w:pPr>
              <w:pStyle w:val="TableContents"/>
              <w:spacing w:before="0" w:after="283"/>
              <w:rPr/>
            </w:pPr>
            <w:r>
              <w:rPr/>
              <w:t> </w:t>
            </w:r>
          </w:p>
        </w:tc>
        <w:tc>
          <w:tcPr>
            <w:tcW w:w="637"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Maturity</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c>
          <w:tcPr>
            <w:tcW w:w="737"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ind w:left="0" w:right="0" w:hanging="0"/>
              <w:rPr/>
            </w:pPr>
            <w:r>
              <w:rPr/>
              <w:t> </w:t>
            </w:r>
          </w:p>
        </w:tc>
        <w:tc>
          <w:tcPr>
            <w:tcW w:w="1415" w:type="dxa"/>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Interest Rate</w:t>
            </w:r>
          </w:p>
        </w:tc>
      </w:tr>
      <w:tr>
        <w:trPr/>
        <w:tc>
          <w:tcPr>
            <w:tcW w:w="890"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Debt Type</w:t>
            </w:r>
          </w:p>
        </w:tc>
        <w:tc>
          <w:tcPr>
            <w:tcW w:w="1880"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Date</w:t>
            </w:r>
          </w:p>
        </w:tc>
        <w:tc>
          <w:tcPr>
            <w:tcW w:w="60" w:type="dxa"/>
            <w:tcBorders/>
            <w:shd w:fill="FFFFFF" w:val="clear"/>
            <w:vAlign w:val="center"/>
          </w:tcPr>
          <w:p>
            <w:pPr>
              <w:pStyle w:val="TableContents"/>
              <w:spacing w:before="0" w:after="283"/>
              <w:ind w:left="0" w:right="0" w:hanging="0"/>
              <w:rPr/>
            </w:pPr>
            <w:r>
              <w:rPr/>
              <w:t> </w:t>
            </w:r>
          </w:p>
        </w:tc>
        <w:tc>
          <w:tcPr>
            <w:tcW w:w="80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Principal</w:t>
            </w:r>
          </w:p>
        </w:tc>
        <w:tc>
          <w:tcPr>
            <w:tcW w:w="80" w:type="dxa"/>
            <w:tcBorders/>
            <w:shd w:fill="FFFFFF" w:val="clear"/>
            <w:vAlign w:val="center"/>
          </w:tcPr>
          <w:p>
            <w:pPr>
              <w:pStyle w:val="TableContents"/>
              <w:spacing w:before="0" w:after="283"/>
              <w:ind w:left="0" w:right="0" w:hanging="0"/>
              <w:rPr/>
            </w:pPr>
            <w:r>
              <w:rPr/>
              <w:t> </w:t>
            </w:r>
          </w:p>
        </w:tc>
        <w:tc>
          <w:tcPr>
            <w:tcW w:w="875"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Date</w:t>
            </w:r>
          </w:p>
        </w:tc>
        <w:tc>
          <w:tcPr>
            <w:tcW w:w="60" w:type="dxa"/>
            <w:tcBorders/>
            <w:shd w:fill="FFFFFF" w:val="clear"/>
            <w:vAlign w:val="center"/>
          </w:tcPr>
          <w:p>
            <w:pPr>
              <w:pStyle w:val="TableContents"/>
              <w:spacing w:before="0" w:after="283"/>
              <w:ind w:left="0" w:right="0" w:hanging="0"/>
              <w:rPr/>
            </w:pPr>
            <w:r>
              <w:rPr/>
              <w:t> </w:t>
            </w:r>
          </w:p>
        </w:tc>
        <w:tc>
          <w:tcPr>
            <w:tcW w:w="80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Warrants</w:t>
            </w:r>
          </w:p>
        </w:tc>
        <w:tc>
          <w:tcPr>
            <w:tcW w:w="60" w:type="dxa"/>
            <w:tcBorders/>
            <w:shd w:fill="FFFFFF" w:val="clear"/>
            <w:vAlign w:val="center"/>
          </w:tcPr>
          <w:p>
            <w:pPr>
              <w:pStyle w:val="TableContents"/>
              <w:spacing w:before="0" w:after="283"/>
              <w:ind w:left="0" w:right="0" w:hanging="0"/>
              <w:rPr/>
            </w:pPr>
            <w:r>
              <w:rPr/>
              <w:t> </w:t>
            </w:r>
          </w:p>
        </w:tc>
        <w:tc>
          <w:tcPr>
            <w:tcW w:w="1415"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Information</w:t>
            </w:r>
          </w:p>
        </w:tc>
      </w:tr>
      <w:tr>
        <w:trPr/>
        <w:tc>
          <w:tcPr>
            <w:tcW w:w="89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w:t>
            </w:r>
          </w:p>
        </w:tc>
        <w:tc>
          <w:tcPr>
            <w:tcW w:w="188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8/17/2016</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4,767</w:t>
            </w:r>
          </w:p>
        </w:tc>
        <w:tc>
          <w:tcPr>
            <w:tcW w:w="80" w:type="dxa"/>
            <w:tcBorders/>
            <w:shd w:fill="CCEEFF" w:val="clear"/>
            <w:vAlign w:val="center"/>
          </w:tcPr>
          <w:p>
            <w:pPr>
              <w:pStyle w:val="TableContents"/>
              <w:spacing w:before="0" w:after="283"/>
              <w:ind w:left="0" w:right="0" w:hanging="0"/>
              <w:rPr/>
            </w:pPr>
            <w:r>
              <w:rPr/>
              <w:t> </w:t>
            </w:r>
          </w:p>
        </w:tc>
        <w:tc>
          <w:tcPr>
            <w:tcW w:w="875"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2/17/2025</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196,079</w:t>
            </w:r>
          </w:p>
        </w:tc>
        <w:tc>
          <w:tcPr>
            <w:tcW w:w="60" w:type="dxa"/>
            <w:tcBorders/>
            <w:shd w:fill="CCEEFF" w:val="clear"/>
            <w:vAlign w:val="center"/>
          </w:tcPr>
          <w:p>
            <w:pPr>
              <w:pStyle w:val="TableContents"/>
              <w:spacing w:before="0" w:after="283"/>
              <w:ind w:left="0" w:right="0" w:hanging="0"/>
              <w:rPr/>
            </w:pPr>
            <w:r>
              <w:rPr/>
              <w:t> </w:t>
            </w:r>
          </w:p>
        </w:tc>
        <w:tc>
          <w:tcPr>
            <w:tcW w:w="1415" w:type="dxa"/>
            <w:tcBorders/>
            <w:shd w:fill="CCEEFF" w:val="clear"/>
            <w:vAlign w:val="center"/>
          </w:tcPr>
          <w:p>
            <w:pPr>
              <w:pStyle w:val="TableContents"/>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8.0% interest(5)</w:t>
            </w:r>
          </w:p>
        </w:tc>
      </w:tr>
      <w:tr>
        <w:trPr/>
        <w:tc>
          <w:tcPr>
            <w:tcW w:w="890"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w:t>
            </w:r>
          </w:p>
        </w:tc>
        <w:tc>
          <w:tcPr>
            <w:tcW w:w="1880"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12/30/2019</w:t>
            </w:r>
          </w:p>
        </w:tc>
        <w:tc>
          <w:tcPr>
            <w:tcW w:w="60" w:type="dxa"/>
            <w:tcBorders/>
            <w:shd w:fill="FFFFFF" w:val="clear"/>
            <w:vAlign w:val="center"/>
          </w:tcPr>
          <w:p>
            <w:pPr>
              <w:pStyle w:val="TableContents"/>
              <w:spacing w:before="0" w:after="283"/>
              <w:rPr/>
            </w:pPr>
            <w:r>
              <w:rPr/>
              <w:t> </w:t>
            </w:r>
          </w:p>
        </w:tc>
        <w:tc>
          <w:tcPr>
            <w:tcW w:w="16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2,418</w:t>
            </w:r>
          </w:p>
        </w:tc>
        <w:tc>
          <w:tcPr>
            <w:tcW w:w="80" w:type="dxa"/>
            <w:tcBorders/>
            <w:shd w:fill="FFFFFF" w:val="clear"/>
            <w:vAlign w:val="center"/>
          </w:tcPr>
          <w:p>
            <w:pPr>
              <w:pStyle w:val="TableContents"/>
              <w:spacing w:before="0" w:after="283"/>
              <w:ind w:left="0" w:right="0" w:hanging="0"/>
              <w:rPr/>
            </w:pPr>
            <w:r>
              <w:rPr/>
              <w:t> </w:t>
            </w:r>
          </w:p>
        </w:tc>
        <w:tc>
          <w:tcPr>
            <w:tcW w:w="875"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2/17/2025</w:t>
            </w:r>
          </w:p>
        </w:tc>
        <w:tc>
          <w:tcPr>
            <w:tcW w:w="60" w:type="dxa"/>
            <w:tcBorders/>
            <w:shd w:fill="FFFFFF" w:val="clear"/>
            <w:vAlign w:val="center"/>
          </w:tcPr>
          <w:p>
            <w:pPr>
              <w:pStyle w:val="TableContents"/>
              <w:spacing w:before="0" w:after="283"/>
              <w:rPr/>
            </w:pPr>
            <w:r>
              <w:rPr/>
              <w:t> </w:t>
            </w:r>
          </w:p>
        </w:tc>
        <w:tc>
          <w:tcPr>
            <w:tcW w:w="6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415" w:type="dxa"/>
            <w:tcBorders/>
            <w:shd w:fill="FFFFFF" w:val="clear"/>
            <w:vAlign w:val="center"/>
          </w:tcPr>
          <w:p>
            <w:pPr>
              <w:pStyle w:val="TableContents"/>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 interest(5)</w:t>
            </w:r>
          </w:p>
        </w:tc>
      </w:tr>
      <w:tr>
        <w:trPr/>
        <w:tc>
          <w:tcPr>
            <w:tcW w:w="890" w:type="dxa"/>
            <w:tcBorders/>
            <w:shd w:fill="CCEEFF" w:val="clear"/>
            <w:vAlign w:val="center"/>
          </w:tcPr>
          <w:p>
            <w:pPr>
              <w:pStyle w:val="TableContents"/>
              <w:spacing w:before="0" w:after="283"/>
              <w:ind w:left="0" w:right="0" w:hanging="0"/>
              <w:rPr/>
            </w:pPr>
            <w:r>
              <w:rPr/>
              <w:t> </w:t>
            </w:r>
          </w:p>
        </w:tc>
        <w:tc>
          <w:tcPr>
            <w:tcW w:w="1880" w:type="dxa"/>
            <w:tcBorders/>
            <w:shd w:fill="CCEE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Total debt, gross</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ind w:left="0" w:right="0" w:hanging="0"/>
              <w:rPr/>
            </w:pPr>
            <w:r>
              <w:rPr/>
              <w:t> </w:t>
            </w:r>
          </w:p>
        </w:tc>
        <w:tc>
          <w:tcPr>
            <w:tcW w:w="6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7,185</w:t>
            </w:r>
          </w:p>
        </w:tc>
        <w:tc>
          <w:tcPr>
            <w:tcW w:w="8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rStyle w:val="Emphasis"/>
              </w:rPr>
              <w:t> </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196,079</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rStyle w:val="Emphasis"/>
              </w:rPr>
              <w:t> </w:t>
            </w:r>
          </w:p>
        </w:tc>
      </w:tr>
      <w:tr>
        <w:trPr/>
        <w:tc>
          <w:tcPr>
            <w:tcW w:w="890" w:type="dxa"/>
            <w:tcBorders/>
            <w:shd w:fill="FFFFFF" w:val="clear"/>
            <w:vAlign w:val="center"/>
          </w:tcPr>
          <w:p>
            <w:pPr>
              <w:pStyle w:val="TableContents"/>
              <w:spacing w:before="0" w:after="283"/>
              <w:ind w:left="0" w:right="0" w:hanging="0"/>
              <w:rPr/>
            </w:pPr>
            <w:r>
              <w:rPr/>
              <w:t> </w:t>
            </w:r>
          </w:p>
        </w:tc>
        <w:tc>
          <w:tcPr>
            <w:tcW w:w="1880" w:type="dxa"/>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Fair value</w:t>
            </w:r>
          </w:p>
        </w:tc>
        <w:tc>
          <w:tcPr>
            <w:tcW w:w="60" w:type="dxa"/>
            <w:tcBorders/>
            <w:shd w:fill="FFFFFF" w:val="clear"/>
            <w:vAlign w:val="center"/>
          </w:tcPr>
          <w:p>
            <w:pPr>
              <w:pStyle w:val="TableContents"/>
              <w:spacing w:before="0" w:after="283"/>
              <w:rPr/>
            </w:pPr>
            <w:r>
              <w:rPr/>
              <w:t> </w:t>
            </w:r>
          </w:p>
        </w:tc>
        <w:tc>
          <w:tcPr>
            <w:tcW w:w="16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75"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right"/>
              <w:rPr/>
            </w:pPr>
            <w:r>
              <w:rPr/>
              <w:t> </w:t>
            </w:r>
          </w:p>
        </w:tc>
        <w:tc>
          <w:tcPr>
            <w:tcW w:w="737"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rPr/>
            </w:pPr>
            <w:r>
              <w:rPr/>
              <w:t> </w:t>
            </w:r>
          </w:p>
        </w:tc>
        <w:tc>
          <w:tcPr>
            <w:tcW w:w="1415" w:type="dxa"/>
            <w:tcBorders/>
            <w:shd w:fill="FFFFFF" w:val="clear"/>
          </w:tcPr>
          <w:p>
            <w:pPr>
              <w:pStyle w:val="TableContents"/>
              <w:spacing w:before="0" w:after="283"/>
              <w:rPr>
                <w:sz w:val="4"/>
                <w:szCs w:val="4"/>
              </w:rPr>
            </w:pPr>
            <w:r>
              <w:rPr>
                <w:sz w:val="4"/>
                <w:szCs w:val="4"/>
              </w:rPr>
            </w:r>
          </w:p>
        </w:tc>
      </w:tr>
      <w:tr>
        <w:trPr/>
        <w:tc>
          <w:tcPr>
            <w:tcW w:w="890" w:type="dxa"/>
            <w:tcBorders/>
            <w:shd w:fill="CCEEFF" w:val="clear"/>
            <w:vAlign w:val="center"/>
          </w:tcPr>
          <w:p>
            <w:pPr>
              <w:pStyle w:val="TableContents"/>
              <w:spacing w:before="0" w:after="283"/>
              <w:ind w:left="0" w:right="0" w:hanging="0"/>
              <w:rPr/>
            </w:pPr>
            <w:r>
              <w:rPr/>
              <w:t> </w:t>
            </w:r>
          </w:p>
        </w:tc>
        <w:tc>
          <w:tcPr>
            <w:tcW w:w="1880" w:type="dxa"/>
            <w:tcBorders/>
            <w:shd w:fill="CCEE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Total debt, gross</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ind w:left="0" w:right="0" w:hanging="0"/>
              <w:rPr/>
            </w:pPr>
            <w:r>
              <w:rPr/>
              <w:t> </w:t>
            </w:r>
          </w:p>
        </w:tc>
        <w:tc>
          <w:tcPr>
            <w:tcW w:w="6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7,019</w:t>
            </w:r>
          </w:p>
        </w:tc>
        <w:tc>
          <w:tcPr>
            <w:tcW w:w="8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rStyle w:val="Emphasis"/>
              </w:rPr>
              <w:t> </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rStyle w:val="Emphasis"/>
              </w:rPr>
              <w:t> </w:t>
            </w:r>
          </w:p>
        </w:tc>
      </w:tr>
      <w:tr>
        <w:trPr/>
        <w:tc>
          <w:tcPr>
            <w:tcW w:w="890" w:type="dxa"/>
            <w:tcBorders/>
            <w:shd w:fill="FFFFFF" w:val="clear"/>
            <w:vAlign w:val="center"/>
          </w:tcPr>
          <w:p>
            <w:pPr>
              <w:pStyle w:val="TableContents"/>
              <w:spacing w:before="0" w:after="283"/>
              <w:ind w:left="0" w:right="0" w:hanging="0"/>
              <w:rPr/>
            </w:pPr>
            <w:r>
              <w:rPr/>
              <w:t> </w:t>
            </w:r>
          </w:p>
        </w:tc>
        <w:tc>
          <w:tcPr>
            <w:tcW w:w="1880" w:type="dxa"/>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Debt discount</w:t>
            </w:r>
          </w:p>
        </w:tc>
        <w:tc>
          <w:tcPr>
            <w:tcW w:w="60" w:type="dxa"/>
            <w:tcBorders/>
            <w:shd w:fill="FFFFFF" w:val="clear"/>
            <w:vAlign w:val="center"/>
          </w:tcPr>
          <w:p>
            <w:pPr>
              <w:pStyle w:val="TableContents"/>
              <w:spacing w:before="0" w:after="283"/>
              <w:rPr/>
            </w:pPr>
            <w:r>
              <w:rPr/>
              <w:t> </w:t>
            </w:r>
          </w:p>
        </w:tc>
        <w:tc>
          <w:tcPr>
            <w:tcW w:w="16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75"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jc w:val="right"/>
              <w:rPr/>
            </w:pPr>
            <w:r>
              <w:rPr/>
              <w:t> </w:t>
            </w:r>
          </w:p>
        </w:tc>
        <w:tc>
          <w:tcPr>
            <w:tcW w:w="737"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rPr/>
            </w:pPr>
            <w:r>
              <w:rPr/>
              <w:t> </w:t>
            </w:r>
          </w:p>
        </w:tc>
        <w:tc>
          <w:tcPr>
            <w:tcW w:w="1415" w:type="dxa"/>
            <w:tcBorders/>
            <w:shd w:fill="FFFFFF" w:val="clear"/>
          </w:tcPr>
          <w:p>
            <w:pPr>
              <w:pStyle w:val="TableContents"/>
              <w:spacing w:before="0" w:after="283"/>
              <w:rPr>
                <w:sz w:val="4"/>
                <w:szCs w:val="4"/>
              </w:rPr>
            </w:pPr>
            <w:r>
              <w:rPr>
                <w:sz w:val="4"/>
                <w:szCs w:val="4"/>
              </w:rPr>
            </w:r>
          </w:p>
        </w:tc>
      </w:tr>
      <w:tr>
        <w:trPr/>
        <w:tc>
          <w:tcPr>
            <w:tcW w:w="890" w:type="dxa"/>
            <w:tcBorders/>
            <w:shd w:fill="CCEEFF" w:val="clear"/>
            <w:vAlign w:val="center"/>
          </w:tcPr>
          <w:p>
            <w:pPr>
              <w:pStyle w:val="TableContents"/>
              <w:spacing w:before="0" w:after="283"/>
              <w:ind w:left="0" w:right="0" w:hanging="0"/>
              <w:rPr/>
            </w:pPr>
            <w:r>
              <w:rPr/>
              <w:t> </w:t>
            </w:r>
          </w:p>
        </w:tc>
        <w:tc>
          <w:tcPr>
            <w:tcW w:w="1880" w:type="dxa"/>
            <w:tcBorders/>
            <w:shd w:fill="CCEE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Total debt, net</w:t>
            </w:r>
          </w:p>
        </w:tc>
        <w:tc>
          <w:tcPr>
            <w:tcW w:w="60" w:type="dxa"/>
            <w:tcBorders/>
            <w:shd w:fill="CCEEFF" w:val="clear"/>
            <w:vAlign w:val="center"/>
          </w:tcPr>
          <w:p>
            <w:pPr>
              <w:pStyle w:val="TableContents"/>
              <w:spacing w:before="0" w:after="283"/>
              <w:ind w:left="0" w:right="0" w:hanging="0"/>
              <w:rPr/>
            </w:pPr>
            <w:r>
              <w:rPr/>
              <w:t> </w:t>
            </w:r>
          </w:p>
        </w:tc>
        <w:tc>
          <w:tcPr>
            <w:tcW w:w="16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6,875</w:t>
            </w:r>
          </w:p>
        </w:tc>
        <w:tc>
          <w:tcPr>
            <w:tcW w:w="8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rStyle w:val="Emphasis"/>
              </w:rPr>
              <w:t> </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rStyle w:val="Emphasis"/>
              </w:rPr>
              <w:t> </w:t>
            </w:r>
          </w:p>
        </w:tc>
      </w:tr>
      <w:tr>
        <w:trPr/>
        <w:tc>
          <w:tcPr>
            <w:tcW w:w="890" w:type="dxa"/>
            <w:tcBorders/>
            <w:shd w:fill="FFFFFF" w:val="clear"/>
            <w:vAlign w:val="center"/>
          </w:tcPr>
          <w:p>
            <w:pPr>
              <w:pStyle w:val="TableContents"/>
              <w:spacing w:before="0" w:after="283"/>
              <w:ind w:left="0" w:right="0" w:hanging="0"/>
              <w:rPr/>
            </w:pPr>
            <w:r>
              <w:rPr/>
              <w:t> </w:t>
            </w:r>
          </w:p>
        </w:tc>
        <w:tc>
          <w:tcPr>
            <w:tcW w:w="1880" w:type="dxa"/>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Less current maturities</w:t>
            </w:r>
          </w:p>
        </w:tc>
        <w:tc>
          <w:tcPr>
            <w:tcW w:w="60" w:type="dxa"/>
            <w:tcBorders/>
            <w:shd w:fill="FFFFFF" w:val="clear"/>
            <w:vAlign w:val="center"/>
          </w:tcPr>
          <w:p>
            <w:pPr>
              <w:pStyle w:val="TableContents"/>
              <w:spacing w:before="0" w:after="283"/>
              <w:rPr/>
            </w:pPr>
            <w:r>
              <w:rPr/>
              <w:t> </w:t>
            </w:r>
          </w:p>
        </w:tc>
        <w:tc>
          <w:tcPr>
            <w:tcW w:w="16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875"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c>
          <w:tcPr>
            <w:tcW w:w="737"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c>
          <w:tcPr>
            <w:tcW w:w="1415" w:type="dxa"/>
            <w:tcBorders/>
            <w:shd w:fill="FFFFFF" w:val="clear"/>
            <w:vAlign w:val="center"/>
          </w:tcPr>
          <w:p>
            <w:pPr>
              <w:pStyle w:val="TableContents"/>
              <w:spacing w:before="0" w:after="283"/>
              <w:rPr/>
            </w:pPr>
            <w:r>
              <w:rPr>
                <w:rStyle w:val="Emphasis"/>
              </w:rPr>
              <w:t> </w:t>
            </w:r>
          </w:p>
        </w:tc>
      </w:tr>
      <w:tr>
        <w:trPr/>
        <w:tc>
          <w:tcPr>
            <w:tcW w:w="890" w:type="dxa"/>
            <w:tcBorders/>
            <w:shd w:fill="CCEEFF" w:val="clear"/>
            <w:vAlign w:val="center"/>
          </w:tcPr>
          <w:p>
            <w:pPr>
              <w:pStyle w:val="TableContents"/>
              <w:spacing w:before="0" w:after="283"/>
              <w:ind w:left="0" w:right="0" w:hanging="0"/>
              <w:rPr/>
            </w:pPr>
            <w:r>
              <w:rPr/>
              <w:t> </w:t>
            </w:r>
          </w:p>
        </w:tc>
        <w:tc>
          <w:tcPr>
            <w:tcW w:w="1880" w:type="dxa"/>
            <w:tcBorders/>
            <w:shd w:fill="CCEE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Long term debt</w:t>
            </w:r>
          </w:p>
        </w:tc>
        <w:tc>
          <w:tcPr>
            <w:tcW w:w="60" w:type="dxa"/>
            <w:tcBorders/>
            <w:shd w:fill="CCEEFF" w:val="clear"/>
            <w:vAlign w:val="center"/>
          </w:tcPr>
          <w:p>
            <w:pPr>
              <w:pStyle w:val="TableContents"/>
              <w:spacing w:before="0" w:after="283"/>
              <w:rPr/>
            </w:pPr>
            <w:r>
              <w:rPr/>
              <w:t> </w:t>
            </w:r>
          </w:p>
        </w:tc>
        <w:tc>
          <w:tcPr>
            <w:tcW w:w="16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6,875</w:t>
            </w:r>
          </w:p>
        </w:tc>
        <w:tc>
          <w:tcPr>
            <w:tcW w:w="8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rStyle w:val="Emphasis"/>
              </w:rPr>
              <w:t> </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rStyle w:val="Emphasis"/>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 – Acquisition Term Loan with related party</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 – Secured Promissory Note</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 – Consolidation Term Loan with related party</w:t>
      </w:r>
    </w:p>
    <w:p>
      <w:pPr>
        <w:pStyle w:val="TextBody"/>
        <w:spacing w:before="0" w:after="0"/>
        <w:ind w:left="0" w:right="0" w:hanging="0"/>
        <w:rPr/>
      </w:pPr>
      <w:r>
        <w:rPr>
          <w:rFonts w:ascii="Times New Roman" w:hAnsi="Times New Roman"/>
          <w:caps w:val="false"/>
          <w:smallCaps w:val="false"/>
          <w:sz w:val="20"/>
        </w:rPr>
        <w:t>D – Term Loan (</w:t>
      </w:r>
      <w:r>
        <w:rPr>
          <w:rStyle w:val="Emphasis"/>
          <w:rFonts w:ascii="Times New Roman" w:hAnsi="Times New Roman"/>
          <w:caps w:val="false"/>
          <w:smallCaps w:val="false"/>
          <w:sz w:val="20"/>
        </w:rPr>
        <w:t>2022</w:t>
      </w:r>
      <w:r>
        <w:rPr>
          <w:rFonts w:ascii="Times New Roman" w:hAnsi="Times New Roman"/>
          <w:caps w:val="false"/>
          <w:smallCaps w:val="false"/>
          <w:sz w:val="20"/>
        </w:rPr>
        <w:t>) with related party</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 – Senior Secured Term Loan with related party</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 – Secured Convertible Special Loan Promissory Note, at fair value, with related party</w:t>
      </w:r>
    </w:p>
    <w:p>
      <w:pPr>
        <w:pStyle w:val="TextBody"/>
        <w:spacing w:before="0" w:after="0"/>
        <w:ind w:left="0" w:right="0" w:hanging="0"/>
        <w:rPr>
          <w:caps w:val="false"/>
          <w:smallCaps w:val="false"/>
        </w:rPr>
      </w:pPr>
      <w:r>
        <w:rPr>
          <w:caps w:val="false"/>
          <w:smallCaps w:val="false"/>
        </w:rPr>
        <w:t> </w:t>
      </w:r>
    </w:p>
    <w:tbl>
      <w:tblPr>
        <w:tblW w:w="5830" w:type="dxa"/>
        <w:jc w:val="left"/>
        <w:tblInd w:w="0" w:type="dxa"/>
        <w:tblCellMar>
          <w:top w:w="0" w:type="dxa"/>
          <w:left w:w="0" w:type="dxa"/>
          <w:bottom w:w="0" w:type="dxa"/>
          <w:right w:w="0" w:type="dxa"/>
        </w:tblCellMar>
      </w:tblPr>
      <w:tblGrid>
        <w:gridCol w:w="245"/>
        <w:gridCol w:w="5585"/>
      </w:tblGrid>
      <w:tr>
        <w:trPr/>
        <w:tc>
          <w:tcPr>
            <w:tcW w:w="245" w:type="dxa"/>
            <w:tcBorders/>
            <w:shd w:fill="auto" w:val="clear"/>
            <w:vAlign w:val="center"/>
          </w:tcPr>
          <w:p>
            <w:pPr>
              <w:pStyle w:val="TableContents"/>
              <w:spacing w:before="0" w:after="0"/>
              <w:ind w:left="0" w:right="0" w:hanging="0"/>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5585" w:type="dxa"/>
            <w:tcBorders/>
            <w:shd w:fill="auto" w:val="clear"/>
            <w:vAlign w:val="center"/>
          </w:tcPr>
          <w:p>
            <w:pPr>
              <w:pStyle w:val="TableContents"/>
              <w:spacing w:before="0" w:after="0"/>
              <w:ind w:left="0" w:right="0" w:hanging="0"/>
              <w:rPr/>
            </w:pPr>
            <w:r>
              <w:rPr>
                <w:rFonts w:ascii="Times New Roman;Times;serif" w:hAnsi="Times New Roman;Times;serif"/>
                <w:caps w:val="false"/>
                <w:smallCaps w:val="false"/>
                <w:sz w:val="20"/>
              </w:rPr>
              <w:t xml:space="preserve">8.0% cash interest per annum through maturity at </w:t>
            </w:r>
            <w:r>
              <w:rPr>
                <w:rStyle w:val="Emphasis"/>
                <w:rFonts w:ascii="Times New Roman;Times;serif" w:hAnsi="Times New Roman;Times;serif"/>
                <w:caps w:val="false"/>
                <w:smallCaps w:val="false"/>
                <w:sz w:val="20"/>
              </w:rPr>
              <w:t>February 15, 2025</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ind w:left="0" w:right="0" w:hanging="0"/>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10016" w:type="dxa"/>
            <w:tcBorders/>
            <w:shd w:fill="auto" w:val="clear"/>
            <w:vAlign w:val="center"/>
          </w:tcPr>
          <w:p>
            <w:pPr>
              <w:pStyle w:val="TableContents"/>
              <w:spacing w:before="0" w:after="0"/>
              <w:ind w:left="0" w:right="0" w:hanging="0"/>
              <w:rPr/>
            </w:pPr>
            <w:r>
              <w:rPr>
                <w:rFonts w:ascii="Times New Roman;Times;serif" w:hAnsi="Times New Roman;Times;serif"/>
                <w:caps w:val="false"/>
                <w:smallCaps w:val="false"/>
                <w:sz w:val="20"/>
              </w:rPr>
              <w:t xml:space="preserve">0.59% cash interest per annum (the applicable federal rate) through </w:t>
            </w:r>
            <w:r>
              <w:rPr>
                <w:rStyle w:val="Emphasis"/>
                <w:rFonts w:ascii="Times New Roman;Times;serif" w:hAnsi="Times New Roman;Times;serif"/>
                <w:caps w:val="false"/>
                <w:smallCaps w:val="false"/>
                <w:sz w:val="20"/>
              </w:rPr>
              <w:t xml:space="preserve">February 17, 2023.  </w:t>
            </w:r>
            <w:r>
              <w:rPr>
                <w:rFonts w:ascii="Times New Roman;Times;serif" w:hAnsi="Times New Roman;Times;serif"/>
                <w:caps w:val="false"/>
                <w:smallCaps w:val="false"/>
                <w:sz w:val="20"/>
              </w:rPr>
              <w:t xml:space="preserve">Annual interest rate on the outstanding principal increased from 0.59% to 4.60% per annum through maturity at </w:t>
            </w:r>
            <w:r>
              <w:rPr>
                <w:rStyle w:val="Emphasis"/>
                <w:rFonts w:ascii="Times New Roman;Times;serif" w:hAnsi="Times New Roman;Times;serif"/>
                <w:caps w:val="false"/>
                <w:smallCaps w:val="false"/>
                <w:sz w:val="20"/>
              </w:rPr>
              <w:t>February 17, 2024.</w:t>
            </w:r>
          </w:p>
        </w:tc>
      </w:tr>
    </w:tbl>
    <w:tbl>
      <w:tblPr>
        <w:tblW w:w="6370" w:type="dxa"/>
        <w:jc w:val="left"/>
        <w:tblInd w:w="0" w:type="dxa"/>
        <w:tblCellMar>
          <w:top w:w="0" w:type="dxa"/>
          <w:left w:w="0" w:type="dxa"/>
          <w:bottom w:w="0" w:type="dxa"/>
          <w:right w:w="0" w:type="dxa"/>
        </w:tblCellMar>
      </w:tblPr>
      <w:tblGrid>
        <w:gridCol w:w="245"/>
        <w:gridCol w:w="6125"/>
      </w:tblGrid>
      <w:tr>
        <w:trPr/>
        <w:tc>
          <w:tcPr>
            <w:tcW w:w="245" w:type="dxa"/>
            <w:tcBorders/>
            <w:shd w:fill="auto" w:val="clear"/>
            <w:vAlign w:val="center"/>
          </w:tcPr>
          <w:p>
            <w:pPr>
              <w:pStyle w:val="TableContents"/>
              <w:spacing w:before="0" w:after="0"/>
              <w:ind w:left="0" w:right="0" w:hanging="0"/>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6125" w:type="dxa"/>
            <w:tcBorders/>
            <w:shd w:fill="auto" w:val="clear"/>
            <w:vAlign w:val="center"/>
          </w:tcPr>
          <w:p>
            <w:pPr>
              <w:pStyle w:val="TableContents"/>
              <w:spacing w:before="0" w:after="0"/>
              <w:ind w:left="0" w:right="0" w:hanging="0"/>
              <w:rPr/>
            </w:pPr>
            <w:r>
              <w:rPr>
                <w:rFonts w:ascii="Times New Roman;Times;serif" w:hAnsi="Times New Roman;Times;serif"/>
                <w:caps w:val="false"/>
                <w:smallCaps w:val="false"/>
                <w:sz w:val="20"/>
              </w:rPr>
              <w:t xml:space="preserve">10.0% cash interest per annum through maturity date at </w:t>
            </w:r>
            <w:r>
              <w:rPr>
                <w:rStyle w:val="Emphasis"/>
                <w:rFonts w:ascii="Times New Roman;Times;serif" w:hAnsi="Times New Roman;Times;serif"/>
                <w:caps w:val="false"/>
                <w:smallCaps w:val="false"/>
                <w:sz w:val="20"/>
              </w:rPr>
              <w:t>February 15, 2025.</w:t>
            </w:r>
          </w:p>
        </w:tc>
      </w:tr>
    </w:tbl>
    <w:tbl>
      <w:tblPr>
        <w:tblW w:w="5965" w:type="dxa"/>
        <w:jc w:val="left"/>
        <w:tblInd w:w="0" w:type="dxa"/>
        <w:tblCellMar>
          <w:top w:w="0" w:type="dxa"/>
          <w:left w:w="0" w:type="dxa"/>
          <w:bottom w:w="0" w:type="dxa"/>
          <w:right w:w="0" w:type="dxa"/>
        </w:tblCellMar>
      </w:tblPr>
      <w:tblGrid>
        <w:gridCol w:w="245"/>
        <w:gridCol w:w="5720"/>
      </w:tblGrid>
      <w:tr>
        <w:trPr/>
        <w:tc>
          <w:tcPr>
            <w:tcW w:w="245" w:type="dxa"/>
            <w:tcBorders/>
            <w:shd w:fill="auto" w:val="clear"/>
            <w:vAlign w:val="center"/>
          </w:tcPr>
          <w:p>
            <w:pPr>
              <w:pStyle w:val="TableContents"/>
              <w:spacing w:before="0" w:after="0"/>
              <w:ind w:left="0" w:right="0" w:hanging="0"/>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4</w:t>
            </w:r>
            <w:r>
              <w:rPr>
                <w:rFonts w:ascii="Times New Roman;Times;serif" w:hAnsi="Times New Roman;Times;serif"/>
                <w:caps w:val="false"/>
                <w:smallCaps w:val="false"/>
                <w:sz w:val="20"/>
              </w:rPr>
              <w:t>)</w:t>
            </w:r>
          </w:p>
        </w:tc>
        <w:tc>
          <w:tcPr>
            <w:tcW w:w="5720" w:type="dxa"/>
            <w:tcBorders/>
            <w:shd w:fill="auto" w:val="clear"/>
            <w:vAlign w:val="center"/>
          </w:tcPr>
          <w:p>
            <w:pPr>
              <w:pStyle w:val="TableContents"/>
              <w:spacing w:before="0" w:after="0"/>
              <w:ind w:left="0" w:right="0" w:hanging="0"/>
              <w:rPr/>
            </w:pPr>
            <w:r>
              <w:rPr>
                <w:rFonts w:ascii="Times New Roman;Times;serif" w:hAnsi="Times New Roman;Times;serif"/>
                <w:caps w:val="false"/>
                <w:smallCaps w:val="false"/>
                <w:sz w:val="20"/>
              </w:rPr>
              <w:t xml:space="preserve">12.5% cash interest per annum through maturity at </w:t>
            </w:r>
            <w:r>
              <w:rPr>
                <w:rStyle w:val="Emphasis"/>
                <w:rFonts w:ascii="Times New Roman;Times;serif" w:hAnsi="Times New Roman;Times;serif"/>
                <w:caps w:val="false"/>
                <w:smallCaps w:val="false"/>
                <w:sz w:val="20"/>
              </w:rPr>
              <w:t>September 1, 2023.</w:t>
            </w:r>
          </w:p>
        </w:tc>
      </w:tr>
    </w:tbl>
    <w:tbl>
      <w:tblPr>
        <w:tblW w:w="10205" w:type="dxa"/>
        <w:jc w:val="left"/>
        <w:tblInd w:w="0" w:type="dxa"/>
        <w:tblCellMar>
          <w:top w:w="0" w:type="dxa"/>
          <w:left w:w="0" w:type="dxa"/>
          <w:bottom w:w="0" w:type="dxa"/>
          <w:right w:w="0" w:type="dxa"/>
        </w:tblCellMar>
      </w:tblPr>
      <w:tblGrid>
        <w:gridCol w:w="223"/>
        <w:gridCol w:w="9982"/>
      </w:tblGrid>
      <w:tr>
        <w:trPr/>
        <w:tc>
          <w:tcPr>
            <w:tcW w:w="223" w:type="dxa"/>
            <w:tcBorders/>
            <w:shd w:fill="auto" w:val="clear"/>
            <w:vAlign w:val="center"/>
          </w:tcPr>
          <w:p>
            <w:pPr>
              <w:pStyle w:val="TableContents"/>
              <w:spacing w:before="0" w:after="0"/>
              <w:ind w:left="0" w:right="0" w:hanging="0"/>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5</w:t>
            </w:r>
            <w:r>
              <w:rPr>
                <w:rFonts w:ascii="Times New Roman;Times;serif" w:hAnsi="Times New Roman;Times;serif"/>
                <w:caps w:val="false"/>
                <w:smallCaps w:val="false"/>
                <w:sz w:val="20"/>
              </w:rPr>
              <w:t>)</w:t>
            </w:r>
          </w:p>
        </w:tc>
        <w:tc>
          <w:tcPr>
            <w:tcW w:w="9982" w:type="dxa"/>
            <w:tcBorders/>
            <w:shd w:fill="auto" w:val="clear"/>
            <w:vAlign w:val="center"/>
          </w:tcPr>
          <w:p>
            <w:pPr>
              <w:pStyle w:val="TableContents"/>
              <w:spacing w:before="0" w:after="0"/>
              <w:ind w:left="0" w:right="0" w:hanging="0"/>
              <w:rPr/>
            </w:pPr>
            <w:r>
              <w:rPr>
                <w:rFonts w:ascii="Times New Roman;Times;serif" w:hAnsi="Times New Roman;Times;serif"/>
                <w:caps w:val="false"/>
                <w:smallCaps w:val="false"/>
                <w:sz w:val="20"/>
              </w:rPr>
              <w:t xml:space="preserve">Interest was paid-in-kind ("PIK") through </w:t>
            </w:r>
            <w:r>
              <w:rPr>
                <w:rStyle w:val="Emphasis"/>
                <w:rFonts w:ascii="Times New Roman;Times;serif" w:hAnsi="Times New Roman;Times;serif"/>
                <w:caps w:val="false"/>
                <w:smallCaps w:val="false"/>
                <w:sz w:val="20"/>
              </w:rPr>
              <w:t xml:space="preserve">October 2021, </w:t>
            </w:r>
            <w:r>
              <w:rPr>
                <w:rFonts w:ascii="Times New Roman;Times;serif" w:hAnsi="Times New Roman;Times;serif"/>
                <w:caps w:val="false"/>
                <w:smallCaps w:val="false"/>
                <w:sz w:val="20"/>
              </w:rPr>
              <w:t>at which point interest became payable in cash at the stated interest rates through maturity.</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19</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360" w:right="0" w:hanging="0"/>
        <w:rPr>
          <w:rFonts w:ascii="Times New Roman" w:hAnsi="Times New Roman"/>
          <w:b/>
          <w:i/>
          <w:caps w:val="false"/>
          <w:smallCaps w:val="false"/>
          <w:sz w:val="20"/>
        </w:rPr>
      </w:pPr>
      <w:r>
        <w:rPr>
          <w:rFonts w:ascii="Times New Roman" w:hAnsi="Times New Roman"/>
          <w:b/>
          <w:i/>
          <w:caps w:val="false"/>
          <w:smallCaps w:val="false"/>
          <w:sz w:val="20"/>
        </w:rPr>
        <w:t xml:space="preserve">Secured Promissory Note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in connection with the closing of the Merger, the Company issued to RSI Exit Corporation (“Stockholders’ Representative”), the representative of Reflect stockholders, a $2,500 Note and Security Agreement (the “Secured Promissory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Secured Promissory Note accrues interest at 0.59% per annum (the applicable federal rate on the date of issuance of the Secured Promissory Note) and requires the Company and Reflect to collectively pay equal monthly principal installments of $104 on the </w:t>
      </w:r>
      <w:r>
        <w:rPr>
          <w:rStyle w:val="Emphasis"/>
          <w:rFonts w:ascii="Times New Roman" w:hAnsi="Times New Roman"/>
          <w:caps w:val="false"/>
          <w:smallCaps w:val="false"/>
          <w:sz w:val="20"/>
        </w:rPr>
        <w:t>fifteenth</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15th</w:t>
      </w:r>
      <w:r>
        <w:rPr>
          <w:rFonts w:ascii="Times New Roman" w:hAnsi="Times New Roman"/>
          <w:caps w:val="false"/>
          <w:smallCaps w:val="false"/>
          <w:sz w:val="20"/>
        </w:rPr>
        <w:t xml:space="preserve">) day of each month, commencing on </w:t>
      </w:r>
      <w:r>
        <w:rPr>
          <w:rStyle w:val="Emphasis"/>
          <w:rFonts w:ascii="Times New Roman" w:hAnsi="Times New Roman"/>
          <w:caps w:val="false"/>
          <w:smallCaps w:val="false"/>
          <w:sz w:val="20"/>
        </w:rPr>
        <w:t xml:space="preserve">March 15, 2022. </w:t>
      </w:r>
      <w:r>
        <w:rPr>
          <w:rFonts w:ascii="Times New Roman" w:hAnsi="Times New Roman"/>
          <w:caps w:val="false"/>
          <w:smallCaps w:val="false"/>
          <w:sz w:val="20"/>
        </w:rPr>
        <w:t xml:space="preserve">Any remaining or unpaid principal shall be due and payable on </w:t>
      </w:r>
      <w:r>
        <w:rPr>
          <w:rStyle w:val="Emphasis"/>
          <w:rFonts w:ascii="Times New Roman" w:hAnsi="Times New Roman"/>
          <w:caps w:val="false"/>
          <w:smallCaps w:val="false"/>
          <w:sz w:val="20"/>
        </w:rPr>
        <w:t xml:space="preserve">February 17, 2023. </w:t>
      </w:r>
      <w:r>
        <w:rPr>
          <w:rFonts w:ascii="Times New Roman" w:hAnsi="Times New Roman"/>
          <w:caps w:val="false"/>
          <w:smallCaps w:val="false"/>
          <w:sz w:val="20"/>
        </w:rPr>
        <w:t xml:space="preserve">All payments under the Secured Promissory Note will be paid to the escrow agent in the Merger Agreement to be placed into the escrow account to secure the Reflect stockholders’ indemnification obligations until released on </w:t>
      </w:r>
      <w:r>
        <w:rPr>
          <w:rStyle w:val="Emphasis"/>
          <w:rFonts w:ascii="Times New Roman" w:hAnsi="Times New Roman"/>
          <w:caps w:val="false"/>
          <w:smallCaps w:val="false"/>
          <w:sz w:val="20"/>
        </w:rPr>
        <w:t>February 17,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anniversary of the closing of the Merger), at which time any remaining proceeds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a pending indemnification claim will be paid to the exchange agent for payment to the Reflect Stockholders. The Secured Promissory Note is secured by a </w:t>
      </w:r>
      <w:r>
        <w:rPr>
          <w:rStyle w:val="Emphasis"/>
          <w:rFonts w:ascii="Times New Roman" w:hAnsi="Times New Roman"/>
          <w:caps w:val="false"/>
          <w:smallCaps w:val="false"/>
          <w:sz w:val="20"/>
        </w:rPr>
        <w:t>first</w:t>
      </w:r>
      <w:r>
        <w:rPr>
          <w:rFonts w:ascii="Times New Roman" w:hAnsi="Times New Roman"/>
          <w:caps w:val="false"/>
          <w:smallCaps w:val="false"/>
          <w:sz w:val="20"/>
        </w:rPr>
        <w:t>-lien security interest in certain contracts of Reflect, including obligations arising out of those certain contracts. The Company has the right to offset amounts payable under the Secured Promissory Note upon a final, non-appealable decision of a court that entitles the Company or its affiliates to any damages for indemnification under the Merger Agreement, or the Stockholders’ Representative’s agreement in writing to such damages.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11, 2023, </w:t>
      </w:r>
      <w:r>
        <w:rPr>
          <w:rFonts w:ascii="Times New Roman" w:hAnsi="Times New Roman"/>
          <w:caps w:val="false"/>
          <w:smallCaps w:val="false"/>
          <w:sz w:val="20"/>
        </w:rPr>
        <w:t xml:space="preserve">the Company and the Stockholders’ Representative executed an amendment (the “Note Amendment”) to the Secured Promissory Note. The Note Amendment eliminates the balloon payment, extending the maturity date for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period, to </w:t>
      </w:r>
      <w:r>
        <w:rPr>
          <w:rStyle w:val="Emphasis"/>
          <w:rFonts w:ascii="Times New Roman" w:hAnsi="Times New Roman"/>
          <w:caps w:val="false"/>
          <w:smallCaps w:val="false"/>
          <w:sz w:val="20"/>
        </w:rPr>
        <w:t xml:space="preserve">February 17, 2024. </w:t>
      </w:r>
      <w:r>
        <w:rPr>
          <w:rFonts w:ascii="Times New Roman" w:hAnsi="Times New Roman"/>
          <w:caps w:val="false"/>
          <w:smallCaps w:val="false"/>
          <w:sz w:val="20"/>
        </w:rPr>
        <w:t>During the extended period, the Company will continue to make monthly principal payments of $104, and the annual interest rate on the outstanding principal increased from 0.59% to 4.60%, which will accrue and is payable in full on the new maturity date.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Second Amended and Restated Loan and Security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 xml:space="preserve">the Company and its subsidiaries (collectively, the “Borrowers”) refinanced their debt facilities with Slipstream Communications, LLC (“Slipstream”), pursuant to a Second Amended and Restated Credit and Security Agreement (the “Credit Agreement”). The Borrowers include Reflect Systems, Inc. (“Reflect”), which became a wholly owned subsidiary of the Company as a result of the closing of the Merger on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The debt facilities continue to be fully secured by all assets of the Borrowers.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Credit Agreement also provides that the Company’s outstanding loans from Slipstream 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consisting of its pre-existing $4,767 senior secured term loan and $2,418 secured convertible loan, with an aggregate of $7,185 in outstanding principal and accrued and unpaid interest under such loans, were consolidated into a term loan (the “Consolidation Term Loan”). The Consolidation Term Loan has an interest rate of 10.0%, with 75.0% warrant coverage (or 898,165 warrants).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each month, commencing </w:t>
      </w:r>
      <w:r>
        <w:rPr>
          <w:rStyle w:val="Emphasis"/>
          <w:rFonts w:ascii="Times New Roman" w:hAnsi="Times New Roman"/>
          <w:caps w:val="false"/>
          <w:smallCaps w:val="false"/>
          <w:sz w:val="20"/>
        </w:rPr>
        <w:t xml:space="preserve">March 1, 2022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February 1, 2025, </w:t>
      </w:r>
      <w:r>
        <w:rPr>
          <w:rFonts w:ascii="Times New Roman" w:hAnsi="Times New Roman"/>
          <w:caps w:val="false"/>
          <w:smallCaps w:val="false"/>
          <w:sz w:val="20"/>
        </w:rPr>
        <w:t xml:space="preserve">the Borrowers will make interest-only payments on the Consolidation Term Loan. Commencing on </w:t>
      </w:r>
      <w:r>
        <w:rPr>
          <w:rStyle w:val="Emphasis"/>
          <w:rFonts w:ascii="Times New Roman" w:hAnsi="Times New Roman"/>
          <w:caps w:val="false"/>
          <w:smallCaps w:val="false"/>
          <w:sz w:val="20"/>
        </w:rPr>
        <w:t xml:space="preserve">September 1, 2023, </w:t>
      </w:r>
      <w:r>
        <w:rPr>
          <w:rFonts w:ascii="Times New Roman" w:hAnsi="Times New Roman"/>
          <w:caps w:val="false"/>
          <w:smallCaps w:val="false"/>
          <w:sz w:val="20"/>
        </w:rPr>
        <w:t xml:space="preserve">and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each month thereafter until the Maturity Date, the Borrowers will make a payment on the Consolidation Term Loan, in an equal monthly installment of principal sufficient to fully amortize the Consolidation Term Loan in </w:t>
      </w:r>
      <w:r>
        <w:rPr>
          <w:rStyle w:val="Emphasis"/>
          <w:rFonts w:ascii="Times New Roman" w:hAnsi="Times New Roman"/>
          <w:caps w:val="false"/>
          <w:smallCaps w:val="false"/>
          <w:sz w:val="20"/>
        </w:rPr>
        <w:t>eighteen</w:t>
      </w:r>
      <w:r>
        <w:rPr>
          <w:rFonts w:ascii="Times New Roman" w:hAnsi="Times New Roman"/>
          <w:caps w:val="false"/>
          <w:smallCaps w:val="false"/>
          <w:sz w:val="20"/>
        </w:rPr>
        <w:t xml:space="preserve"> equal installments. The Company assessed the combination of the pre-existing senior secured term loan and secured convertible loan in accordance with ASC </w:t>
      </w:r>
      <w:r>
        <w:rPr>
          <w:rStyle w:val="Emphasis"/>
          <w:rFonts w:ascii="Times New Roman" w:hAnsi="Times New Roman"/>
          <w:caps w:val="false"/>
          <w:smallCaps w:val="false"/>
          <w:sz w:val="20"/>
        </w:rPr>
        <w:t>470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Debt </w:t>
      </w:r>
      <w:r>
        <w:rPr>
          <w:rFonts w:ascii="Times New Roman" w:hAnsi="Times New Roman"/>
          <w:caps w:val="false"/>
          <w:smallCaps w:val="false"/>
          <w:sz w:val="20"/>
        </w:rPr>
        <w:t>and determined the transaction should be accounted for as an extinguishment, in part as the Consolidation Term Loan eliminated a substantive conversion feature. In aggregate the Company recorded a loss on extinguishment of $295, primarily associated with the write-off of pre-existing debt discounts.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In addition to refinancing the existing debt with Slipstream, the Company issued to Slipstream a $10,000, </w:t>
      </w:r>
      <w:r>
        <w:rPr>
          <w:rStyle w:val="Emphasis"/>
          <w:rFonts w:ascii="Times New Roman" w:hAnsi="Times New Roman"/>
          <w:caps w:val="false"/>
          <w:smallCaps w:val="false"/>
          <w:sz w:val="20"/>
        </w:rPr>
        <w:t>36</w:t>
      </w:r>
      <w:r>
        <w:rPr>
          <w:rFonts w:ascii="Times New Roman" w:hAnsi="Times New Roman"/>
          <w:caps w:val="false"/>
          <w:smallCaps w:val="false"/>
          <w:sz w:val="20"/>
        </w:rPr>
        <w:t xml:space="preserve">-month senior secured term loan (the “Acquisition Term Loan”) resulting in $10,000 in gross proceeds, or $9,950 in net proceeds. The Acquisition Term Loan matures on </w:t>
      </w:r>
      <w:r>
        <w:rPr>
          <w:rStyle w:val="Emphasis"/>
          <w:rFonts w:ascii="Times New Roman" w:hAnsi="Times New Roman"/>
          <w:caps w:val="false"/>
          <w:smallCaps w:val="false"/>
          <w:sz w:val="20"/>
        </w:rPr>
        <w:t>February 17, 2025 (</w:t>
      </w:r>
      <w:r>
        <w:rPr>
          <w:rFonts w:ascii="Times New Roman" w:hAnsi="Times New Roman"/>
          <w:caps w:val="false"/>
          <w:smallCaps w:val="false"/>
          <w:sz w:val="20"/>
        </w:rPr>
        <w:t xml:space="preserve">the “Maturity Date”) and has an interest rate of 8.0%, with 50.0% warrant coverage (or 833,334 warrants).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each month, commencing </w:t>
      </w:r>
      <w:r>
        <w:rPr>
          <w:rStyle w:val="Emphasis"/>
          <w:rFonts w:ascii="Times New Roman" w:hAnsi="Times New Roman"/>
          <w:caps w:val="false"/>
          <w:smallCaps w:val="false"/>
          <w:sz w:val="20"/>
        </w:rPr>
        <w:t xml:space="preserve">March 1, 2022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February 1, 2025, </w:t>
      </w:r>
      <w:r>
        <w:rPr>
          <w:rFonts w:ascii="Times New Roman" w:hAnsi="Times New Roman"/>
          <w:caps w:val="false"/>
          <w:smallCaps w:val="false"/>
          <w:sz w:val="20"/>
        </w:rPr>
        <w:t xml:space="preserve">the Borrowers will make interest-only payments on the Acquisition Term Loan.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principal payments on the Acquisition Term Loan are payable until the Maturity Date.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20</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720"/>
        <w:rPr/>
      </w:pPr>
      <w:r>
        <w:rPr>
          <w:rFonts w:ascii="Times New Roman" w:hAnsi="Times New Roman"/>
          <w:caps w:val="false"/>
          <w:smallCaps w:val="false"/>
          <w:sz w:val="20"/>
        </w:rPr>
        <w:t xml:space="preserve">In connection with the Acquisition Term Loan and Consolidation Term Loan warrant coverage, the Company issued to Slipstream a warrant to purchase an aggregate of 1,731,499 shares of Company common stock (the “Lender Warrant”). The Lender Warrant has a five-year term, an initial exercise price of $6.00 per share, subject to adjustments in the Lender Warrant,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exercisable until </w:t>
      </w:r>
      <w:r>
        <w:rPr>
          <w:rStyle w:val="Emphasis"/>
          <w:rFonts w:ascii="Times New Roman" w:hAnsi="Times New Roman"/>
          <w:caps w:val="false"/>
          <w:smallCaps w:val="false"/>
          <w:sz w:val="20"/>
        </w:rPr>
        <w:t xml:space="preserve">August 17, 2022. </w:t>
      </w:r>
      <w:r>
        <w:rPr>
          <w:rFonts w:ascii="Times New Roman" w:hAnsi="Times New Roman"/>
          <w:caps w:val="false"/>
          <w:smallCaps w:val="false"/>
          <w:sz w:val="20"/>
        </w:rPr>
        <w:t xml:space="preserve">The warrants were assessed in accordance with ASC </w:t>
      </w:r>
      <w:r>
        <w:rPr>
          <w:rStyle w:val="Emphasis"/>
          <w:rFonts w:ascii="Times New Roman" w:hAnsi="Times New Roman"/>
          <w:caps w:val="false"/>
          <w:smallCaps w:val="false"/>
          <w:sz w:val="20"/>
        </w:rPr>
        <w:t>470</w:t>
      </w:r>
      <w:r>
        <w:rPr>
          <w:rFonts w:ascii="Times New Roman" w:hAnsi="Times New Roman"/>
          <w:caps w:val="false"/>
          <w:smallCaps w:val="false"/>
          <w:sz w:val="20"/>
        </w:rPr>
        <w:t xml:space="preserve"> and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Derivatives</w:t>
      </w:r>
      <w:r>
        <w:rPr>
          <w:rFonts w:ascii="Times New Roman" w:hAnsi="Times New Roman"/>
          <w:caps w:val="false"/>
          <w:smallCaps w:val="false"/>
          <w:sz w:val="20"/>
        </w:rPr>
        <w:t xml:space="preserve"> and were deemed to represent bifurcated derivative instruments that should be recorded as liabilities in the Condensed Consolidated Balance Sheets. The Company performed a Black-Scholes valuation of the warrants as of the issuance date, resulting in a fair value of $2.4387 per warrant. In recording the warrant liability, the Company recorded a debt discount associated with each of the Acquisition and Consolidation Term Loans in an amount of $2,032 and $2,190, respectively. These amounts are being amortized straight-line through interest expense over the life of the loans, resulting in incremental interest expense of $1,267 during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Company has deemed straight-line amortization to be materially consistent with the effective interest method.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In certain circumstances, upon a fundamental transaction of the Company (e.g., a disposal or sale of all or the greater part of the assets or undertaking of the Company, an amalgamation or merger with another company, or implementation of a scheme of arrangement), the holder of the Lender Warrant will have the right to require the Company to repurchase the Lender Warrant at its fair value using a Black Scholes option pricing formula; provided that such holder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require the Company or its successor entity to repurchase the Lender Warrant for the Black Scholes value in connection with a fundamental transaction that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approved by the Company’s Board of Directors, and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the Company’s control.</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the Company amended the terms of the Lender Warrant to remove the holder’s option to exercise such warrant on a cashless basis utilizing the volume weighted average price (“VWAP”) of the Company’s common stock on the trading day immediately preceding the date of a notice of cashless exercise in certain circumstances, and remove the condition to exercising such warrant that the Company’s shareholders approve the exercise thereof (which has already been obtained). The amendments to the Lender Warrant also extend the term of such warrants for an additional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such that the Lender Warrant will expire on </w:t>
      </w:r>
      <w:r>
        <w:rPr>
          <w:rStyle w:val="Emphasis"/>
          <w:rFonts w:ascii="Times New Roman" w:hAnsi="Times New Roman"/>
          <w:caps w:val="false"/>
          <w:smallCaps w:val="false"/>
          <w:sz w:val="20"/>
        </w:rPr>
        <w:t xml:space="preserve">February 17, 2028. </w:t>
      </w:r>
      <w:r>
        <w:rPr>
          <w:rFonts w:ascii="Times New Roman" w:hAnsi="Times New Roman"/>
          <w:caps w:val="false"/>
          <w:smallCaps w:val="false"/>
          <w:sz w:val="20"/>
        </w:rPr>
        <w:t>The foregoing amendments to the Lender Warrant caused such warrants to be accounted for as equity instruments in the Company’s Consolidated Financial Statements.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31, 2022, </w:t>
      </w:r>
      <w:r>
        <w:rPr>
          <w:rFonts w:ascii="Times New Roman" w:hAnsi="Times New Roman"/>
          <w:caps w:val="false"/>
          <w:smallCaps w:val="false"/>
          <w:sz w:val="20"/>
        </w:rPr>
        <w:t>the Borrowers and Slipstream amended the Credit Agreement to provide the Borrowers with a $2,000 term loan ("Term Loan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net proceeds of which are being used by the Company to accelerate an active software development project with potential to expand SaaS revenues associated with an existing customer. The term loan has an annual interest rate of 12.5% and matures on </w:t>
      </w:r>
      <w:r>
        <w:rPr>
          <w:rStyle w:val="Emphasis"/>
          <w:rFonts w:ascii="Times New Roman" w:hAnsi="Times New Roman"/>
          <w:caps w:val="false"/>
          <w:smallCaps w:val="false"/>
          <w:sz w:val="20"/>
        </w:rPr>
        <w:t xml:space="preserve">September 1, 2023. </w:t>
      </w:r>
      <w:r>
        <w:rPr>
          <w:rFonts w:ascii="Times New Roman" w:hAnsi="Times New Roman"/>
          <w:caps w:val="false"/>
          <w:smallCaps w:val="false"/>
          <w:sz w:val="20"/>
        </w:rPr>
        <w:t xml:space="preserve">Commencing on </w:t>
      </w:r>
      <w:r>
        <w:rPr>
          <w:rStyle w:val="Emphasis"/>
          <w:rFonts w:ascii="Times New Roman" w:hAnsi="Times New Roman"/>
          <w:caps w:val="false"/>
          <w:smallCaps w:val="false"/>
          <w:sz w:val="20"/>
        </w:rPr>
        <w:t xml:space="preserve">February 1, 2023, </w:t>
      </w:r>
      <w:r>
        <w:rPr>
          <w:rFonts w:ascii="Times New Roman" w:hAnsi="Times New Roman"/>
          <w:caps w:val="false"/>
          <w:smallCaps w:val="false"/>
          <w:sz w:val="20"/>
        </w:rPr>
        <w:t>the Borrowers will make monthly installment payments of approximately $270 until the maturity date, consisting of principal and interest sufficient to fully amortize the term loan through the maturity date.</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Times New Roman" w:hAnsi="Times New Roman"/>
          <w:b/>
          <w:i/>
          <w:caps w:val="false"/>
          <w:smallCaps w:val="false"/>
          <w:sz w:val="20"/>
        </w:rPr>
      </w:pPr>
      <w:r>
        <w:rPr>
          <w:rFonts w:ascii="Times New Roman" w:hAnsi="Times New Roman"/>
          <w:b/>
          <w:i/>
          <w:caps w:val="false"/>
          <w:smallCaps w:val="false"/>
          <w:sz w:val="20"/>
        </w:rPr>
        <w:t>Loan and Security Agreement History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Prior to the execution of the Credit Agreement, Borrower and Slipstream were parties to a Loan and Security Agreement. On </w:t>
      </w:r>
      <w:r>
        <w:rPr>
          <w:rStyle w:val="Emphasis"/>
          <w:rFonts w:ascii="Times New Roman" w:hAnsi="Times New Roman"/>
          <w:caps w:val="false"/>
          <w:smallCaps w:val="false"/>
          <w:sz w:val="20"/>
        </w:rPr>
        <w:t xml:space="preserve">March 7, 2021,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28, 2021, January 31, 2021, December 31, 2020, November 30,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September 29, 2020, </w:t>
      </w:r>
      <w:r>
        <w:rPr>
          <w:rFonts w:ascii="Times New Roman" w:hAnsi="Times New Roman"/>
          <w:caps w:val="false"/>
          <w:smallCaps w:val="false"/>
          <w:sz w:val="20"/>
        </w:rPr>
        <w:t xml:space="preserve">the parties entered into several amendments to the Loan and Security Agreement to amend the automatic conversion date of the Special Loan and, later, to eliminate the conversion feature. Each amendment extended the automatic conversion date of the Special Loan. The Company paid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fees in exchange for these extensions, with the exception of the </w:t>
      </w:r>
      <w:r>
        <w:rPr>
          <w:rStyle w:val="Emphasis"/>
          <w:rFonts w:ascii="Times New Roman" w:hAnsi="Times New Roman"/>
          <w:caps w:val="false"/>
          <w:smallCaps w:val="false"/>
          <w:sz w:val="20"/>
        </w:rPr>
        <w:t xml:space="preserve">March 7, 2021 </w:t>
      </w:r>
      <w:r>
        <w:rPr>
          <w:rFonts w:ascii="Times New Roman" w:hAnsi="Times New Roman"/>
          <w:caps w:val="false"/>
          <w:smallCaps w:val="false"/>
          <w:sz w:val="20"/>
        </w:rPr>
        <w:t xml:space="preserve">extension which resulted in the Company recording of $133 of incremental debt discount, a net gain of $26 via the extinguishment of the Special Loan, and expense of $69 of costs incurred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as a result of extinguishment of the Special Loan, modification of the New Term Loan, and extinguishment of the Disbursed Escrow Loan.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21</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 xml:space="preserve">Secured Disbursed Escrow Promissory Note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Fourth Amendment to the Loan and Security Agreement included entry into a Secured Disbursed Escrow Promissory Note between the Company and Slipstream, and, effective </w:t>
      </w:r>
      <w:r>
        <w:rPr>
          <w:rStyle w:val="Emphasis"/>
          <w:rFonts w:ascii="Times New Roman" w:hAnsi="Times New Roman"/>
          <w:caps w:val="false"/>
          <w:smallCaps w:val="false"/>
          <w:sz w:val="20"/>
        </w:rPr>
        <w:t xml:space="preserve">June 30, 2018, </w:t>
      </w:r>
      <w:r>
        <w:rPr>
          <w:rFonts w:ascii="Times New Roman" w:hAnsi="Times New Roman"/>
          <w:caps w:val="false"/>
          <w:smallCaps w:val="false"/>
          <w:sz w:val="20"/>
        </w:rPr>
        <w:t xml:space="preserve">we drew $264 in conjunction with our exit from a previously leased operating facility. The principal amount of the Secured Disbursed Escrow Promissory Note bears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interest. Upon entry into the Prior Credit Agreement on </w:t>
      </w:r>
      <w:r>
        <w:rPr>
          <w:rStyle w:val="Emphasis"/>
          <w:rFonts w:ascii="Times New Roman" w:hAnsi="Times New Roman"/>
          <w:caps w:val="false"/>
          <w:smallCaps w:val="false"/>
          <w:sz w:val="20"/>
        </w:rPr>
        <w:t xml:space="preserve">March 7, 2021, </w:t>
      </w:r>
      <w:r>
        <w:rPr>
          <w:rFonts w:ascii="Times New Roman" w:hAnsi="Times New Roman"/>
          <w:caps w:val="false"/>
          <w:smallCaps w:val="false"/>
          <w:sz w:val="20"/>
        </w:rPr>
        <w:t>this note was converted into Disbursed Escrow Conversion Shares, with elimination of the debt recorded as an equity issuance within the Statements of Shareholders' Equity.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SBA Paycheck Protection Program Loan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27, 2020, </w:t>
      </w:r>
      <w:r>
        <w:rPr>
          <w:rFonts w:ascii="Times New Roman" w:hAnsi="Times New Roman"/>
          <w:caps w:val="false"/>
          <w:smallCaps w:val="false"/>
          <w:sz w:val="20"/>
        </w:rPr>
        <w:t>the Company entered into a Promissory Note with Old National Bank (the “Promissory Note”), which provided for an unsecured loan of $1,552 (the “PPP Loan”) pursuant to the Paycheck Protection Program under the Coronavirus Aid, Relief, and Economic Security Act and applicable regulations (the “CARES Act”). The Promissory Note had a term of two years with a 1% per annum interest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11, 2021, </w:t>
      </w:r>
      <w:r>
        <w:rPr>
          <w:rFonts w:ascii="Times New Roman" w:hAnsi="Times New Roman"/>
          <w:caps w:val="false"/>
          <w:smallCaps w:val="false"/>
          <w:sz w:val="20"/>
        </w:rPr>
        <w:t xml:space="preserve">the Company received a notice from Old National Bank that the full principal amount of the PPP Loan and the accrued interest have been forgiven, resulting in a gain of $1,552 during the year-ended </w:t>
      </w:r>
      <w:r>
        <w:rPr>
          <w:rStyle w:val="Emphasis"/>
          <w:rFonts w:ascii="Times New Roman" w:hAnsi="Times New Roman"/>
          <w:caps w:val="false"/>
          <w:smallCaps w:val="false"/>
          <w:sz w:val="20"/>
        </w:rPr>
        <w:t>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b/>
          <w:i/>
          <w:caps w:val="false"/>
          <w:smallCaps w:val="false"/>
          <w:sz w:val="20"/>
        </w:rPr>
      </w:pPr>
      <w:r>
        <w:rPr>
          <w:rFonts w:ascii="Times New Roman" w:hAnsi="Times New Roman"/>
          <w:b/>
          <w:i/>
          <w:caps w:val="false"/>
          <w:smallCaps w:val="false"/>
          <w:sz w:val="20"/>
        </w:rPr>
        <w:t>Amended and Restated Seller Note from acquisition of Allure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Amended and Restated Seller Note represented a note payable due from Allure to Seller, under a pre-existing Seller Note which was amended and restated to a reduced amount of $1,637 through the Stock Purchase Agreement and a subsequent net working capital adjustment. That debt accrued interest at 3.5% per annum, and required us to make quarterly payments of interest only through </w:t>
      </w:r>
      <w:r>
        <w:rPr>
          <w:rStyle w:val="Emphasis"/>
          <w:rFonts w:ascii="Times New Roman" w:hAnsi="Times New Roman"/>
          <w:caps w:val="false"/>
          <w:smallCaps w:val="false"/>
          <w:sz w:val="20"/>
        </w:rPr>
        <w:t xml:space="preserve">February 19, 2020, </w:t>
      </w:r>
      <w:r>
        <w:rPr>
          <w:rFonts w:ascii="Times New Roman" w:hAnsi="Times New Roman"/>
          <w:caps w:val="false"/>
          <w:smallCaps w:val="false"/>
          <w:sz w:val="20"/>
        </w:rPr>
        <w:t>on which date the promissory note matured and all remaining amounts owing thereunder became due.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20, 2020, </w:t>
      </w:r>
      <w:r>
        <w:rPr>
          <w:rFonts w:ascii="Times New Roman" w:hAnsi="Times New Roman"/>
          <w:caps w:val="false"/>
          <w:smallCaps w:val="false"/>
          <w:sz w:val="20"/>
        </w:rPr>
        <w:t>Creative Realities, Inc. and Allure made a demand for arbitration against Seller for (</w:t>
      </w:r>
      <w:r>
        <w:rPr>
          <w:rStyle w:val="Emphasis"/>
          <w:rFonts w:ascii="Times New Roman" w:hAnsi="Times New Roman"/>
          <w:caps w:val="false"/>
          <w:smallCaps w:val="false"/>
          <w:sz w:val="20"/>
        </w:rPr>
        <w:t>1</w:t>
      </w:r>
      <w:r>
        <w:rPr>
          <w:rFonts w:ascii="Times New Roman" w:hAnsi="Times New Roman"/>
          <w:caps w:val="false"/>
          <w:smallCaps w:val="false"/>
          <w:sz w:val="20"/>
        </w:rPr>
        <w:t>) breach of contract, (</w:t>
      </w:r>
      <w:r>
        <w:rPr>
          <w:rStyle w:val="Emphasis"/>
          <w:rFonts w:ascii="Times New Roman" w:hAnsi="Times New Roman"/>
          <w:caps w:val="false"/>
          <w:smallCaps w:val="false"/>
          <w:sz w:val="20"/>
        </w:rPr>
        <w:t>2</w:t>
      </w:r>
      <w:r>
        <w:rPr>
          <w:rFonts w:ascii="Times New Roman" w:hAnsi="Times New Roman"/>
          <w:caps w:val="false"/>
          <w:smallCaps w:val="false"/>
          <w:sz w:val="20"/>
        </w:rPr>
        <w:t>) indemnification, and (</w:t>
      </w:r>
      <w:r>
        <w:rPr>
          <w:rStyle w:val="Emphasis"/>
          <w:rFonts w:ascii="Times New Roman" w:hAnsi="Times New Roman"/>
          <w:caps w:val="false"/>
          <w:smallCaps w:val="false"/>
          <w:sz w:val="20"/>
        </w:rPr>
        <w:t>3</w:t>
      </w:r>
      <w:r>
        <w:rPr>
          <w:rFonts w:ascii="Times New Roman" w:hAnsi="Times New Roman"/>
          <w:caps w:val="false"/>
          <w:smallCaps w:val="false"/>
          <w:sz w:val="20"/>
        </w:rPr>
        <w:t>) fraudulent misrepresentation under the Allure Purchase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13, 2021, </w:t>
      </w:r>
      <w:r>
        <w:rPr>
          <w:rFonts w:ascii="Times New Roman" w:hAnsi="Times New Roman"/>
          <w:caps w:val="false"/>
          <w:smallCaps w:val="false"/>
          <w:sz w:val="20"/>
        </w:rPr>
        <w:t>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As a result of this settlement, the full principal amount of the Seller Note and the accrued interest were eliminated, resulting in a gain in the Consolidated Financial Statements of $1,624, representing $1,538 related to the Seller Note and $86 of related interest thereon, during </w:t>
      </w:r>
      <w:r>
        <w:rPr>
          <w:rStyle w:val="Emphasis"/>
          <w:rFonts w:ascii="Times New Roman" w:hAnsi="Times New Roman"/>
          <w:caps w:val="false"/>
          <w:smallCaps w:val="false"/>
          <w:sz w:val="20"/>
        </w:rPr>
        <w:t>2021.</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22</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bookmarkStart w:id="47" w:name="note9"/>
      <w:bookmarkEnd w:id="47"/>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9:</w:t>
      </w:r>
      <w:r>
        <w:rPr>
          <w:rFonts w:ascii="Times New Roman" w:hAnsi="Times New Roman"/>
          <w:b/>
          <w:caps w:val="false"/>
          <w:smallCaps w:val="false"/>
          <w:sz w:val="20"/>
          <w:u w:val="single"/>
        </w:rPr>
        <w:t xml:space="preserve"> COMMITMENTS AND CONTINGENCIES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i/>
          <w:caps w:val="false"/>
          <w:smallCaps w:val="false"/>
          <w:sz w:val="20"/>
        </w:rPr>
      </w:pPr>
      <w:r>
        <w:rPr>
          <w:rFonts w:ascii="Times New Roman" w:hAnsi="Times New Roman"/>
          <w:i/>
          <w:caps w:val="false"/>
          <w:smallCaps w:val="false"/>
          <w:sz w:val="20"/>
        </w:rPr>
        <w:t>Litigation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 2019, </w:t>
      </w:r>
      <w:r>
        <w:rPr>
          <w:rFonts w:ascii="Times New Roman" w:hAnsi="Times New Roman"/>
          <w:caps w:val="false"/>
          <w:smallCaps w:val="false"/>
          <w:sz w:val="20"/>
        </w:rPr>
        <w:t xml:space="preserve">the Company filed suit in Jefferson Circuit Court, Kentucky, against a supplier of the Company’s wholly owned subsidiary, Allure Global Solutions, Inc. (“Allure”) for breach of contract, breach of warranty, and negligence with respect to equipment installations performed by such supplier for an Allure customer. On </w:t>
      </w:r>
      <w:r>
        <w:rPr>
          <w:rStyle w:val="Emphasis"/>
          <w:rFonts w:ascii="Times New Roman" w:hAnsi="Times New Roman"/>
          <w:caps w:val="false"/>
          <w:smallCaps w:val="false"/>
          <w:sz w:val="20"/>
        </w:rPr>
        <w:t xml:space="preserve">October 10, 2019, </w:t>
      </w:r>
      <w:r>
        <w:rPr>
          <w:rFonts w:ascii="Times New Roman" w:hAnsi="Times New Roman"/>
          <w:caps w:val="false"/>
          <w:smallCaps w:val="false"/>
          <w:sz w:val="20"/>
        </w:rPr>
        <w:t xml:space="preserve">the Allure customer that is the basis of our claim above sent a demand to the Company for payment of $3,200 as settlement for an alleged breach of contract related to hardware failures of equipment installations performed by Allure between </w:t>
      </w:r>
      <w:r>
        <w:rPr>
          <w:rStyle w:val="Emphasis"/>
          <w:rFonts w:ascii="Times New Roman" w:hAnsi="Times New Roman"/>
          <w:caps w:val="false"/>
          <w:smallCaps w:val="false"/>
          <w:sz w:val="20"/>
        </w:rPr>
        <w:t xml:space="preserve">November 2017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2018.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10, 2023, </w:t>
      </w:r>
      <w:r>
        <w:rPr>
          <w:rFonts w:ascii="Times New Roman" w:hAnsi="Times New Roman"/>
          <w:caps w:val="false"/>
          <w:smallCaps w:val="false"/>
          <w:sz w:val="20"/>
        </w:rPr>
        <w:t>the Company, the supplier and the Allure customer reached a Settlement Agreement and Release of Claims ("Settlement Agreement"). Pursuant to the Settlement Agreement, the Company is obligated to pay $733; however, its insurer has agreed to pay $700 of that amount.  Thus, the Company is obligated to pay $33 of the settlement amount.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20, 2020, </w:t>
      </w:r>
      <w:r>
        <w:rPr>
          <w:rFonts w:ascii="Times New Roman" w:hAnsi="Times New Roman"/>
          <w:caps w:val="false"/>
          <w:smallCaps w:val="false"/>
          <w:sz w:val="20"/>
        </w:rPr>
        <w:t>Creative Realities, Inc. and Allure made a demand for arbitration against Seller for (</w:t>
      </w:r>
      <w:r>
        <w:rPr>
          <w:rStyle w:val="Emphasis"/>
          <w:rFonts w:ascii="Times New Roman" w:hAnsi="Times New Roman"/>
          <w:caps w:val="false"/>
          <w:smallCaps w:val="false"/>
          <w:sz w:val="20"/>
        </w:rPr>
        <w:t>1</w:t>
      </w:r>
      <w:r>
        <w:rPr>
          <w:rFonts w:ascii="Times New Roman" w:hAnsi="Times New Roman"/>
          <w:caps w:val="false"/>
          <w:smallCaps w:val="false"/>
          <w:sz w:val="20"/>
        </w:rPr>
        <w:t>) breach of contract, (</w:t>
      </w:r>
      <w:r>
        <w:rPr>
          <w:rStyle w:val="Emphasis"/>
          <w:rFonts w:ascii="Times New Roman" w:hAnsi="Times New Roman"/>
          <w:caps w:val="false"/>
          <w:smallCaps w:val="false"/>
          <w:sz w:val="20"/>
        </w:rPr>
        <w:t>2</w:t>
      </w:r>
      <w:r>
        <w:rPr>
          <w:rFonts w:ascii="Times New Roman" w:hAnsi="Times New Roman"/>
          <w:caps w:val="false"/>
          <w:smallCaps w:val="false"/>
          <w:sz w:val="20"/>
        </w:rPr>
        <w:t>) indemnification, and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fraudulent misrepresentation under the Allure Purchase Agreement. This demand included a claim for the right to offset the amounts owing under the Amended and Restated Seller Note due </w:t>
      </w:r>
      <w:r>
        <w:rPr>
          <w:rStyle w:val="Emphasis"/>
          <w:rFonts w:ascii="Times New Roman" w:hAnsi="Times New Roman"/>
          <w:caps w:val="false"/>
          <w:smallCaps w:val="false"/>
          <w:sz w:val="20"/>
        </w:rPr>
        <w:t xml:space="preserve">February 20, 2020. </w:t>
      </w:r>
      <w:r>
        <w:rPr>
          <w:rFonts w:ascii="Times New Roman" w:hAnsi="Times New Roman"/>
          <w:caps w:val="false"/>
          <w:smallCaps w:val="false"/>
          <w:sz w:val="20"/>
        </w:rPr>
        <w:t xml:space="preserve">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pay the Amended and Restated Seller Note on its maturity date. On </w:t>
      </w:r>
      <w:r>
        <w:rPr>
          <w:rStyle w:val="Emphasis"/>
          <w:rFonts w:ascii="Times New Roman" w:hAnsi="Times New Roman"/>
          <w:caps w:val="false"/>
          <w:smallCaps w:val="false"/>
          <w:sz w:val="20"/>
        </w:rPr>
        <w:t xml:space="preserve">February 27, 2020, </w:t>
      </w:r>
      <w:r>
        <w:rPr>
          <w:rFonts w:ascii="Times New Roman" w:hAnsi="Times New Roman"/>
          <w:caps w:val="false"/>
          <w:smallCaps w:val="false"/>
          <w:sz w:val="20"/>
        </w:rPr>
        <w:t xml:space="preserve">Seller sent the Company a notice of breach for failure to pay the Amended and Restated Seller Note on the maturity date of </w:t>
      </w:r>
      <w:r>
        <w:rPr>
          <w:rStyle w:val="Emphasis"/>
          <w:rFonts w:ascii="Times New Roman" w:hAnsi="Times New Roman"/>
          <w:caps w:val="false"/>
          <w:smallCaps w:val="false"/>
          <w:sz w:val="20"/>
        </w:rPr>
        <w:t xml:space="preserve">February 20, 2020 </w:t>
      </w:r>
      <w:r>
        <w:rPr>
          <w:rFonts w:ascii="Times New Roman" w:hAnsi="Times New Roman"/>
          <w:caps w:val="false"/>
          <w:smallCaps w:val="false"/>
          <w:sz w:val="20"/>
        </w:rPr>
        <w:t xml:space="preserve">and demanding immediate payment. On </w:t>
      </w:r>
      <w:r>
        <w:rPr>
          <w:rStyle w:val="Emphasis"/>
          <w:rFonts w:ascii="Times New Roman" w:hAnsi="Times New Roman"/>
          <w:caps w:val="false"/>
          <w:smallCaps w:val="false"/>
          <w:sz w:val="20"/>
        </w:rPr>
        <w:t xml:space="preserve">September 11, 2020, </w:t>
      </w:r>
      <w:r>
        <w:rPr>
          <w:rFonts w:ascii="Times New Roman" w:hAnsi="Times New Roman"/>
          <w:caps w:val="false"/>
          <w:smallCaps w:val="false"/>
          <w:sz w:val="20"/>
        </w:rPr>
        <w:t xml:space="preserve">the Company served a First Amended Demand in the arbitration with Seller, and on </w:t>
      </w:r>
      <w:r>
        <w:rPr>
          <w:rStyle w:val="Emphasis"/>
          <w:rFonts w:ascii="Times New Roman" w:hAnsi="Times New Roman"/>
          <w:caps w:val="false"/>
          <w:smallCaps w:val="false"/>
          <w:sz w:val="20"/>
        </w:rPr>
        <w:t xml:space="preserve">November 5, 2020, </w:t>
      </w:r>
      <w:r>
        <w:rPr>
          <w:rFonts w:ascii="Times New Roman" w:hAnsi="Times New Roman"/>
          <w:caps w:val="false"/>
          <w:smallCaps w:val="false"/>
          <w:sz w:val="20"/>
        </w:rPr>
        <w:t>Seller pre-served a Motion for Summary Disposition in the arbitration demanding payment of the Amended and Restated Seller Note and accrued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13, 2021, </w:t>
      </w:r>
      <w:r>
        <w:rPr>
          <w:rFonts w:ascii="Times New Roman" w:hAnsi="Times New Roman"/>
          <w:caps w:val="false"/>
          <w:smallCaps w:val="false"/>
          <w:sz w:val="20"/>
        </w:rPr>
        <w:t xml:space="preserve">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 The Company recorded a gain on settlement of obligations of $1,624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upon settlement.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Except as noted above,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party to any other material legal proceedings, other than ordinary routine litigation incidental to the business, and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such proceedings pending during the period covered by this Annual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Times New Roman" w:hAnsi="Times New Roman"/>
          <w:i/>
          <w:caps w:val="false"/>
          <w:smallCaps w:val="false"/>
          <w:sz w:val="20"/>
        </w:rPr>
      </w:pPr>
      <w:r>
        <w:rPr>
          <w:rFonts w:ascii="Times New Roman" w:hAnsi="Times New Roman"/>
          <w:i/>
          <w:caps w:val="false"/>
          <w:smallCaps w:val="false"/>
          <w:sz w:val="20"/>
        </w:rPr>
        <w:t>Settlement of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individually material settlements during the year-ended </w:t>
      </w:r>
      <w:r>
        <w:rPr>
          <w:rStyle w:val="Emphasis"/>
          <w:rFonts w:ascii="Times New Roman" w:hAnsi="Times New Roman"/>
          <w:caps w:val="false"/>
          <w:smallCaps w:val="false"/>
          <w:sz w:val="20"/>
        </w:rPr>
        <w:t>December 31, 2022.</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 the full principal amount of the PPP Loan and the accrued interest of $1,552 were forgiven and recorded as a gain on settlement, (ii) the Company settled the Amended and Restated Seller Note and related accrued interest for $100, recording a gain on settlement of $1,624, representing $1,538 related to the Amended and Restated Seller Note and $86 of related interest thereon, and (iii) the statute of limitations passed related to the remaining liability on a lease abandoned by the Company in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resulting in a gain of $256. During the year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the Company settled and/or wrote off obligations of $348 for aggregate cash payments of $139 and recognized a gain of $209 related to legacy accounts payable deemed to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legal obligations to vendors.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23</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bookmarkStart w:id="48" w:name="note10"/>
      <w:bookmarkEnd w:id="48"/>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10:</w:t>
      </w:r>
      <w:r>
        <w:rPr>
          <w:rFonts w:ascii="Times New Roman" w:hAnsi="Times New Roman"/>
          <w:b/>
          <w:caps w:val="false"/>
          <w:smallCaps w:val="false"/>
          <w:sz w:val="20"/>
          <w:u w:val="single"/>
        </w:rPr>
        <w:t xml:space="preserve"> BUSINESS COMBINATION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12, 2021, </w:t>
      </w:r>
      <w:r>
        <w:rPr>
          <w:rFonts w:ascii="Times New Roman" w:hAnsi="Times New Roman"/>
          <w:caps w:val="false"/>
          <w:smallCaps w:val="false"/>
          <w:sz w:val="20"/>
        </w:rPr>
        <w:t xml:space="preserve">the Company and Reflect Systems, Inc., or “Reflect,” entered into an Agreement and Plan of Merger (as amended on </w:t>
      </w:r>
      <w:r>
        <w:rPr>
          <w:rStyle w:val="Emphasis"/>
          <w:rFonts w:ascii="Times New Roman" w:hAnsi="Times New Roman"/>
          <w:caps w:val="false"/>
          <w:smallCaps w:val="false"/>
          <w:sz w:val="20"/>
        </w:rPr>
        <w:t xml:space="preserve">February 8,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February 11, 2023, </w:t>
      </w:r>
      <w:r>
        <w:rPr>
          <w:rFonts w:ascii="Times New Roman" w:hAnsi="Times New Roman"/>
          <w:caps w:val="false"/>
          <w:smallCaps w:val="false"/>
          <w:sz w:val="20"/>
        </w:rPr>
        <w:t xml:space="preserve">the “Merger Agreement") pursuant to which a direct, wholly owned subsidiary of Creative Realities, CRI Acquisition Corporation, or “Merger Sub,” would merge with and into Reflect, with Reflect surviving the merger and becoming our wholly owned subsidiary, which transaction is referred to herein as the “Merger.” On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the parties consummated the Merger.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Subject to the terms and conditions of the Merger Agreement, upon the closing of the Merger, Reflect stockholders as of the effective time of the Merger collectively received from the Company, in the aggregate, the following Merger consideration: (i) $16,166 in cash, (ii) 777,778 shares of common stock of Creative Realities (valued based on an issuance price of $6 per share) (the “CREX Shares”), (iii) the Secured Promissory Note (as described below), and (iv) supplemental cash payments (the “Guaranteed Consideration”), if any, payable on or after </w:t>
      </w:r>
      <w:r>
        <w:rPr>
          <w:rStyle w:val="Emphasis"/>
          <w:rFonts w:ascii="Times New Roman" w:hAnsi="Times New Roman"/>
          <w:caps w:val="false"/>
          <w:smallCaps w:val="false"/>
          <w:sz w:val="20"/>
        </w:rPr>
        <w:t>February 17, 2025 (</w:t>
      </w:r>
      <w:r>
        <w:rPr>
          <w:rFonts w:ascii="Times New Roman" w:hAnsi="Times New Roman"/>
          <w:caps w:val="false"/>
          <w:smallCaps w:val="false"/>
          <w:sz w:val="20"/>
        </w:rPr>
        <w:t xml:space="preserve">subject to the Extension Option described below, the “Guarantee Date”), in an amount by which the value of the CREX Shares on such anniversary is less than $19.20 per share, or if certain customers of Reflect collectively achieve over 85,000 billable devices online at any time on or before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is less than $21.60 per share (such applicable amount, the “Guaranteed Price”), multiplied by the amount of CREX Shares held by the Reflect stockholders on the Guarantee Date (subject to the Extension Option described below).  At or before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condition of certain customers of Reflect collectively to achieve over 85,000 billable devices online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Accordingly, the contingent cash payment amount was reduced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from $21.60 per share to $19.20 per share, a reduction of $2.40 per share.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exercise an extension option (the “Extension Option”) to extend the Guarantee Date by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months, from </w:t>
      </w:r>
      <w:r>
        <w:rPr>
          <w:rStyle w:val="Emphasis"/>
          <w:rFonts w:ascii="Times New Roman" w:hAnsi="Times New Roman"/>
          <w:caps w:val="false"/>
          <w:smallCaps w:val="false"/>
          <w:sz w:val="20"/>
        </w:rPr>
        <w:t xml:space="preserve">February 17, 2025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August 17, 2025, </w:t>
      </w:r>
      <w:r>
        <w:rPr>
          <w:rFonts w:ascii="Times New Roman" w:hAnsi="Times New Roman"/>
          <w:caps w:val="false"/>
          <w:smallCaps w:val="false"/>
          <w:sz w:val="20"/>
        </w:rPr>
        <w:t xml:space="preserve">if (i) the Extension Threshold Price is greater than or equal to 70% of the Guaranteed Price described above, and (ii) the Company provides written notice of its election to exercise the Extension Option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later than </w:t>
      </w:r>
      <w:r>
        <w:rPr>
          <w:rStyle w:val="Emphasis"/>
          <w:rFonts w:ascii="Times New Roman" w:hAnsi="Times New Roman"/>
          <w:caps w:val="false"/>
          <w:smallCaps w:val="false"/>
          <w:sz w:val="20"/>
        </w:rPr>
        <w:t xml:space="preserve">February 7, 2025. </w:t>
      </w:r>
      <w:r>
        <w:rPr>
          <w:rFonts w:ascii="Times New Roman" w:hAnsi="Times New Roman"/>
          <w:caps w:val="false"/>
          <w:smallCaps w:val="false"/>
          <w:sz w:val="20"/>
        </w:rPr>
        <w:t xml:space="preserve">The “Extension Threshold Price” means the average closing price per share of Creative Realities common stock as reported on the Nasdaq Capital Market (or NYSE) in the </w:t>
      </w:r>
      <w:r>
        <w:rPr>
          <w:rStyle w:val="Emphasis"/>
          <w:rFonts w:ascii="Times New Roman" w:hAnsi="Times New Roman"/>
          <w:caps w:val="false"/>
          <w:smallCaps w:val="false"/>
          <w:sz w:val="20"/>
        </w:rPr>
        <w:t>fifteen</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consecutive trading day period ending </w:t>
      </w:r>
      <w:r>
        <w:rPr>
          <w:rStyle w:val="Emphasis"/>
          <w:rFonts w:ascii="Times New Roman" w:hAnsi="Times New Roman"/>
          <w:caps w:val="false"/>
          <w:smallCaps w:val="false"/>
          <w:sz w:val="20"/>
        </w:rPr>
        <w:t xml:space="preserve">February 2, 2025. </w:t>
      </w:r>
      <w:r>
        <w:rPr>
          <w:rFonts w:ascii="Times New Roman" w:hAnsi="Times New Roman"/>
          <w:caps w:val="false"/>
          <w:smallCaps w:val="false"/>
          <w:sz w:val="20"/>
        </w:rPr>
        <w:t>If the Extension Threshold Price is less than 80% of the Guaranteed Price, then the Guaranteed Price will be increased by $3.00 per share.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 connection with the Merger, the Company adopted a Retention Bonus Plan and raised capital to, among other things, pay the cash portion of the Merger consideration. The Retention Bonus Plan is described below.</w:t>
      </w:r>
    </w:p>
    <w:p>
      <w:pPr>
        <w:pStyle w:val="TextBody"/>
        <w:spacing w:before="0" w:after="0"/>
        <w:ind w:left="16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Retention Bonus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17,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 connection with the closing of the Merger (the “Closing”), the Company adopted a Retention Bonus Plan, pursuant to which the Company is required to pay to key members of Reflect’s management team an aggregate of $1,334 in cash, which was paid 50% at the Closing, and subject to continuous employment with Reflect or Creative Realities, 25% will be paid on </w:t>
      </w:r>
      <w:r>
        <w:rPr>
          <w:rStyle w:val="Emphasis"/>
          <w:rFonts w:ascii="Times New Roman" w:hAnsi="Times New Roman"/>
          <w:caps w:val="false"/>
          <w:smallCaps w:val="false"/>
          <w:sz w:val="20"/>
        </w:rPr>
        <w:t>February 17,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anniversary of Closing) and 25% will be paid on </w:t>
      </w:r>
      <w:r>
        <w:rPr>
          <w:rStyle w:val="Emphasis"/>
          <w:rFonts w:ascii="Times New Roman" w:hAnsi="Times New Roman"/>
          <w:caps w:val="false"/>
          <w:smallCaps w:val="false"/>
          <w:sz w:val="20"/>
        </w:rPr>
        <w:t>February 17,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-year anniversary of the Closing). The future cash payments due on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and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-year anniversaries of the Closing have been deposited into an escrow agreement. The Retention Bonus Plan also requires the Company to issue Common Stock having an aggregate value of $667 to the plan participants as follows: 50% of the value of such shares were issued at the Closing, and subject to continuous employment with Reflect or Creative Realities, 25% of the value of such shares will be issued on </w:t>
      </w:r>
      <w:r>
        <w:rPr>
          <w:rStyle w:val="Emphasis"/>
          <w:rFonts w:ascii="Times New Roman" w:hAnsi="Times New Roman"/>
          <w:caps w:val="false"/>
          <w:smallCaps w:val="false"/>
          <w:sz w:val="20"/>
        </w:rPr>
        <w:t>February 17,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anniversary of Closing) and the remaining 25% of the value of such shares will be issued on </w:t>
      </w:r>
      <w:r>
        <w:rPr>
          <w:rStyle w:val="Emphasis"/>
          <w:rFonts w:ascii="Times New Roman" w:hAnsi="Times New Roman"/>
          <w:caps w:val="false"/>
          <w:smallCaps w:val="false"/>
          <w:sz w:val="20"/>
        </w:rPr>
        <w:t>February 17,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-year anniversary of the Closing). The shares issued on the Closing were valued at $6.00 per share, and the shares to be issued after the Closing will be determined based on dividing the value of shares issuable on such date divided by the trailing </w:t>
      </w:r>
      <w:r>
        <w:rPr>
          <w:rStyle w:val="Emphasis"/>
          <w:rFonts w:ascii="Times New Roman" w:hAnsi="Times New Roman"/>
          <w:caps w:val="false"/>
          <w:smallCaps w:val="false"/>
          <w:sz w:val="20"/>
        </w:rPr>
        <w:t>10</w:t>
      </w:r>
      <w:r>
        <w:rPr>
          <w:rFonts w:ascii="Times New Roman" w:hAnsi="Times New Roman"/>
          <w:caps w:val="false"/>
          <w:smallCaps w:val="false"/>
          <w:sz w:val="20"/>
        </w:rPr>
        <w:t>-day volume weighted average price (VWAP) of the shares as of such date as reported on the Nasdaq Capital Market.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Upon the resignation of a participant’s employment for “good reason,” or termination of the employment of a participant without “cause,” each as defined in the Retention Bonus Plan, the participant will be fully vested and will receive all cash and shares allocated to such participant under the Retention Bonus Plan. Any amounts unpaid by reason of a lapse in continuous employment or otherwise will be reallocated among the remaining Retention Bonus Plan participants.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24</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160" w:right="0" w:hanging="0"/>
        <w:rPr>
          <w:rFonts w:ascii="Times New Roman" w:hAnsi="Times New Roman"/>
          <w:i/>
          <w:caps w:val="false"/>
          <w:smallCaps w:val="false"/>
          <w:sz w:val="20"/>
        </w:rPr>
      </w:pPr>
      <w:r>
        <w:rPr>
          <w:rFonts w:ascii="Times New Roman" w:hAnsi="Times New Roman"/>
          <w:i/>
          <w:caps w:val="false"/>
          <w:smallCaps w:val="false"/>
          <w:sz w:val="20"/>
        </w:rPr>
        <w:t>Purchase price </w:t>
      </w:r>
    </w:p>
    <w:p>
      <w:pPr>
        <w:pStyle w:val="TextBody"/>
        <w:spacing w:before="0" w:after="0"/>
        <w:ind w:left="50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preliminary purchase price of Reflect consisted of the following items:</w:t>
      </w:r>
    </w:p>
    <w:p>
      <w:pPr>
        <w:pStyle w:val="TextBody"/>
        <w:spacing w:before="0" w:after="0"/>
        <w:ind w:left="0" w:right="0" w:firstLine="720"/>
        <w:rPr>
          <w:caps w:val="false"/>
          <w:smallCaps w:val="false"/>
        </w:rPr>
      </w:pPr>
      <w:r>
        <w:rPr>
          <w:caps w:val="false"/>
          <w:smallCaps w:val="false"/>
        </w:rPr>
        <w:t> </w:t>
      </w:r>
    </w:p>
    <w:tbl>
      <w:tblPr>
        <w:tblW w:w="5475" w:type="dxa"/>
        <w:jc w:val="left"/>
        <w:tblInd w:w="0" w:type="dxa"/>
        <w:tblCellMar>
          <w:top w:w="0" w:type="dxa"/>
          <w:left w:w="0" w:type="dxa"/>
          <w:bottom w:w="0" w:type="dxa"/>
          <w:right w:w="0" w:type="dxa"/>
        </w:tblCellMar>
      </w:tblPr>
      <w:tblGrid>
        <w:gridCol w:w="4115"/>
        <w:gridCol w:w="60"/>
        <w:gridCol w:w="213"/>
        <w:gridCol w:w="1007"/>
        <w:gridCol w:w="80"/>
      </w:tblGrid>
      <w:tr>
        <w:trPr/>
        <w:tc>
          <w:tcPr>
            <w:tcW w:w="4115" w:type="dxa"/>
            <w:tcBorders/>
            <w:shd w:fill="auto" w:val="clear"/>
            <w:vAlign w:val="center"/>
          </w:tcPr>
          <w:p>
            <w:pPr>
              <w:pStyle w:val="TableContents"/>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 thousands)</w:t>
            </w:r>
          </w:p>
        </w:tc>
        <w:tc>
          <w:tcPr>
            <w:tcW w:w="60" w:type="dxa"/>
            <w:tcBorders/>
            <w:shd w:fill="auto" w:val="clear"/>
            <w:vAlign w:val="center"/>
          </w:tcPr>
          <w:p>
            <w:pPr>
              <w:pStyle w:val="TableContents"/>
              <w:spacing w:before="0" w:after="283"/>
              <w:ind w:left="0" w:right="0" w:hanging="0"/>
              <w:rPr/>
            </w:pPr>
            <w:r>
              <w:rPr/>
              <w:t> </w:t>
            </w:r>
          </w:p>
        </w:tc>
        <w:tc>
          <w:tcPr>
            <w:tcW w:w="12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Consideration</w:t>
            </w:r>
          </w:p>
        </w:tc>
        <w:tc>
          <w:tcPr>
            <w:tcW w:w="80" w:type="dxa"/>
            <w:tcBorders/>
            <w:shd w:fill="auto" w:val="clear"/>
            <w:vAlign w:val="center"/>
          </w:tcPr>
          <w:p>
            <w:pPr>
              <w:pStyle w:val="TableContents"/>
              <w:spacing w:before="0" w:after="283"/>
              <w:rPr/>
            </w:pPr>
            <w:r>
              <w:rPr/>
              <w:t> </w:t>
            </w:r>
          </w:p>
        </w:tc>
      </w:tr>
      <w:tr>
        <w:trPr/>
        <w:tc>
          <w:tcPr>
            <w:tcW w:w="4115" w:type="dxa"/>
            <w:tcBorders/>
            <w:shd w:fill="CCEE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consideration for Reflect stock (1)</w:t>
            </w:r>
          </w:p>
        </w:tc>
        <w:tc>
          <w:tcPr>
            <w:tcW w:w="60" w:type="dxa"/>
            <w:tcBorders/>
            <w:shd w:fill="CCEEFF" w:val="clear"/>
            <w:vAlign w:val="center"/>
          </w:tcPr>
          <w:p>
            <w:pPr>
              <w:pStyle w:val="TableContents"/>
              <w:spacing w:before="0" w:after="283"/>
              <w:ind w:left="0" w:right="0" w:hanging="0"/>
              <w:rPr/>
            </w:pPr>
            <w:r>
              <w:rPr/>
              <w:t> </w:t>
            </w:r>
          </w:p>
        </w:tc>
        <w:tc>
          <w:tcPr>
            <w:tcW w:w="21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16,664</w:t>
            </w:r>
          </w:p>
        </w:tc>
        <w:tc>
          <w:tcPr>
            <w:tcW w:w="80" w:type="dxa"/>
            <w:tcBorders/>
            <w:shd w:fill="CCEEFF" w:val="clear"/>
            <w:vAlign w:val="center"/>
          </w:tcPr>
          <w:p>
            <w:pPr>
              <w:pStyle w:val="TableContents"/>
              <w:spacing w:before="0" w:after="283"/>
              <w:rPr/>
            </w:pPr>
            <w:r>
              <w:rPr/>
              <w:t> </w:t>
            </w:r>
          </w:p>
        </w:tc>
      </w:tr>
      <w:tr>
        <w:trPr/>
        <w:tc>
          <w:tcPr>
            <w:tcW w:w="4115" w:type="dxa"/>
            <w:tcBorders/>
            <w:shd w:fill="FFFF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consideration for Retention Bonus Plan (2)</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ind w:left="0" w:right="0" w:hanging="0"/>
              <w:rPr/>
            </w:pPr>
            <w:r>
              <w:rPr/>
              <w:t> </w:t>
            </w:r>
          </w:p>
        </w:tc>
        <w:tc>
          <w:tcPr>
            <w:tcW w:w="10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1,334</w:t>
            </w:r>
          </w:p>
        </w:tc>
        <w:tc>
          <w:tcPr>
            <w:tcW w:w="80" w:type="dxa"/>
            <w:tcBorders/>
            <w:shd w:fill="FFFFFF" w:val="clear"/>
            <w:vAlign w:val="center"/>
          </w:tcPr>
          <w:p>
            <w:pPr>
              <w:pStyle w:val="TableContents"/>
              <w:spacing w:before="0" w:after="283"/>
              <w:rPr/>
            </w:pPr>
            <w:r>
              <w:rPr/>
              <w:t> </w:t>
            </w:r>
          </w:p>
        </w:tc>
      </w:tr>
      <w:tr>
        <w:trPr/>
        <w:tc>
          <w:tcPr>
            <w:tcW w:w="4115" w:type="dxa"/>
            <w:tcBorders/>
            <w:shd w:fill="CCEE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Common stock issued to Reflect shareholders (3)</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ind w:left="0" w:right="0" w:hanging="0"/>
              <w:rPr/>
            </w:pPr>
            <w:r>
              <w:rPr/>
              <w:t> </w:t>
            </w:r>
          </w:p>
        </w:tc>
        <w:tc>
          <w:tcPr>
            <w:tcW w:w="10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4,667</w:t>
            </w:r>
          </w:p>
        </w:tc>
        <w:tc>
          <w:tcPr>
            <w:tcW w:w="80" w:type="dxa"/>
            <w:tcBorders/>
            <w:shd w:fill="CCEEFF" w:val="clear"/>
            <w:vAlign w:val="center"/>
          </w:tcPr>
          <w:p>
            <w:pPr>
              <w:pStyle w:val="TableContents"/>
              <w:spacing w:before="0" w:after="283"/>
              <w:rPr/>
            </w:pPr>
            <w:r>
              <w:rPr/>
              <w:t> </w:t>
            </w:r>
          </w:p>
        </w:tc>
      </w:tr>
      <w:tr>
        <w:trPr/>
        <w:tc>
          <w:tcPr>
            <w:tcW w:w="4115" w:type="dxa"/>
            <w:tcBorders/>
            <w:shd w:fill="FFFF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Common stock issued to Retention Bonus Plan (4)</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ind w:left="0" w:right="0" w:hanging="0"/>
              <w:rPr/>
            </w:pPr>
            <w:r>
              <w:rPr/>
              <w:t> </w:t>
            </w:r>
          </w:p>
        </w:tc>
        <w:tc>
          <w:tcPr>
            <w:tcW w:w="10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333</w:t>
            </w:r>
          </w:p>
        </w:tc>
        <w:tc>
          <w:tcPr>
            <w:tcW w:w="80" w:type="dxa"/>
            <w:tcBorders/>
            <w:shd w:fill="FFFFFF" w:val="clear"/>
            <w:vAlign w:val="center"/>
          </w:tcPr>
          <w:p>
            <w:pPr>
              <w:pStyle w:val="TableContents"/>
              <w:spacing w:before="0" w:after="283"/>
              <w:rPr/>
            </w:pPr>
            <w:r>
              <w:rPr/>
              <w:t> </w:t>
            </w:r>
          </w:p>
        </w:tc>
      </w:tr>
      <w:tr>
        <w:trPr/>
        <w:tc>
          <w:tcPr>
            <w:tcW w:w="4115" w:type="dxa"/>
            <w:tcBorders/>
            <w:shd w:fill="CCEE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Secured Promissory Note (5)</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ind w:left="0" w:right="0" w:hanging="0"/>
              <w:rPr/>
            </w:pPr>
            <w:r>
              <w:rPr/>
              <w:t> </w:t>
            </w:r>
          </w:p>
        </w:tc>
        <w:tc>
          <w:tcPr>
            <w:tcW w:w="10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2,500</w:t>
            </w:r>
          </w:p>
        </w:tc>
        <w:tc>
          <w:tcPr>
            <w:tcW w:w="80" w:type="dxa"/>
            <w:tcBorders/>
            <w:shd w:fill="CCEEFF" w:val="clear"/>
            <w:vAlign w:val="center"/>
          </w:tcPr>
          <w:p>
            <w:pPr>
              <w:pStyle w:val="TableContents"/>
              <w:spacing w:before="0" w:after="283"/>
              <w:rPr/>
            </w:pPr>
            <w:r>
              <w:rPr/>
              <w:t> </w:t>
            </w:r>
          </w:p>
        </w:tc>
      </w:tr>
      <w:tr>
        <w:trPr/>
        <w:tc>
          <w:tcPr>
            <w:tcW w:w="4115" w:type="dxa"/>
            <w:tcBorders/>
            <w:shd w:fill="FFFF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Earnout liability (6)</w:t>
            </w:r>
          </w:p>
        </w:tc>
        <w:tc>
          <w:tcPr>
            <w:tcW w:w="60" w:type="dxa"/>
            <w:tcBorders/>
            <w:shd w:fill="FFFFFF" w:val="clear"/>
            <w:vAlign w:val="center"/>
          </w:tcPr>
          <w:p>
            <w:pPr>
              <w:pStyle w:val="TableContents"/>
              <w:spacing w:before="0" w:after="283"/>
              <w:rPr/>
            </w:pPr>
            <w:r>
              <w:rPr/>
              <w:t> </w:t>
            </w:r>
          </w:p>
        </w:tc>
        <w:tc>
          <w:tcPr>
            <w:tcW w:w="21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0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10,862</w:t>
            </w:r>
          </w:p>
        </w:tc>
        <w:tc>
          <w:tcPr>
            <w:tcW w:w="80" w:type="dxa"/>
            <w:tcBorders/>
            <w:shd w:fill="FFFFFF" w:val="clear"/>
            <w:vAlign w:val="center"/>
          </w:tcPr>
          <w:p>
            <w:pPr>
              <w:pStyle w:val="TableContents"/>
              <w:spacing w:before="0" w:after="283"/>
              <w:rPr/>
            </w:pPr>
            <w:r>
              <w:rPr/>
              <w:t> </w:t>
            </w:r>
          </w:p>
        </w:tc>
      </w:tr>
      <w:tr>
        <w:trPr/>
        <w:tc>
          <w:tcPr>
            <w:tcW w:w="41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consideration</w:t>
            </w:r>
          </w:p>
        </w:tc>
        <w:tc>
          <w:tcPr>
            <w:tcW w:w="60" w:type="dxa"/>
            <w:tcBorders/>
            <w:shd w:fill="CCEEFF" w:val="clear"/>
            <w:vAlign w:val="center"/>
          </w:tcPr>
          <w:p>
            <w:pPr>
              <w:pStyle w:val="TableContents"/>
              <w:spacing w:before="0" w:after="283"/>
              <w:rPr/>
            </w:pPr>
            <w:r>
              <w:rPr/>
              <w:t> </w:t>
            </w:r>
          </w:p>
        </w:tc>
        <w:tc>
          <w:tcPr>
            <w:tcW w:w="21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0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36,360</w:t>
            </w:r>
          </w:p>
        </w:tc>
        <w:tc>
          <w:tcPr>
            <w:tcW w:w="80" w:type="dxa"/>
            <w:tcBorders/>
            <w:shd w:fill="CCEEFF" w:val="clear"/>
            <w:vAlign w:val="center"/>
          </w:tcPr>
          <w:p>
            <w:pPr>
              <w:pStyle w:val="TableContents"/>
              <w:spacing w:before="0" w:after="283"/>
              <w:rPr/>
            </w:pPr>
            <w:r>
              <w:rPr/>
              <w:t> </w:t>
            </w:r>
          </w:p>
        </w:tc>
      </w:tr>
      <w:tr>
        <w:trPr/>
        <w:tc>
          <w:tcPr>
            <w:tcW w:w="4115" w:type="dxa"/>
            <w:tcBorders/>
            <w:shd w:fill="FFFF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Vendor deposit with the Company (7)</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ind w:left="0" w:right="0" w:hanging="0"/>
              <w:rPr/>
            </w:pPr>
            <w:r>
              <w:rPr/>
              <w:t> </w:t>
            </w:r>
          </w:p>
        </w:tc>
        <w:tc>
          <w:tcPr>
            <w:tcW w:w="10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115" w:type="dxa"/>
            <w:tcBorders/>
            <w:shd w:fill="CCEEFF" w:val="clear"/>
            <w:vAlign w:val="center"/>
          </w:tcPr>
          <w:p>
            <w:pPr>
              <w:pStyle w:val="TableContents"/>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acquired (8)</w:t>
            </w:r>
          </w:p>
        </w:tc>
        <w:tc>
          <w:tcPr>
            <w:tcW w:w="60" w:type="dxa"/>
            <w:tcBorders/>
            <w:shd w:fill="CCEEFF" w:val="clear"/>
            <w:vAlign w:val="center"/>
          </w:tcPr>
          <w:p>
            <w:pPr>
              <w:pStyle w:val="TableContents"/>
              <w:spacing w:before="0" w:after="283"/>
              <w:rPr/>
            </w:pPr>
            <w:r>
              <w:rPr/>
              <w:t> </w:t>
            </w:r>
          </w:p>
        </w:tc>
        <w:tc>
          <w:tcPr>
            <w:tcW w:w="21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0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1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consideration transferred</w:t>
            </w:r>
          </w:p>
        </w:tc>
        <w:tc>
          <w:tcPr>
            <w:tcW w:w="60" w:type="dxa"/>
            <w:tcBorders/>
            <w:shd w:fill="FFFFFF" w:val="clear"/>
            <w:vAlign w:val="center"/>
          </w:tcPr>
          <w:p>
            <w:pPr>
              <w:pStyle w:val="TableContents"/>
              <w:spacing w:before="0" w:after="283"/>
              <w:ind w:left="0" w:right="0" w:hanging="0"/>
              <w:rPr/>
            </w:pPr>
            <w:r>
              <w:rPr/>
              <w:t> </w:t>
            </w:r>
          </w:p>
        </w:tc>
        <w:tc>
          <w:tcPr>
            <w:tcW w:w="21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34,730</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Cash consideration for outstanding shares of Reflect capital stock per Merger Agreement.</w:t>
      </w:r>
    </w:p>
    <w:p>
      <w:pPr>
        <w:pStyle w:val="TextBody"/>
        <w:spacing w:before="0" w:after="0"/>
        <w:ind w:left="0" w:right="0" w:hanging="0"/>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Cash consideration utilized to fund the Retention Bonus Plan per Merger Agreement.</w:t>
      </w:r>
    </w:p>
    <w:p>
      <w:pPr>
        <w:pStyle w:val="TextBody"/>
        <w:spacing w:before="0" w:after="0"/>
        <w:ind w:left="0" w:right="0" w:hanging="0"/>
        <w:rPr/>
      </w:pPr>
      <w:r>
        <w:rPr>
          <w:rFonts w:ascii="Times New Roman" w:hAnsi="Times New Roman"/>
          <w:caps w:val="false"/>
          <w:smallCaps w:val="false"/>
          <w:sz w:val="20"/>
        </w:rPr>
        <w:t>(</w:t>
      </w:r>
      <w:r>
        <w:rPr>
          <w:rStyle w:val="Emphasis"/>
          <w:rFonts w:ascii="Times New Roman" w:hAnsi="Times New Roman"/>
          <w:caps w:val="false"/>
          <w:smallCaps w:val="false"/>
          <w:sz w:val="20"/>
        </w:rPr>
        <w:t>3</w:t>
      </w:r>
      <w:r>
        <w:rPr>
          <w:rFonts w:ascii="Times New Roman" w:hAnsi="Times New Roman"/>
          <w:caps w:val="false"/>
          <w:smallCaps w:val="false"/>
          <w:sz w:val="20"/>
        </w:rPr>
        <w:t>) Company common stock issued in exchange for outstanding shares of Reflect capital stock per Merger Agreement.</w:t>
      </w:r>
    </w:p>
    <w:p>
      <w:pPr>
        <w:pStyle w:val="TextBody"/>
        <w:spacing w:before="0" w:after="0"/>
        <w:ind w:left="0" w:right="0" w:hanging="0"/>
        <w:rPr/>
      </w:pP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Company common stock issued to fund the Retention Bonus Plan per Merger Agreement</w:t>
      </w:r>
    </w:p>
    <w:p>
      <w:pPr>
        <w:pStyle w:val="TextBody"/>
        <w:spacing w:before="0" w:after="0"/>
        <w:ind w:left="0" w:right="0" w:hanging="0"/>
        <w:rPr/>
      </w:pP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The Secured Promissory Note accrues interest at 0.59% (the applicable federal rate at the time of issuance of the Secured Promissory Note) and requires the Company and Reflect to collectively pay equal monthly principal installments of $104 on the </w:t>
      </w:r>
      <w:r>
        <w:rPr>
          <w:rStyle w:val="Emphasis"/>
          <w:rFonts w:ascii="Times New Roman" w:hAnsi="Times New Roman"/>
          <w:caps w:val="false"/>
          <w:smallCaps w:val="false"/>
          <w:sz w:val="20"/>
        </w:rPr>
        <w:t>fifteenth</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15th</w:t>
      </w:r>
      <w:r>
        <w:rPr>
          <w:rFonts w:ascii="Times New Roman" w:hAnsi="Times New Roman"/>
          <w:caps w:val="false"/>
          <w:smallCaps w:val="false"/>
          <w:sz w:val="20"/>
        </w:rPr>
        <w:t xml:space="preserve">) day of each month, commencing on </w:t>
      </w:r>
      <w:r>
        <w:rPr>
          <w:rStyle w:val="Emphasis"/>
          <w:rFonts w:ascii="Times New Roman" w:hAnsi="Times New Roman"/>
          <w:caps w:val="false"/>
          <w:smallCaps w:val="false"/>
          <w:sz w:val="20"/>
        </w:rPr>
        <w:t xml:space="preserve">March 15, 2022. </w:t>
      </w:r>
      <w:r>
        <w:rPr>
          <w:rFonts w:ascii="Times New Roman" w:hAnsi="Times New Roman"/>
          <w:caps w:val="false"/>
          <w:smallCaps w:val="false"/>
          <w:sz w:val="20"/>
        </w:rPr>
        <w:t xml:space="preserve">Any remaining or unpaid principal shall be due and payable on </w:t>
      </w:r>
      <w:r>
        <w:rPr>
          <w:rStyle w:val="Emphasis"/>
          <w:rFonts w:ascii="Times New Roman" w:hAnsi="Times New Roman"/>
          <w:caps w:val="false"/>
          <w:smallCaps w:val="false"/>
          <w:sz w:val="20"/>
        </w:rPr>
        <w:t>February 17, 2023.</w:t>
      </w:r>
    </w:p>
    <w:p>
      <w:pPr>
        <w:pStyle w:val="TextBody"/>
        <w:spacing w:before="0" w:after="0"/>
        <w:ind w:left="0" w:right="0" w:hanging="0"/>
        <w:rPr/>
      </w:pPr>
      <w:r>
        <w:rPr>
          <w:rFonts w:ascii="Times New Roman" w:hAnsi="Times New Roman"/>
          <w:caps w:val="false"/>
          <w:smallCaps w:val="false"/>
          <w:sz w:val="20"/>
        </w:rPr>
        <w:t>(</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Represents an estimate of the fair value of the Guaranteed Consideration as of the Merger, which, if any, is payable on or after </w:t>
      </w:r>
      <w:r>
        <w:rPr>
          <w:rStyle w:val="Emphasis"/>
          <w:rFonts w:ascii="Times New Roman" w:hAnsi="Times New Roman"/>
          <w:caps w:val="false"/>
          <w:smallCaps w:val="false"/>
          <w:sz w:val="20"/>
        </w:rPr>
        <w:t>February 17, 2025 (</w:t>
      </w:r>
      <w:r>
        <w:rPr>
          <w:rFonts w:ascii="Times New Roman" w:hAnsi="Times New Roman"/>
          <w:caps w:val="false"/>
          <w:smallCaps w:val="false"/>
          <w:sz w:val="20"/>
        </w:rPr>
        <w:t xml:space="preserve">subject to the Extension Option), in an amount by which the value of the CREX Shares on such anniversary is less than $19.20 per share, or if certain customers of Reflect collectively achieve over 85,000 billable devices online at any time on or before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is less than $21.60 per share (such applicable amount, the “Guaranteed Price”), multiplied by the amount of CREX Shares held by the Reflect stockholders on the Guarantee Date (subject to the Extension Option), subject to the terms of the Merger Agreement. At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specialist completed valuation of this contingent liability as of the opening balance sheet date, resulting in a measurement period adjustment recorded to increase goodwill and the contingent liability as of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by $5,262.</w:t>
      </w:r>
    </w:p>
    <w:p>
      <w:pPr>
        <w:pStyle w:val="TextBody"/>
        <w:spacing w:before="0" w:after="0"/>
        <w:ind w:left="0" w:right="0" w:hanging="0"/>
        <w:rPr/>
      </w:pPr>
      <w:r>
        <w:rPr>
          <w:rFonts w:ascii="Times New Roman" w:hAnsi="Times New Roman"/>
          <w:caps w:val="false"/>
          <w:smallCaps w:val="false"/>
          <w:sz w:val="20"/>
        </w:rPr>
        <w:t>(</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Prior to the Merger, Reflect had engaged the Company on a project and paid the Company a deposit of $818. These amounts reduced consideration paid by the Company in accordance with ASC </w:t>
      </w:r>
      <w:r>
        <w:rPr>
          <w:rStyle w:val="Emphasis"/>
          <w:rFonts w:ascii="Times New Roman" w:hAnsi="Times New Roman"/>
          <w:caps w:val="false"/>
          <w:smallCaps w:val="false"/>
          <w:sz w:val="20"/>
        </w:rPr>
        <w:t>805.</w:t>
      </w:r>
    </w:p>
    <w:p>
      <w:pPr>
        <w:pStyle w:val="TextBody"/>
        <w:spacing w:before="0" w:after="0"/>
        <w:ind w:left="0" w:right="0" w:hanging="0"/>
        <w:rPr/>
      </w:pPr>
      <w:r>
        <w:rPr>
          <w:rFonts w:ascii="Times New Roman" w:hAnsi="Times New Roman"/>
          <w:caps w:val="false"/>
          <w:smallCaps w:val="false"/>
          <w:sz w:val="20"/>
        </w:rPr>
        <w:t>(</w:t>
      </w:r>
      <w:r>
        <w:rPr>
          <w:rStyle w:val="Emphasis"/>
          <w:rFonts w:ascii="Times New Roman" w:hAnsi="Times New Roman"/>
          <w:caps w:val="false"/>
          <w:smallCaps w:val="false"/>
          <w:sz w:val="20"/>
        </w:rPr>
        <w:t>8</w:t>
      </w:r>
      <w:r>
        <w:rPr>
          <w:rFonts w:ascii="Times New Roman" w:hAnsi="Times New Roman"/>
          <w:caps w:val="false"/>
          <w:smallCaps w:val="false"/>
          <w:sz w:val="20"/>
        </w:rPr>
        <w:t>) Represents the Reflect cash balance acquired at Closing.</w:t>
      </w:r>
    </w:p>
    <w:p>
      <w:pPr>
        <w:pStyle w:val="TextBody"/>
        <w:spacing w:before="0" w:after="0"/>
        <w:ind w:left="50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Company incurred $444 of direct transaction costs related to the Reflect Merger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These costs are included in deal and transaction expense in the accompanying Consolidated Statements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25</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720"/>
        <w:rPr/>
      </w:pPr>
      <w:r>
        <w:rPr>
          <w:rFonts w:ascii="Times New Roman" w:hAnsi="Times New Roman"/>
          <w:caps w:val="false"/>
          <w:smallCaps w:val="false"/>
          <w:sz w:val="20"/>
        </w:rPr>
        <w:t xml:space="preserve">The Company accounted for the Merger using the acquisition method of accounting. The preliminary allocation of the purchase price is based on estimates of the fair value of assets acquired and liabilities assumed as of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 xml:space="preserve">The Company is continuing to obtain information to determine the acquired assets and liabilities, including tax assets, liabilities and other attributes. The components of the preliminary purchase price allocation, inclusive of measurement period adjustments recorded by the Company during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are as follows:</w:t>
      </w:r>
    </w:p>
    <w:p>
      <w:pPr>
        <w:pStyle w:val="TextBody"/>
        <w:spacing w:before="0" w:after="0"/>
        <w:ind w:left="0" w:right="0" w:firstLine="720"/>
        <w:rPr>
          <w:caps w:val="false"/>
          <w:smallCaps w:val="false"/>
        </w:rPr>
      </w:pPr>
      <w:r>
        <w:rPr>
          <w:caps w:val="false"/>
          <w:smallCaps w:val="false"/>
        </w:rPr>
        <w:t> </w:t>
      </w:r>
    </w:p>
    <w:tbl>
      <w:tblPr>
        <w:tblW w:w="4565" w:type="dxa"/>
        <w:jc w:val="left"/>
        <w:tblInd w:w="0" w:type="dxa"/>
        <w:tblCellMar>
          <w:top w:w="0" w:type="dxa"/>
          <w:left w:w="0" w:type="dxa"/>
          <w:bottom w:w="0" w:type="dxa"/>
          <w:right w:w="0" w:type="dxa"/>
        </w:tblCellMar>
      </w:tblPr>
      <w:tblGrid>
        <w:gridCol w:w="3710"/>
        <w:gridCol w:w="60"/>
        <w:gridCol w:w="125"/>
        <w:gridCol w:w="590"/>
        <w:gridCol w:w="80"/>
      </w:tblGrid>
      <w:tr>
        <w:trPr/>
        <w:tc>
          <w:tcPr>
            <w:tcW w:w="3710" w:type="dxa"/>
            <w:tcBorders/>
            <w:shd w:fill="auto" w:val="clear"/>
            <w:vAlign w:val="center"/>
          </w:tcPr>
          <w:p>
            <w:pPr>
              <w:pStyle w:val="TableContents"/>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 thousands)</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shd w:fill="auto"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1,359</w:t>
            </w:r>
          </w:p>
        </w:tc>
        <w:tc>
          <w:tcPr>
            <w:tcW w:w="80" w:type="dxa"/>
            <w:tcBorders/>
            <w:shd w:fill="CCEE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190</w:t>
            </w:r>
          </w:p>
        </w:tc>
        <w:tc>
          <w:tcPr>
            <w:tcW w:w="8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Prepaid expenses &amp; other current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666</w:t>
            </w:r>
          </w:p>
        </w:tc>
        <w:tc>
          <w:tcPr>
            <w:tcW w:w="80" w:type="dxa"/>
            <w:tcBorders/>
            <w:shd w:fill="CCEE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Property and equipment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w:t>
            </w:r>
          </w:p>
        </w:tc>
        <w:tc>
          <w:tcPr>
            <w:tcW w:w="8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right of use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493</w:t>
            </w:r>
          </w:p>
        </w:tc>
        <w:tc>
          <w:tcPr>
            <w:tcW w:w="80" w:type="dxa"/>
            <w:tcBorders/>
            <w:shd w:fill="CCEE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w:t>
            </w:r>
          </w:p>
        </w:tc>
        <w:tc>
          <w:tcPr>
            <w:tcW w:w="8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Identified intangible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Definite-lived trade names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960</w:t>
            </w:r>
          </w:p>
        </w:tc>
        <w:tc>
          <w:tcPr>
            <w:tcW w:w="8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Definite-lived developed technology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5,130</w:t>
            </w:r>
          </w:p>
        </w:tc>
        <w:tc>
          <w:tcPr>
            <w:tcW w:w="80" w:type="dxa"/>
            <w:tcBorders/>
            <w:shd w:fill="CCEE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Definite-lived customer relationships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11,040</w:t>
            </w:r>
          </w:p>
        </w:tc>
        <w:tc>
          <w:tcPr>
            <w:tcW w:w="8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Definite-lived noncompete agreements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CCEE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18,935</w:t>
            </w:r>
          </w:p>
        </w:tc>
        <w:tc>
          <w:tcPr>
            <w:tcW w:w="8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Customer deposits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Deferred revenues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 maturities of operating leases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Long-term obligations under operating leases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consideration transferred</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34,730</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Company engaged a </w:t>
      </w:r>
      <w:r>
        <w:rPr>
          <w:rStyle w:val="Emphasis"/>
          <w:rFonts w:ascii="Times New Roman" w:hAnsi="Times New Roman"/>
          <w:caps w:val="false"/>
          <w:smallCaps w:val="false"/>
          <w:sz w:val="20"/>
        </w:rPr>
        <w:t>third</w:t>
      </w:r>
      <w:r>
        <w:rPr>
          <w:rFonts w:ascii="Times New Roman" w:hAnsi="Times New Roman"/>
          <w:caps w:val="false"/>
          <w:smallCaps w:val="false"/>
          <w:sz w:val="20"/>
        </w:rPr>
        <w:t>-party valuation specialist to assist in the identification and calculation of the fair value of those separately identifiable intangible assets.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Company completed its valuation procedures by asset utilizing the following approaches:</w:t>
      </w:r>
    </w:p>
    <w:p>
      <w:pPr>
        <w:pStyle w:val="TextBody"/>
        <w:spacing w:before="0" w:after="0"/>
        <w:ind w:left="0" w:right="0" w:firstLine="720"/>
        <w:rPr>
          <w:caps w:val="false"/>
          <w:smallCaps w:val="false"/>
        </w:rPr>
      </w:pPr>
      <w:r>
        <w:rPr>
          <w:caps w:val="false"/>
          <w:smallCaps w:val="false"/>
        </w:rPr>
        <w:t> </w:t>
      </w:r>
    </w:p>
    <w:p>
      <w:pPr>
        <w:pStyle w:val="TextBody"/>
        <w:spacing w:before="0" w:after="0"/>
        <w:ind w:left="1080" w:right="0" w:hanging="0"/>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Customer relationship asset was estimated using the income approach through a discounted cash flow analysis wherein the cash flows will be based on estimates used to price the Merger. Discount rates were benchmarked with reference to the implied rate of return from the Company’s pricing model and the weighted average cost of capital.</w:t>
      </w:r>
    </w:p>
    <w:p>
      <w:pPr>
        <w:pStyle w:val="TextBody"/>
        <w:spacing w:before="0" w:after="0"/>
        <w:ind w:left="1080" w:right="0" w:hanging="0"/>
        <w:rPr>
          <w:caps w:val="false"/>
          <w:smallCaps w:val="false"/>
        </w:rPr>
      </w:pPr>
      <w:r>
        <w:rPr>
          <w:caps w:val="false"/>
          <w:smallCaps w:val="false"/>
        </w:rPr>
        <w:t> </w:t>
      </w:r>
    </w:p>
    <w:p>
      <w:pPr>
        <w:pStyle w:val="TextBody"/>
        <w:spacing w:before="0" w:after="0"/>
        <w:ind w:left="1060" w:right="0" w:hanging="0"/>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Trade name asset represents the “Reflect” brand name as marketed primarily as a full services digital software solution, marketed in numerous verticals with the exception of food service. The Company applied the income approach through an excess earnings analysis to determine the fair value of the trade name asset. The Company applied the income approach through a relief-from-royalty analysis to determine the fair value of this asset.</w:t>
      </w:r>
    </w:p>
    <w:p>
      <w:pPr>
        <w:pStyle w:val="TextBody"/>
        <w:spacing w:before="0" w:after="0"/>
        <w:ind w:left="1060" w:right="0" w:hanging="0"/>
        <w:rPr>
          <w:caps w:val="false"/>
          <w:smallCaps w:val="false"/>
        </w:rPr>
      </w:pPr>
      <w:r>
        <w:rPr>
          <w:caps w:val="false"/>
          <w:smallCaps w:val="false"/>
        </w:rPr>
        <w:t> </w:t>
      </w:r>
    </w:p>
    <w:p>
      <w:pPr>
        <w:pStyle w:val="TextBody"/>
        <w:spacing w:before="0" w:after="0"/>
        <w:ind w:left="1060" w:right="0" w:hanging="0"/>
        <w:rPr/>
      </w:pPr>
      <w:r>
        <w:rPr>
          <w:rFonts w:ascii="Times New Roman" w:hAnsi="Times New Roman"/>
          <w:caps w:val="false"/>
          <w:smallCaps w:val="false"/>
          <w:sz w:val="20"/>
        </w:rPr>
        <w:t>(</w:t>
      </w:r>
      <w:r>
        <w:rPr>
          <w:rStyle w:val="Emphasis"/>
          <w:rFonts w:ascii="Times New Roman" w:hAnsi="Times New Roman"/>
          <w:caps w:val="false"/>
          <w:smallCaps w:val="false"/>
          <w:sz w:val="20"/>
        </w:rPr>
        <w:t>3</w:t>
      </w:r>
      <w:r>
        <w:rPr>
          <w:rFonts w:ascii="Times New Roman" w:hAnsi="Times New Roman"/>
          <w:caps w:val="false"/>
          <w:smallCaps w:val="false"/>
          <w:sz w:val="20"/>
        </w:rPr>
        <w:t>) The developed technology assets are primarily comprised of know-how and functionality embedded in Reflect’s proprietary content management applications, which drive currently marketed products and services. The Company applied the income approach through a relief-from-royalty analysis to determine the preliminary fair value of this asset.</w:t>
      </w:r>
    </w:p>
    <w:p>
      <w:pPr>
        <w:pStyle w:val="TextBody"/>
        <w:spacing w:before="0" w:after="0"/>
        <w:ind w:left="160" w:right="0" w:firstLine="66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26</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Company is amortizing the identifiable intangible assets on a straight-line basis over the weighted average lives ranging from 2 to 10 years as outlined in the table below.  The table below sets forth the valuation and amortization period of identifiable intangible assets:</w:t>
      </w:r>
    </w:p>
    <w:p>
      <w:pPr>
        <w:pStyle w:val="TextBody"/>
        <w:spacing w:before="0" w:after="0"/>
        <w:ind w:left="160" w:right="0" w:firstLine="660"/>
        <w:rPr>
          <w:caps w:val="false"/>
          <w:smallCaps w:val="false"/>
        </w:rPr>
      </w:pPr>
      <w:r>
        <w:rPr>
          <w:caps w:val="false"/>
          <w:smallCaps w:val="false"/>
        </w:rPr>
        <w:t> </w:t>
      </w:r>
    </w:p>
    <w:tbl>
      <w:tblPr>
        <w:tblW w:w="5715" w:type="dxa"/>
        <w:jc w:val="left"/>
        <w:tblInd w:w="0" w:type="dxa"/>
        <w:tblCellMar>
          <w:top w:w="0" w:type="dxa"/>
          <w:left w:w="0" w:type="dxa"/>
          <w:bottom w:w="0" w:type="dxa"/>
          <w:right w:w="0" w:type="dxa"/>
        </w:tblCellMar>
      </w:tblPr>
      <w:tblGrid>
        <w:gridCol w:w="3575"/>
        <w:gridCol w:w="60"/>
        <w:gridCol w:w="150"/>
        <w:gridCol w:w="710"/>
        <w:gridCol w:w="60"/>
        <w:gridCol w:w="1160"/>
      </w:tblGrid>
      <w:tr>
        <w:trPr/>
        <w:tc>
          <w:tcPr>
            <w:tcW w:w="35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rPr/>
            </w:pPr>
            <w:r>
              <w:rPr/>
              <w:t> </w:t>
            </w:r>
          </w:p>
        </w:tc>
        <w:tc>
          <w:tcPr>
            <w:tcW w:w="116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Amortization</w:t>
            </w:r>
          </w:p>
        </w:tc>
      </w:tr>
      <w:tr>
        <w:trPr/>
        <w:tc>
          <w:tcPr>
            <w:tcW w:w="3575" w:type="dxa"/>
            <w:tcBorders/>
            <w:shd w:fill="auto" w:val="clear"/>
            <w:vAlign w:val="center"/>
          </w:tcPr>
          <w:p>
            <w:pPr>
              <w:pStyle w:val="TableContents"/>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 thousands)</w:t>
            </w:r>
          </w:p>
        </w:tc>
        <w:tc>
          <w:tcPr>
            <w:tcW w:w="60" w:type="dxa"/>
            <w:tcBorders/>
            <w:shd w:fill="auto" w:val="clear"/>
            <w:vAlign w:val="center"/>
          </w:tcPr>
          <w:p>
            <w:pPr>
              <w:pStyle w:val="TableContents"/>
              <w:spacing w:before="0" w:after="283"/>
              <w:ind w:left="0" w:right="0" w:hanging="0"/>
              <w:rPr/>
            </w:pPr>
            <w:r>
              <w:rPr/>
              <w:t> </w:t>
            </w:r>
          </w:p>
        </w:tc>
        <w:tc>
          <w:tcPr>
            <w:tcW w:w="8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Valuation</w:t>
            </w:r>
          </w:p>
        </w:tc>
        <w:tc>
          <w:tcPr>
            <w:tcW w:w="60" w:type="dxa"/>
            <w:tcBorders/>
            <w:shd w:fill="auto" w:val="clear"/>
            <w:vAlign w:val="center"/>
          </w:tcPr>
          <w:p>
            <w:pPr>
              <w:pStyle w:val="TableContents"/>
              <w:spacing w:before="0" w:after="283"/>
              <w:ind w:left="0" w:right="0" w:hanging="0"/>
              <w:rPr/>
            </w:pPr>
            <w:r>
              <w:rPr/>
              <w:t> </w:t>
            </w:r>
          </w:p>
        </w:tc>
        <w:tc>
          <w:tcPr>
            <w:tcW w:w="116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w:t>
            </w:r>
          </w:p>
        </w:tc>
      </w:tr>
      <w:tr>
        <w:trPr/>
        <w:tc>
          <w:tcPr>
            <w:tcW w:w="35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Identifiable definite-lived intangible assets:</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rPr/>
            </w:pPr>
            <w:r>
              <w:rPr/>
              <w:t> </w:t>
            </w:r>
          </w:p>
        </w:tc>
      </w:tr>
      <w:tr>
        <w:trPr/>
        <w:tc>
          <w:tcPr>
            <w:tcW w:w="357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Trade names</w:t>
            </w:r>
          </w:p>
        </w:tc>
        <w:tc>
          <w:tcPr>
            <w:tcW w:w="60" w:type="dxa"/>
            <w:tcBorders/>
            <w:shd w:fill="CCEEFF" w:val="clear"/>
            <w:vAlign w:val="center"/>
          </w:tcPr>
          <w:p>
            <w:pPr>
              <w:pStyle w:val="TableContents"/>
              <w:spacing w:before="0" w:after="283"/>
              <w:ind w:left="0" w:right="0" w:hanging="0"/>
              <w:rPr/>
            </w:pPr>
            <w:r>
              <w:rPr/>
              <w:t> </w:t>
            </w:r>
          </w:p>
        </w:tc>
        <w:tc>
          <w:tcPr>
            <w:tcW w:w="15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960</w:t>
            </w:r>
          </w:p>
        </w:tc>
        <w:tc>
          <w:tcPr>
            <w:tcW w:w="60" w:type="dxa"/>
            <w:tcBorders/>
            <w:shd w:fill="CCEEFF" w:val="clear"/>
            <w:vAlign w:val="center"/>
          </w:tcPr>
          <w:p>
            <w:pPr>
              <w:pStyle w:val="TableContents"/>
              <w:spacing w:before="0" w:after="283"/>
              <w:ind w:left="0" w:right="0" w:hanging="0"/>
              <w:rPr/>
            </w:pPr>
            <w:r>
              <w:rPr/>
              <w:t> </w:t>
            </w:r>
          </w:p>
        </w:tc>
        <w:tc>
          <w:tcPr>
            <w:tcW w:w="116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 years</w:t>
            </w:r>
          </w:p>
        </w:tc>
      </w:tr>
      <w:tr>
        <w:trPr/>
        <w:tc>
          <w:tcPr>
            <w:tcW w:w="357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Developed technology</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ind w:left="0" w:right="0" w:hanging="0"/>
              <w:rPr/>
            </w:pPr>
            <w:r>
              <w:rPr/>
              <w:t> </w:t>
            </w:r>
          </w:p>
        </w:tc>
        <w:tc>
          <w:tcPr>
            <w:tcW w:w="71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5,130</w:t>
            </w:r>
          </w:p>
        </w:tc>
        <w:tc>
          <w:tcPr>
            <w:tcW w:w="60" w:type="dxa"/>
            <w:tcBorders/>
            <w:shd w:fill="FFFFFF" w:val="clear"/>
            <w:vAlign w:val="center"/>
          </w:tcPr>
          <w:p>
            <w:pPr>
              <w:pStyle w:val="TableContents"/>
              <w:spacing w:before="0" w:after="283"/>
              <w:ind w:left="0" w:right="0" w:hanging="0"/>
              <w:rPr/>
            </w:pPr>
            <w:r>
              <w:rPr/>
              <w:t> </w:t>
            </w:r>
          </w:p>
        </w:tc>
        <w:tc>
          <w:tcPr>
            <w:tcW w:w="1160"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 years</w:t>
            </w:r>
          </w:p>
        </w:tc>
      </w:tr>
      <w:tr>
        <w:trPr/>
        <w:tc>
          <w:tcPr>
            <w:tcW w:w="357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Noncompete</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ind w:left="0" w:right="0" w:hanging="0"/>
              <w:rPr/>
            </w:pPr>
            <w:r>
              <w:rPr/>
              <w:t> </w:t>
            </w:r>
          </w:p>
        </w:tc>
        <w:tc>
          <w:tcPr>
            <w:tcW w:w="71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w:t>
            </w:r>
          </w:p>
        </w:tc>
        <w:tc>
          <w:tcPr>
            <w:tcW w:w="60" w:type="dxa"/>
            <w:tcBorders/>
            <w:shd w:fill="CCEEFF" w:val="clear"/>
            <w:vAlign w:val="center"/>
          </w:tcPr>
          <w:p>
            <w:pPr>
              <w:pStyle w:val="TableContents"/>
              <w:spacing w:before="0" w:after="283"/>
              <w:ind w:left="0" w:right="0" w:hanging="0"/>
              <w:rPr/>
            </w:pPr>
            <w:r>
              <w:rPr/>
              <w:t> </w:t>
            </w:r>
          </w:p>
        </w:tc>
        <w:tc>
          <w:tcPr>
            <w:tcW w:w="116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 years</w:t>
            </w:r>
          </w:p>
        </w:tc>
      </w:tr>
      <w:tr>
        <w:trPr/>
        <w:tc>
          <w:tcPr>
            <w:tcW w:w="357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FFFFFF" w:val="clear"/>
            <w:vAlign w:val="center"/>
          </w:tcPr>
          <w:p>
            <w:pPr>
              <w:pStyle w:val="TableContents"/>
              <w:spacing w:before="0" w:after="283"/>
              <w:rPr/>
            </w:pPr>
            <w:r>
              <w:rPr/>
              <w:t> </w:t>
            </w:r>
          </w:p>
        </w:tc>
        <w:tc>
          <w:tcPr>
            <w:tcW w:w="15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1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11,040</w:t>
            </w:r>
          </w:p>
        </w:tc>
        <w:tc>
          <w:tcPr>
            <w:tcW w:w="60" w:type="dxa"/>
            <w:tcBorders/>
            <w:shd w:fill="FFFFFF" w:val="clear"/>
            <w:vAlign w:val="center"/>
          </w:tcPr>
          <w:p>
            <w:pPr>
              <w:pStyle w:val="TableContents"/>
              <w:spacing w:before="0" w:after="283"/>
              <w:ind w:left="0" w:right="0" w:hanging="0"/>
              <w:rPr/>
            </w:pPr>
            <w:r>
              <w:rPr/>
              <w:t> </w:t>
            </w:r>
          </w:p>
        </w:tc>
        <w:tc>
          <w:tcPr>
            <w:tcW w:w="1160"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 years</w:t>
            </w:r>
          </w:p>
        </w:tc>
      </w:tr>
      <w:tr>
        <w:trPr/>
        <w:tc>
          <w:tcPr>
            <w:tcW w:w="357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5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17,160</w:t>
            </w:r>
          </w:p>
        </w:tc>
        <w:tc>
          <w:tcPr>
            <w:tcW w:w="60"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rPr/>
            </w:pPr>
            <w:r>
              <w:rPr>
                <w:rStyle w:val="Emphasis"/>
              </w:rPr>
              <w:t> </w:t>
            </w:r>
          </w:p>
        </w:tc>
      </w:tr>
    </w:tbl>
    <w:p>
      <w:pPr>
        <w:pStyle w:val="TextBody"/>
        <w:spacing w:before="0" w:after="0"/>
        <w:ind w:left="160" w:right="0" w:firstLine="66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Company estimated the preliminary fair value of the acquired property, plant and equipment using a combination of the cost and market approaches, depending on the component. The preliminary fair value of such property, plant and equipment is $96.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excess of the purchase price over the preliminary estimated fair value of the tangible net assets and identifiable intangible assets acquired was recorded as goodwill and is subject to change upon final valuation. The factors contributing to the recognition of the amount of goodwill are based on several strategic and synergistic benefits that are expected to be realized from the Merger. These benefits include a comprehensive portfolio of iconic customer brands, complementary product offerings, enhanced national footprint, and attractive synergy opportunities and value creation.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 goodwill is expected to be deductible for income tax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following unaudited pro forma information presents the combined financial results for the Company and Reflect as if the Merger had been completed at the beginning of the Company’s prior year, </w:t>
      </w:r>
      <w:r>
        <w:rPr>
          <w:rStyle w:val="Emphasis"/>
          <w:rFonts w:ascii="Times New Roman" w:hAnsi="Times New Roman"/>
          <w:caps w:val="false"/>
          <w:smallCaps w:val="false"/>
          <w:sz w:val="20"/>
        </w:rPr>
        <w:t>January 1, 2021.</w:t>
      </w:r>
    </w:p>
    <w:p>
      <w:pPr>
        <w:pStyle w:val="TextBody"/>
        <w:spacing w:before="0" w:after="0"/>
        <w:ind w:left="0" w:right="0" w:firstLine="720"/>
        <w:rPr>
          <w:caps w:val="false"/>
          <w:smallCaps w:val="false"/>
        </w:rPr>
      </w:pPr>
      <w:r>
        <w:rPr>
          <w:caps w:val="false"/>
          <w:smallCaps w:val="false"/>
        </w:rPr>
        <w:t> </w:t>
      </w:r>
    </w:p>
    <w:tbl>
      <w:tblPr>
        <w:tblW w:w="4980" w:type="dxa"/>
        <w:jc w:val="left"/>
        <w:tblInd w:w="0" w:type="dxa"/>
        <w:tblCellMar>
          <w:top w:w="0" w:type="dxa"/>
          <w:left w:w="0" w:type="dxa"/>
          <w:bottom w:w="0" w:type="dxa"/>
          <w:right w:w="0" w:type="dxa"/>
        </w:tblCellMar>
      </w:tblPr>
      <w:tblGrid>
        <w:gridCol w:w="4145"/>
        <w:gridCol w:w="60"/>
        <w:gridCol w:w="125"/>
        <w:gridCol w:w="590"/>
        <w:gridCol w:w="60"/>
      </w:tblGrid>
      <w:tr>
        <w:trPr/>
        <w:tc>
          <w:tcPr>
            <w:tcW w:w="4145" w:type="dxa"/>
            <w:tcBorders/>
            <w:shd w:fill="auto" w:val="clear"/>
            <w:vAlign w:val="center"/>
          </w:tcPr>
          <w:p>
            <w:pPr>
              <w:pStyle w:val="TableContents"/>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 thousands, except earnings per common share)</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shd w:fill="auto" w:val="clear"/>
            <w:vAlign w:val="center"/>
          </w:tcPr>
          <w:p>
            <w:pPr>
              <w:pStyle w:val="TableContents"/>
              <w:spacing w:before="0" w:after="283"/>
              <w:rPr/>
            </w:pPr>
            <w:r>
              <w:rPr/>
              <w:t> </w:t>
            </w:r>
          </w:p>
        </w:tc>
      </w:tr>
      <w:tr>
        <w:trPr/>
        <w:tc>
          <w:tcPr>
            <w:tcW w:w="41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30,680</w:t>
            </w:r>
          </w:p>
        </w:tc>
        <w:tc>
          <w:tcPr>
            <w:tcW w:w="60" w:type="dxa"/>
            <w:tcBorders/>
            <w:shd w:fill="CCEEFF" w:val="clear"/>
            <w:vAlign w:val="center"/>
          </w:tcPr>
          <w:p>
            <w:pPr>
              <w:pStyle w:val="TableContents"/>
              <w:spacing w:before="0" w:after="283"/>
              <w:rPr/>
            </w:pPr>
            <w:r>
              <w:rPr/>
              <w:t> </w:t>
            </w:r>
          </w:p>
        </w:tc>
      </w:tr>
      <w:tr>
        <w:trPr/>
        <w:tc>
          <w:tcPr>
            <w:tcW w:w="41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799</w:t>
            </w:r>
          </w:p>
        </w:tc>
        <w:tc>
          <w:tcPr>
            <w:tcW w:w="60" w:type="dxa"/>
            <w:tcBorders/>
            <w:shd w:fill="FFFFFF" w:val="clear"/>
            <w:vAlign w:val="center"/>
          </w:tcPr>
          <w:p>
            <w:pPr>
              <w:pStyle w:val="TableContents"/>
              <w:spacing w:before="0" w:after="283"/>
              <w:rPr/>
            </w:pPr>
            <w:r>
              <w:rPr/>
              <w:t> </w:t>
            </w:r>
          </w:p>
        </w:tc>
      </w:tr>
      <w:tr>
        <w:trPr/>
        <w:tc>
          <w:tcPr>
            <w:tcW w:w="41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Earnings per common share</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0.06</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information above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the pro forma adjustments that would be required under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for pro forma financial information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 future events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occur after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or any operating efficiencies or inefficiencies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from the Merger and related financings. Therefore, the information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that would have been achieved had the businesses been combined during the periods presented or the results that the Company will experience going forward.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disaggregated information for Reflect on a standalone basis in the current year for either revenue or net income as the integration activities undertaken by the Company have prevented this information from being useful to financial statement readers.</w:t>
      </w:r>
    </w:p>
    <w:p>
      <w:pPr>
        <w:pStyle w:val="TextBody"/>
        <w:spacing w:before="0" w:after="0"/>
        <w:ind w:left="0" w:right="0" w:firstLine="720"/>
        <w:rPr>
          <w:caps w:val="false"/>
          <w:smallCaps w:val="false"/>
        </w:rPr>
      </w:pPr>
      <w:r>
        <w:rPr>
          <w:caps w:val="false"/>
          <w:smallCaps w:val="false"/>
        </w:rPr>
        <w:t> </w:t>
      </w:r>
    </w:p>
    <w:tbl>
      <w:tblPr>
        <w:tblW w:w="4209" w:type="dxa"/>
        <w:jc w:val="left"/>
        <w:tblInd w:w="0" w:type="dxa"/>
        <w:tblCellMar>
          <w:top w:w="0" w:type="dxa"/>
          <w:left w:w="0" w:type="dxa"/>
          <w:bottom w:w="0" w:type="dxa"/>
          <w:right w:w="0" w:type="dxa"/>
        </w:tblCellMar>
      </w:tblPr>
      <w:tblGrid>
        <w:gridCol w:w="2915"/>
        <w:gridCol w:w="60"/>
        <w:gridCol w:w="204"/>
        <w:gridCol w:w="970"/>
        <w:gridCol w:w="60"/>
      </w:tblGrid>
      <w:tr>
        <w:trPr/>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w:t>
            </w:r>
          </w:p>
        </w:tc>
        <w:tc>
          <w:tcPr>
            <w:tcW w:w="60" w:type="dxa"/>
            <w:tcBorders/>
            <w:shd w:fill="auto" w:val="clear"/>
            <w:vAlign w:val="center"/>
          </w:tcPr>
          <w:p>
            <w:pPr>
              <w:pStyle w:val="TableContents"/>
              <w:spacing w:before="0" w:after="283"/>
              <w:rPr/>
            </w:pPr>
            <w:r>
              <w:rPr/>
              <w:t> </w:t>
            </w:r>
          </w:p>
        </w:tc>
      </w:tr>
      <w:tr>
        <w:trPr/>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w:t>
            </w:r>
          </w:p>
        </w:tc>
        <w:tc>
          <w:tcPr>
            <w:tcW w:w="60" w:type="dxa"/>
            <w:tcBorders/>
            <w:shd w:fill="auto" w:val="clear"/>
            <w:vAlign w:val="center"/>
          </w:tcPr>
          <w:p>
            <w:pPr>
              <w:pStyle w:val="TableContents"/>
              <w:spacing w:before="0" w:after="283"/>
              <w:rPr/>
            </w:pPr>
            <w:r>
              <w:rPr/>
              <w:t> </w:t>
            </w:r>
          </w:p>
        </w:tc>
      </w:tr>
      <w:tr>
        <w:trPr/>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60" w:type="dxa"/>
            <w:tcBorders/>
            <w:shd w:fill="auto" w:val="clear"/>
            <w:vAlign w:val="center"/>
          </w:tcPr>
          <w:p>
            <w:pPr>
              <w:pStyle w:val="TableContents"/>
              <w:spacing w:before="0" w:after="283"/>
              <w:rPr/>
            </w:pPr>
            <w:r>
              <w:rPr/>
              <w:t> </w:t>
            </w:r>
          </w:p>
        </w:tc>
      </w:tr>
      <w:tr>
        <w:trPr/>
        <w:tc>
          <w:tcPr>
            <w:tcW w:w="2915" w:type="dxa"/>
            <w:tcBorders/>
            <w:shd w:fill="auto" w:val="clear"/>
            <w:vAlign w:val="center"/>
          </w:tcPr>
          <w:p>
            <w:pPr>
              <w:pStyle w:val="TableContents"/>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Reflect Systems, Inc. (in thousands)</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shd w:fill="auto" w:val="clear"/>
            <w:vAlign w:val="center"/>
          </w:tcPr>
          <w:p>
            <w:pPr>
              <w:pStyle w:val="TableContents"/>
              <w:spacing w:before="0" w:after="283"/>
              <w:rPr/>
            </w:pPr>
            <w:r>
              <w:rPr/>
              <w:t> </w:t>
            </w:r>
          </w:p>
        </w:tc>
      </w:tr>
      <w:tr>
        <w:trPr/>
        <w:tc>
          <w:tcPr>
            <w:tcW w:w="29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spacing w:before="0" w:after="283"/>
              <w:ind w:left="0" w:right="0" w:hanging="0"/>
              <w:rPr/>
            </w:pPr>
            <w:r>
              <w:rPr/>
              <w:t> </w:t>
            </w:r>
          </w:p>
        </w:tc>
        <w:tc>
          <w:tcPr>
            <w:tcW w:w="20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12,243</w:t>
            </w:r>
          </w:p>
        </w:tc>
        <w:tc>
          <w:tcPr>
            <w:tcW w:w="60" w:type="dxa"/>
            <w:tcBorders/>
            <w:shd w:fill="CCEEFF" w:val="clear"/>
            <w:vAlign w:val="center"/>
          </w:tcPr>
          <w:p>
            <w:pPr>
              <w:pStyle w:val="TableContents"/>
              <w:spacing w:before="0" w:after="283"/>
              <w:rPr/>
            </w:pPr>
            <w:r>
              <w:rPr/>
              <w:t> </w:t>
            </w:r>
          </w:p>
        </w:tc>
      </w:tr>
      <w:tr>
        <w:trPr/>
        <w:tc>
          <w:tcPr>
            <w:tcW w:w="29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 income</w:t>
            </w:r>
          </w:p>
        </w:tc>
        <w:tc>
          <w:tcPr>
            <w:tcW w:w="60" w:type="dxa"/>
            <w:tcBorders/>
            <w:shd w:fill="FFFFFF" w:val="clear"/>
            <w:vAlign w:val="center"/>
          </w:tcPr>
          <w:p>
            <w:pPr>
              <w:pStyle w:val="TableContents"/>
              <w:spacing w:before="0" w:after="283"/>
              <w:ind w:left="0" w:right="0" w:hanging="0"/>
              <w:rPr/>
            </w:pPr>
            <w:r>
              <w:rPr/>
              <w:t> </w:t>
            </w:r>
          </w:p>
        </w:tc>
        <w:tc>
          <w:tcPr>
            <w:tcW w:w="20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567</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27</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bookmarkStart w:id="49" w:name="note11"/>
      <w:bookmarkEnd w:id="49"/>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11:</w:t>
      </w:r>
      <w:r>
        <w:rPr>
          <w:rFonts w:ascii="Times New Roman" w:hAnsi="Times New Roman"/>
          <w:b/>
          <w:caps w:val="false"/>
          <w:smallCaps w:val="false"/>
          <w:sz w:val="20"/>
          <w:u w:val="single"/>
        </w:rPr>
        <w:t xml:space="preserve"> 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Income tax expense consisted of the following:</w:t>
      </w:r>
    </w:p>
    <w:p>
      <w:pPr>
        <w:pStyle w:val="TextBody"/>
        <w:spacing w:before="0" w:after="0"/>
        <w:ind w:left="0" w:right="0" w:hanging="0"/>
        <w:rPr>
          <w:caps w:val="false"/>
          <w:smallCaps w:val="false"/>
        </w:rPr>
      </w:pPr>
      <w:r>
        <w:rPr>
          <w:caps w:val="false"/>
          <w:smallCaps w:val="false"/>
        </w:rPr>
        <w:t> </w:t>
      </w:r>
    </w:p>
    <w:tbl>
      <w:tblPr>
        <w:tblW w:w="4677" w:type="dxa"/>
        <w:jc w:val="left"/>
        <w:tblInd w:w="0" w:type="dxa"/>
        <w:tblCellMar>
          <w:top w:w="0" w:type="dxa"/>
          <w:left w:w="0" w:type="dxa"/>
          <w:bottom w:w="0" w:type="dxa"/>
          <w:right w:w="0" w:type="dxa"/>
        </w:tblCellMar>
      </w:tblPr>
      <w:tblGrid>
        <w:gridCol w:w="2420"/>
        <w:gridCol w:w="60"/>
        <w:gridCol w:w="273"/>
        <w:gridCol w:w="633"/>
        <w:gridCol w:w="174"/>
        <w:gridCol w:w="131"/>
        <w:gridCol w:w="273"/>
        <w:gridCol w:w="633"/>
        <w:gridCol w:w="80"/>
      </w:tblGrid>
      <w:tr>
        <w:trPr/>
        <w:tc>
          <w:tcPr>
            <w:tcW w:w="24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1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spacing w:before="0" w:after="283"/>
              <w:rPr/>
            </w:pPr>
            <w:r>
              <w:rPr/>
              <w:t> </w:t>
            </w:r>
          </w:p>
        </w:tc>
      </w:tr>
      <w:tr>
        <w:trPr/>
        <w:tc>
          <w:tcPr>
            <w:tcW w:w="24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0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74"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ind w:left="0" w:right="0" w:hanging="0"/>
              <w:rPr/>
            </w:pPr>
            <w:r>
              <w:rPr/>
              <w:t> </w:t>
            </w:r>
          </w:p>
        </w:tc>
        <w:tc>
          <w:tcPr>
            <w:tcW w:w="90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Tax provision summary:</w:t>
            </w:r>
          </w:p>
        </w:tc>
        <w:tc>
          <w:tcPr>
            <w:tcW w:w="6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633"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r>
      <w:tr>
        <w:trPr/>
        <w:tc>
          <w:tcPr>
            <w:tcW w:w="24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State income tax</w:t>
            </w:r>
          </w:p>
        </w:tc>
        <w:tc>
          <w:tcPr>
            <w:tcW w:w="60" w:type="dxa"/>
            <w:tcBorders/>
            <w:shd w:fill="CCEEFF" w:val="clear"/>
            <w:vAlign w:val="center"/>
          </w:tcPr>
          <w:p>
            <w:pPr>
              <w:pStyle w:val="TableContents"/>
              <w:spacing w:before="0" w:after="283"/>
              <w:ind w:left="0" w:right="0" w:hanging="0"/>
              <w:rPr/>
            </w:pPr>
            <w:r>
              <w:rPr/>
              <w:t> </w:t>
            </w:r>
          </w:p>
        </w:tc>
        <w:tc>
          <w:tcPr>
            <w:tcW w:w="27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w:t>
            </w:r>
          </w:p>
        </w:tc>
        <w:tc>
          <w:tcPr>
            <w:tcW w:w="174"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31" w:type="dxa"/>
            <w:tcBorders/>
            <w:shd w:fill="CCEEFF" w:val="clear"/>
            <w:vAlign w:val="center"/>
          </w:tcPr>
          <w:p>
            <w:pPr>
              <w:pStyle w:val="TableContents"/>
              <w:spacing w:before="0" w:after="283"/>
              <w:ind w:left="0" w:right="0" w:hanging="0"/>
              <w:rPr/>
            </w:pPr>
            <w:r>
              <w:rPr/>
              <w:t> </w:t>
            </w:r>
          </w:p>
        </w:tc>
        <w:tc>
          <w:tcPr>
            <w:tcW w:w="27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Deferred tax expense - federal</w:t>
            </w:r>
          </w:p>
        </w:tc>
        <w:tc>
          <w:tcPr>
            <w:tcW w:w="60" w:type="dxa"/>
            <w:tcBorders/>
            <w:shd w:fill="FFFFFF" w:val="clear"/>
            <w:vAlign w:val="center"/>
          </w:tcPr>
          <w:p>
            <w:pPr>
              <w:pStyle w:val="TableContents"/>
              <w:spacing w:before="0" w:after="283"/>
              <w:rPr/>
            </w:pPr>
            <w:r>
              <w:rPr/>
              <w:t> </w:t>
            </w:r>
          </w:p>
        </w:tc>
        <w:tc>
          <w:tcPr>
            <w:tcW w:w="273" w:type="dxa"/>
            <w:tcBorders/>
            <w:shd w:fill="FFFFFF" w:val="clear"/>
            <w:vAlign w:val="center"/>
          </w:tcPr>
          <w:p>
            <w:pPr>
              <w:pStyle w:val="TableContents"/>
              <w:spacing w:before="0" w:after="283"/>
              <w:ind w:left="0" w:right="0" w:hanging="0"/>
              <w:rPr/>
            </w:pPr>
            <w:r>
              <w:rPr/>
              <w:t> </w:t>
            </w:r>
          </w:p>
        </w:tc>
        <w:tc>
          <w:tcPr>
            <w:tcW w:w="6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w:t>
            </w:r>
          </w:p>
        </w:tc>
        <w:tc>
          <w:tcPr>
            <w:tcW w:w="17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31" w:type="dxa"/>
            <w:tcBorders/>
            <w:shd w:fill="FFFFFF" w:val="clear"/>
            <w:vAlign w:val="center"/>
          </w:tcPr>
          <w:p>
            <w:pPr>
              <w:pStyle w:val="TableContents"/>
              <w:spacing w:before="0" w:after="283"/>
              <w:rPr/>
            </w:pPr>
            <w:r>
              <w:rPr/>
              <w:t> </w:t>
            </w:r>
          </w:p>
        </w:tc>
        <w:tc>
          <w:tcPr>
            <w:tcW w:w="273" w:type="dxa"/>
            <w:tcBorders/>
            <w:shd w:fill="FFFFFF" w:val="clear"/>
            <w:vAlign w:val="center"/>
          </w:tcPr>
          <w:p>
            <w:pPr>
              <w:pStyle w:val="TableContents"/>
              <w:spacing w:before="0" w:after="283"/>
              <w:ind w:left="0" w:right="0" w:hanging="0"/>
              <w:rPr/>
            </w:pPr>
            <w:r>
              <w:rPr/>
              <w:t> </w:t>
            </w:r>
          </w:p>
        </w:tc>
        <w:tc>
          <w:tcPr>
            <w:tcW w:w="6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24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Deferred tax benefit – state</w:t>
            </w:r>
          </w:p>
        </w:tc>
        <w:tc>
          <w:tcPr>
            <w:tcW w:w="60" w:type="dxa"/>
            <w:tcBorders/>
            <w:shd w:fill="CCEEFF" w:val="clear"/>
            <w:vAlign w:val="center"/>
          </w:tcPr>
          <w:p>
            <w:pPr>
              <w:pStyle w:val="TableContents"/>
              <w:spacing w:before="0" w:after="283"/>
              <w:rPr/>
            </w:pPr>
            <w:r>
              <w:rPr/>
              <w:t> </w:t>
            </w:r>
          </w:p>
        </w:tc>
        <w:tc>
          <w:tcPr>
            <w:tcW w:w="27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3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174"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27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3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24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Tax expense</w:t>
            </w:r>
          </w:p>
        </w:tc>
        <w:tc>
          <w:tcPr>
            <w:tcW w:w="60" w:type="dxa"/>
            <w:tcBorders/>
            <w:shd w:fill="FFFFFF" w:val="clear"/>
            <w:vAlign w:val="center"/>
          </w:tcPr>
          <w:p>
            <w:pPr>
              <w:pStyle w:val="TableContents"/>
              <w:spacing w:before="0" w:after="283"/>
              <w:ind w:left="0" w:right="0" w:hanging="0"/>
              <w:rPr/>
            </w:pPr>
            <w:r>
              <w:rPr/>
              <w:t> </w:t>
            </w:r>
          </w:p>
        </w:tc>
        <w:tc>
          <w:tcPr>
            <w:tcW w:w="27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w:t>
            </w:r>
          </w:p>
        </w:tc>
        <w:tc>
          <w:tcPr>
            <w:tcW w:w="17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31" w:type="dxa"/>
            <w:tcBorders/>
            <w:shd w:fill="FFFFFF" w:val="clear"/>
            <w:vAlign w:val="center"/>
          </w:tcPr>
          <w:p>
            <w:pPr>
              <w:pStyle w:val="TableContents"/>
              <w:spacing w:before="0" w:after="283"/>
              <w:ind w:left="0" w:right="0" w:hanging="0"/>
              <w:rPr/>
            </w:pPr>
            <w:r>
              <w:rPr/>
              <w:t> </w:t>
            </w:r>
          </w:p>
        </w:tc>
        <w:tc>
          <w:tcPr>
            <w:tcW w:w="27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income tax expense includes federal and state income taxes currently payable and those deferred or prepaid because of temporary differences between financial statement and tax bases of assets and liabilities. The Company records income taxes under the liability method. Under this method, deferred income taxes are recognized for the estimated future tax effects of differences between the tax bases of assets and liabilities and their financial reporting amounts based on enacted tax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 reconciliation of the statutory income tax rate to the effective income tax rates as a percentage of income before income taxes is as follows:</w:t>
      </w:r>
    </w:p>
    <w:p>
      <w:pPr>
        <w:pStyle w:val="TextBody"/>
        <w:spacing w:before="0" w:after="0"/>
        <w:ind w:left="0" w:right="0" w:hanging="0"/>
        <w:rPr>
          <w:caps w:val="false"/>
          <w:smallCaps w:val="false"/>
        </w:rPr>
      </w:pPr>
      <w:r>
        <w:rPr>
          <w:caps w:val="false"/>
          <w:smallCaps w:val="false"/>
        </w:rPr>
        <w:t> </w:t>
      </w:r>
    </w:p>
    <w:tbl>
      <w:tblPr>
        <w:tblW w:w="6610" w:type="dxa"/>
        <w:jc w:val="left"/>
        <w:tblInd w:w="0" w:type="dxa"/>
        <w:tblCellMar>
          <w:top w:w="0" w:type="dxa"/>
          <w:left w:w="0" w:type="dxa"/>
          <w:bottom w:w="0" w:type="dxa"/>
          <w:right w:w="0" w:type="dxa"/>
        </w:tblCellMar>
      </w:tblPr>
      <w:tblGrid>
        <w:gridCol w:w="4685"/>
        <w:gridCol w:w="60"/>
        <w:gridCol w:w="60"/>
        <w:gridCol w:w="545"/>
        <w:gridCol w:w="245"/>
        <w:gridCol w:w="60"/>
        <w:gridCol w:w="60"/>
        <w:gridCol w:w="650"/>
        <w:gridCol w:w="245"/>
      </w:tblGrid>
      <w:tr>
        <w:trPr/>
        <w:tc>
          <w:tcPr>
            <w:tcW w:w="46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0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2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245" w:type="dxa"/>
            <w:tcBorders/>
            <w:shd w:fill="FFFFFF" w:val="clear"/>
            <w:vAlign w:val="center"/>
          </w:tcPr>
          <w:p>
            <w:pPr>
              <w:pStyle w:val="TableContents"/>
              <w:spacing w:before="0" w:after="283"/>
              <w:rPr/>
            </w:pPr>
            <w:r>
              <w:rPr/>
              <w:t> </w:t>
            </w:r>
          </w:p>
        </w:tc>
      </w:tr>
      <w:tr>
        <w:trPr/>
        <w:tc>
          <w:tcPr>
            <w:tcW w:w="46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Federal statutory rate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545" w:type="dxa"/>
            <w:tcBorders/>
            <w:shd w:fill="auto"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21.00</w:t>
            </w:r>
          </w:p>
        </w:tc>
        <w:tc>
          <w:tcPr>
            <w:tcW w:w="24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50" w:type="dxa"/>
            <w:tcBorders/>
            <w:shd w:fill="auto"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21.00</w:t>
            </w:r>
          </w:p>
        </w:tc>
        <w:tc>
          <w:tcPr>
            <w:tcW w:w="24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6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State taxes, net of federal benefit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(2.02</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5.21</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6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 rate differential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(26.47</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6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PPP Loan Forgiveness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(128.43</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68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Fair value of Warrant Liability/Contingent Consideration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(79.66</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0.00</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6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Discrete items, Transaction items, and Other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21.92</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6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Changes in valuation allowance</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69.60</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115.43</w:t>
            </w:r>
          </w:p>
        </w:tc>
        <w:tc>
          <w:tcPr>
            <w:tcW w:w="24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6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Effective tax rate</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5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4.04</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8.66</w:t>
            </w:r>
          </w:p>
        </w:tc>
        <w:tc>
          <w:tcPr>
            <w:tcW w:w="24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28</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net deferred tax assets and liabilities recognized in the accompanying Consolidated Balance Sheets, determined using the income tax rate applicable to each period, consist of the following:</w:t>
      </w:r>
    </w:p>
    <w:p>
      <w:pPr>
        <w:pStyle w:val="TextBody"/>
        <w:spacing w:before="0" w:after="0"/>
        <w:ind w:left="0" w:right="0" w:hanging="0"/>
        <w:rPr>
          <w:caps w:val="false"/>
          <w:smallCaps w:val="false"/>
        </w:rPr>
      </w:pPr>
      <w:r>
        <w:rPr>
          <w:caps w:val="false"/>
          <w:smallCaps w:val="false"/>
        </w:rPr>
        <w:t> </w:t>
      </w:r>
    </w:p>
    <w:tbl>
      <w:tblPr>
        <w:tblW w:w="5570" w:type="dxa"/>
        <w:jc w:val="left"/>
        <w:tblInd w:w="0" w:type="dxa"/>
        <w:tblCellMar>
          <w:top w:w="0" w:type="dxa"/>
          <w:left w:w="0" w:type="dxa"/>
          <w:bottom w:w="0" w:type="dxa"/>
          <w:right w:w="0" w:type="dxa"/>
        </w:tblCellMar>
      </w:tblPr>
      <w:tblGrid>
        <w:gridCol w:w="3740"/>
        <w:gridCol w:w="60"/>
        <w:gridCol w:w="125"/>
        <w:gridCol w:w="650"/>
        <w:gridCol w:w="80"/>
        <w:gridCol w:w="60"/>
        <w:gridCol w:w="125"/>
        <w:gridCol w:w="650"/>
        <w:gridCol w:w="80"/>
      </w:tblGrid>
      <w:tr>
        <w:trPr/>
        <w:tc>
          <w:tcPr>
            <w:tcW w:w="37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9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r>
      <w:tr>
        <w:trPr/>
        <w:tc>
          <w:tcPr>
            <w:tcW w:w="37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Deferred tax assets (liabilities):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Reserves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267</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Property and equipment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Right-of-use Asset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Right-of-use Liability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IRC 163(j) Interest Deduction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Debt issuance costs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286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Non-qualified stock options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1,074</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IRC Section 174</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196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R&amp;D credits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2,312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1,801</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foreign carryforwards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3,664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3,485</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US net operating loss and credit carryforwards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37,953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35,448</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Intangibles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(3,737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deferred tax liabilities, net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43,391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42,186</w:t>
            </w:r>
          </w:p>
        </w:tc>
        <w:tc>
          <w:tcPr>
            <w:tcW w:w="80" w:type="dxa"/>
            <w:tcBorders/>
            <w:shd w:fill="CCEEFF" w:val="clear"/>
            <w:vAlign w:val="center"/>
          </w:tcPr>
          <w:p>
            <w:pPr>
              <w:pStyle w:val="TableContents"/>
              <w:spacing w:before="0" w:after="283"/>
              <w:rPr/>
            </w:pPr>
            <w:r>
              <w:rPr/>
              <w:t> </w:t>
            </w:r>
          </w:p>
        </w:tc>
      </w:tr>
      <w:tr>
        <w:trPr/>
        <w:tc>
          <w:tcPr>
            <w:tcW w:w="37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Valuation allowance</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(43,419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(42,186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deferred tax liabilities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 had no reserves recorded as a liability for unrecognized tax benefits for U.S. federal and state tax jurisdictions. There were no unrecognized tax benefits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that, if recognized, would affect the tax rate.  It is the Company’s policy to accrue interest and penalties related to liabilities for income tax contingencies in the provision for income taxes.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 Company had no accrued interest or penalties related to uncertain tax positions.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Our deferred tax assets are primarily related to net federal and state operating loss carryforwards (NOLs).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 has federal and state net operating loss carryforwards expiring between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2037,</w:t>
      </w:r>
      <w:r>
        <w:rPr>
          <w:rFonts w:ascii="Times New Roman" w:hAnsi="Times New Roman"/>
          <w:caps w:val="false"/>
          <w:smallCaps w:val="false"/>
          <w:sz w:val="20"/>
        </w:rPr>
        <w:t xml:space="preserve"> $10,651 of which has an indefinite carryforward period. The federal statute of limitations remains open for tax years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state tax jurisdictions generally have statutes of limitations open for tax years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We have substantial NOLs that are limited in usage by IRC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IRC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generally imposes an annual limitation on the amount of NOLs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to offset taxable income when a corporation has undergone significant changes in stock ownership within a statutory testing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29</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bookmarkStart w:id="50" w:name="note12"/>
      <w:bookmarkEnd w:id="50"/>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12:</w:t>
      </w:r>
      <w:r>
        <w:rPr>
          <w:rFonts w:ascii="Times New Roman" w:hAnsi="Times New Roman"/>
          <w:b/>
          <w:caps w:val="false"/>
          <w:smallCaps w:val="false"/>
          <w:sz w:val="20"/>
          <w:u w:val="single"/>
        </w:rPr>
        <w:t xml:space="preserve"> 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A summary of outstanding warrants for the years ended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is included below:</w:t>
      </w:r>
    </w:p>
    <w:p>
      <w:pPr>
        <w:pStyle w:val="TextBody"/>
        <w:spacing w:before="0" w:after="0"/>
        <w:ind w:left="0" w:right="0" w:hanging="0"/>
        <w:rPr>
          <w:caps w:val="false"/>
          <w:smallCaps w:val="false"/>
        </w:rPr>
      </w:pPr>
      <w:r>
        <w:rPr>
          <w:caps w:val="false"/>
          <w:smallCaps w:val="false"/>
        </w:rPr>
        <w:t> </w:t>
      </w:r>
    </w:p>
    <w:tbl>
      <w:tblPr>
        <w:tblW w:w="6518" w:type="dxa"/>
        <w:jc w:val="left"/>
        <w:tblInd w:w="0" w:type="dxa"/>
        <w:tblCellMar>
          <w:top w:w="0" w:type="dxa"/>
          <w:left w:w="0" w:type="dxa"/>
          <w:bottom w:w="28" w:type="dxa"/>
          <w:right w:w="0" w:type="dxa"/>
        </w:tblCellMar>
      </w:tblPr>
      <w:tblGrid>
        <w:gridCol w:w="2300"/>
        <w:gridCol w:w="60"/>
        <w:gridCol w:w="60"/>
        <w:gridCol w:w="905"/>
        <w:gridCol w:w="80"/>
        <w:gridCol w:w="60"/>
        <w:gridCol w:w="302"/>
        <w:gridCol w:w="1172"/>
        <w:gridCol w:w="60"/>
        <w:gridCol w:w="60"/>
        <w:gridCol w:w="189"/>
        <w:gridCol w:w="1210"/>
        <w:gridCol w:w="60"/>
      </w:tblGrid>
      <w:tr>
        <w:trPr/>
        <w:tc>
          <w:tcPr>
            <w:tcW w:w="6458" w:type="dxa"/>
            <w:gridSpan w:val="12"/>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i/>
                <w:caps w:val="false"/>
                <w:smallCaps w:val="false"/>
                <w:sz w:val="20"/>
              </w:rPr>
              <w:t>Year Ended December 31, 2022</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4098" w:type="dxa"/>
            <w:gridSpan w:val="10"/>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Warrants (Equity)</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05" w:type="dxa"/>
            <w:tcBorders/>
            <w:shd w:fill="FFFFFF" w:val="clear"/>
            <w:tcMar>
              <w:bottom w:w="0" w:type="dxa"/>
            </w:tcMar>
            <w:vAlign w:val="center"/>
          </w:tcPr>
          <w:p>
            <w:pPr>
              <w:pStyle w:val="TableContents"/>
              <w:spacing w:before="0" w:after="283"/>
              <w:jc w:val="center"/>
              <w:rPr/>
            </w:pPr>
            <w:r>
              <w:rPr>
                <w:rStyle w:val="Emphasis"/>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02" w:type="dxa"/>
            <w:tcBorders/>
            <w:shd w:fill="FFFFFF" w:val="clear"/>
            <w:tcMar>
              <w:bottom w:w="0" w:type="dxa"/>
            </w:tcMar>
            <w:vAlign w:val="center"/>
          </w:tcPr>
          <w:p>
            <w:pPr>
              <w:pStyle w:val="TableContents"/>
              <w:spacing w:before="0" w:after="283"/>
              <w:rPr/>
            </w:pPr>
            <w:r>
              <w:rPr/>
              <w:t> </w:t>
            </w:r>
          </w:p>
        </w:tc>
        <w:tc>
          <w:tcPr>
            <w:tcW w:w="1172" w:type="dxa"/>
            <w:tcBorders/>
            <w:shd w:fill="FFFFFF" w:val="clear"/>
            <w:tcMar>
              <w:bottom w:w="0" w:type="dxa"/>
            </w:tcMar>
            <w:vAlign w:val="center"/>
          </w:tcPr>
          <w:p>
            <w:pPr>
              <w:pStyle w:val="TableContents"/>
              <w:spacing w:before="0" w:after="283"/>
              <w:jc w:val="center"/>
              <w:rPr/>
            </w:pPr>
            <w:r>
              <w:rPr>
                <w:rStyle w:val="Emphasis"/>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399"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05" w:type="dxa"/>
            <w:tcBorders/>
            <w:shd w:fill="FFFFFF" w:val="clear"/>
            <w:tcMar>
              <w:bottom w:w="0" w:type="dxa"/>
            </w:tcMar>
            <w:vAlign w:val="center"/>
          </w:tcPr>
          <w:p>
            <w:pPr>
              <w:pStyle w:val="TableContents"/>
              <w:spacing w:before="0" w:after="283"/>
              <w:jc w:val="center"/>
              <w:rPr/>
            </w:pPr>
            <w:r>
              <w:rPr>
                <w:rStyle w:val="Emphasis"/>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474"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399"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05" w:type="dxa"/>
            <w:tcBorders/>
            <w:shd w:fill="FFFFFF" w:val="clear"/>
            <w:tcMar>
              <w:bottom w:w="0" w:type="dxa"/>
            </w:tcMar>
            <w:vAlign w:val="center"/>
          </w:tcPr>
          <w:p>
            <w:pPr>
              <w:pStyle w:val="TableContents"/>
              <w:spacing w:before="0" w:after="283"/>
              <w:jc w:val="center"/>
              <w:rPr/>
            </w:pPr>
            <w:r>
              <w:rPr>
                <w:rStyle w:val="Emphasis"/>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474"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 Exercise</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399"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965"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474"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399"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Contractual Life</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January 1, 2022</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90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1,367,737</w:t>
            </w:r>
          </w:p>
        </w:tc>
        <w:tc>
          <w:tcPr>
            <w:tcW w:w="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302"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2"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13.44</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9" w:type="dxa"/>
            <w:tcBorders/>
            <w:shd w:fill="CCEEFF" w:val="clear"/>
            <w:tcMar>
              <w:bottom w:w="0" w:type="dxa"/>
            </w:tcMar>
            <w:vAlign w:val="center"/>
          </w:tcPr>
          <w:p>
            <w:pPr>
              <w:pStyle w:val="TableContents"/>
              <w:spacing w:before="0" w:after="283"/>
              <w:ind w:left="0" w:right="0" w:hanging="0"/>
              <w:rPr/>
            </w:pPr>
            <w:r>
              <w:rPr/>
              <w:t> </w:t>
            </w:r>
          </w:p>
        </w:tc>
        <w:tc>
          <w:tcPr>
            <w:tcW w:w="1210"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w:t>
            </w:r>
          </w:p>
        </w:tc>
        <w:tc>
          <w:tcPr>
            <w:tcW w:w="60" w:type="dxa"/>
            <w:tcBorders/>
            <w:shd w:fill="CCEE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Warrants issued</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905"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1,950,502</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02" w:type="dxa"/>
            <w:tcBorders/>
            <w:shd w:fill="FFFFFF" w:val="clear"/>
            <w:tcMar>
              <w:bottom w:w="0" w:type="dxa"/>
            </w:tcMar>
            <w:vAlign w:val="center"/>
          </w:tcPr>
          <w:p>
            <w:pPr>
              <w:pStyle w:val="TableContents"/>
              <w:spacing w:before="0" w:after="283"/>
              <w:ind w:left="0" w:right="0" w:hanging="0"/>
              <w:rPr/>
            </w:pPr>
            <w:r>
              <w:rPr/>
              <w:t> </w:t>
            </w:r>
          </w:p>
        </w:tc>
        <w:tc>
          <w:tcPr>
            <w:tcW w:w="1172"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4.60</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89" w:type="dxa"/>
            <w:tcBorders/>
            <w:shd w:fill="FFFFFF" w:val="clear"/>
            <w:tcMar>
              <w:bottom w:w="0" w:type="dxa"/>
            </w:tcMar>
            <w:vAlign w:val="center"/>
          </w:tcPr>
          <w:p>
            <w:pPr>
              <w:pStyle w:val="TableContents"/>
              <w:spacing w:before="0" w:after="283"/>
              <w:ind w:left="0" w:right="0" w:hanging="0"/>
              <w:rPr/>
            </w:pPr>
            <w:r>
              <w:rPr/>
              <w:t> </w:t>
            </w:r>
          </w:p>
        </w:tc>
        <w:tc>
          <w:tcPr>
            <w:tcW w:w="1210" w:type="dxa"/>
            <w:tcBorders/>
            <w:shd w:fill="FFFFFF" w:val="clear"/>
            <w:tcMar>
              <w:bottom w:w="0" w:type="dxa"/>
            </w:tcMar>
            <w:vAlign w:val="center"/>
          </w:tcPr>
          <w:p>
            <w:pPr>
              <w:pStyle w:val="TableContents"/>
              <w:spacing w:before="0" w:after="283"/>
              <w:ind w:left="0" w:right="0" w:hanging="0"/>
              <w:jc w:val="right"/>
              <w:rPr/>
            </w:pPr>
            <w:r>
              <w:rPr>
                <w:rStyle w:val="Emphasis"/>
                <w:rFonts w:ascii="Times New Roman" w:hAnsi="Times New Roman"/>
                <w:sz w:val="20"/>
              </w:rPr>
              <w:t>5.00</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Warrants exercised</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05" w:type="dxa"/>
            <w:tcBorders/>
            <w:shd w:fill="CCEEFF" w:val="clear"/>
            <w:tcMar>
              <w:bottom w:w="0" w:type="dxa"/>
            </w:tcMar>
            <w:vAlign w:val="center"/>
          </w:tcPr>
          <w:p>
            <w:pPr>
              <w:pStyle w:val="TableContents"/>
              <w:spacing w:before="0" w:after="283"/>
              <w:jc w:val="right"/>
              <w:rPr>
                <w:rFonts w:ascii="Times New Roman" w:hAnsi="Times New Roman"/>
                <w:sz w:val="20"/>
              </w:rPr>
            </w:pPr>
            <w:r>
              <w:rPr>
                <w:rFonts w:ascii="Times New Roman" w:hAnsi="Times New Roman"/>
                <w:sz w:val="20"/>
              </w:rPr>
              <w:t>(1,950,502</w:t>
            </w:r>
          </w:p>
        </w:tc>
        <w:tc>
          <w:tcPr>
            <w:tcW w:w="80" w:type="dxa"/>
            <w:tcBorders/>
            <w:shd w:fill="CCEE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302" w:type="dxa"/>
            <w:tcBorders/>
            <w:shd w:fill="CCEEFF" w:val="clear"/>
            <w:tcMar>
              <w:bottom w:w="0" w:type="dxa"/>
            </w:tcMar>
            <w:vAlign w:val="center"/>
          </w:tcPr>
          <w:p>
            <w:pPr>
              <w:pStyle w:val="TableContents"/>
              <w:spacing w:before="0" w:after="283"/>
              <w:rPr/>
            </w:pPr>
            <w:r>
              <w:rPr/>
              <w:t> </w:t>
            </w:r>
          </w:p>
        </w:tc>
        <w:tc>
          <w:tcPr>
            <w:tcW w:w="1172" w:type="dxa"/>
            <w:tcBorders/>
            <w:shd w:fill="CCEEFF" w:val="clear"/>
            <w:tcMar>
              <w:bottom w:w="0" w:type="dxa"/>
            </w:tcMar>
            <w:vAlign w:val="center"/>
          </w:tcPr>
          <w:p>
            <w:pPr>
              <w:pStyle w:val="TableContents"/>
              <w:spacing w:before="0" w:after="283"/>
              <w:jc w:val="right"/>
              <w:rPr>
                <w:rFonts w:ascii="Times New Roman" w:hAnsi="Times New Roman"/>
                <w:sz w:val="20"/>
              </w:rPr>
            </w:pPr>
            <w:r>
              <w:rPr>
                <w:rFonts w:ascii="Times New Roman" w:hAnsi="Times New Roman"/>
                <w:sz w:val="20"/>
              </w:rPr>
              <w:t>4.60</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9" w:type="dxa"/>
            <w:tcBorders/>
            <w:shd w:fill="CCEEFF" w:val="clear"/>
            <w:tcMar>
              <w:bottom w:w="0" w:type="dxa"/>
            </w:tcMar>
            <w:vAlign w:val="center"/>
          </w:tcPr>
          <w:p>
            <w:pPr>
              <w:pStyle w:val="TableContents"/>
              <w:spacing w:before="0" w:after="283"/>
              <w:rPr/>
            </w:pPr>
            <w:r>
              <w:rPr/>
              <w:t> </w:t>
            </w:r>
          </w:p>
        </w:tc>
        <w:tc>
          <w:tcPr>
            <w:tcW w:w="1210" w:type="dxa"/>
            <w:tcBorders/>
            <w:shd w:fill="CCEEFF" w:val="clear"/>
            <w:tcMar>
              <w:bottom w:w="0" w:type="dxa"/>
            </w:tcMar>
            <w:vAlign w:val="center"/>
          </w:tcPr>
          <w:p>
            <w:pPr>
              <w:pStyle w:val="TableContents"/>
              <w:spacing w:before="0" w:after="283"/>
              <w:jc w:val="right"/>
              <w:rPr>
                <w:rFonts w:ascii="Times New Roman" w:hAnsi="Times New Roman"/>
                <w:sz w:val="20"/>
              </w:rPr>
            </w:pPr>
            <w:r>
              <w:rPr>
                <w:rFonts w:ascii="Times New Roman" w:hAnsi="Times New Roman"/>
                <w:sz w:val="20"/>
              </w:rPr>
              <w:t>4.86</w:t>
            </w:r>
          </w:p>
        </w:tc>
        <w:tc>
          <w:tcPr>
            <w:tcW w:w="60" w:type="dxa"/>
            <w:tcBorders/>
            <w:shd w:fill="CCEE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Warrants expired</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905"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(130,712</w:t>
            </w:r>
          </w:p>
        </w:tc>
        <w:tc>
          <w:tcPr>
            <w:tcW w:w="80" w:type="dxa"/>
            <w:tcBorders/>
            <w:shd w:fill="FFFF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spacing w:before="0" w:after="283"/>
              <w:rPr/>
            </w:pPr>
            <w:r>
              <w:rPr/>
              <w:t> </w:t>
            </w:r>
          </w:p>
        </w:tc>
        <w:tc>
          <w:tcPr>
            <w:tcW w:w="302" w:type="dxa"/>
            <w:tcBorders/>
            <w:shd w:fill="FFFFFF" w:val="clear"/>
            <w:tcMar>
              <w:bottom w:w="0" w:type="dxa"/>
            </w:tcMar>
            <w:vAlign w:val="center"/>
          </w:tcPr>
          <w:p>
            <w:pPr>
              <w:pStyle w:val="TableContents"/>
              <w:spacing w:before="0" w:after="283"/>
              <w:ind w:left="0" w:right="0" w:hanging="0"/>
              <w:rPr/>
            </w:pPr>
            <w:r>
              <w:rPr/>
              <w:t> </w:t>
            </w:r>
          </w:p>
        </w:tc>
        <w:tc>
          <w:tcPr>
            <w:tcW w:w="1172"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10.44</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89" w:type="dxa"/>
            <w:tcBorders/>
            <w:shd w:fill="FFFFFF" w:val="clear"/>
            <w:tcMar>
              <w:bottom w:w="0" w:type="dxa"/>
            </w:tcMar>
            <w:vAlign w:val="center"/>
          </w:tcPr>
          <w:p>
            <w:pPr>
              <w:pStyle w:val="TableContents"/>
              <w:spacing w:before="0" w:after="283"/>
              <w:ind w:left="0" w:right="0" w:hanging="0"/>
              <w:rPr/>
            </w:pPr>
            <w:r>
              <w:rPr/>
              <w:t> </w:t>
            </w:r>
          </w:p>
        </w:tc>
        <w:tc>
          <w:tcPr>
            <w:tcW w:w="1210" w:type="dxa"/>
            <w:tcBorders/>
            <w:shd w:fill="FFFFFF" w:val="clear"/>
            <w:tcMar>
              <w:bottom w:w="0" w:type="dxa"/>
            </w:tcM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FFFFFF" w:val="clear"/>
            <w:tcMar>
              <w:bottom w:w="0" w:type="dxa"/>
            </w:tcMar>
            <w:vAlign w:val="center"/>
          </w:tcPr>
          <w:p>
            <w:pPr>
              <w:pStyle w:val="TableContents"/>
              <w:spacing w:before="0" w:after="283"/>
              <w:ind w:left="0" w:right="0" w:hanging="0"/>
              <w:rPr/>
            </w:pPr>
            <w:r>
              <w:rPr/>
              <w:t> </w:t>
            </w:r>
          </w:p>
        </w:tc>
      </w:tr>
      <w:tr>
        <w:trPr/>
        <w:tc>
          <w:tcPr>
            <w:tcW w:w="230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Warrants reclassified</w:t>
            </w:r>
          </w:p>
        </w:tc>
        <w:tc>
          <w:tcPr>
            <w:tcW w:w="60" w:type="dxa"/>
            <w:tcBorders/>
            <w:shd w:fill="CCEEFF" w:val="clear"/>
            <w:tcMar>
              <w:bottom w:w="0" w:type="dxa"/>
            </w:tcMar>
            <w:vAlign w:val="center"/>
          </w:tcPr>
          <w:p>
            <w:pPr>
              <w:pStyle w:val="TableContents"/>
              <w:spacing w:before="0" w:after="0"/>
              <w:ind w:left="0" w:right="0" w:hanging="0"/>
              <w:rPr/>
            </w:pPr>
            <w:r>
              <w:rPr/>
              <w:t> </w:t>
            </w:r>
          </w:p>
        </w:tc>
        <w:tc>
          <w:tcPr>
            <w:tcW w:w="60" w:type="dxa"/>
            <w:tcBorders>
              <w:bottom w:val="single" w:sz="2" w:space="0" w:color="000000"/>
            </w:tcBorders>
            <w:shd w:fill="CCEEFF" w:val="clear"/>
            <w:vAlign w:val="center"/>
          </w:tcPr>
          <w:p>
            <w:pPr>
              <w:pStyle w:val="TableContents"/>
              <w:spacing w:before="0" w:after="0"/>
              <w:ind w:left="0" w:right="0" w:hanging="0"/>
              <w:rPr/>
            </w:pPr>
            <w:r>
              <w:rPr/>
              <w:t> </w:t>
            </w:r>
          </w:p>
        </w:tc>
        <w:tc>
          <w:tcPr>
            <w:tcW w:w="905" w:type="dxa"/>
            <w:tcBorders>
              <w:bottom w:val="single" w:sz="2" w:space="0" w:color="000000"/>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4,587,002</w:t>
            </w:r>
          </w:p>
        </w:tc>
        <w:tc>
          <w:tcPr>
            <w:tcW w:w="80" w:type="dxa"/>
            <w:tcBorders/>
            <w:shd w:fill="CCEEFF" w:val="clear"/>
            <w:tcMar>
              <w:bottom w:w="0" w:type="dxa"/>
            </w:tcMar>
            <w:vAlign w:val="center"/>
          </w:tcPr>
          <w:p>
            <w:pPr>
              <w:pStyle w:val="TableContents"/>
              <w:spacing w:before="0" w:after="0"/>
              <w:ind w:left="0" w:right="0" w:hanging="0"/>
              <w:rPr/>
            </w:pPr>
            <w:r>
              <w:rPr/>
              <w:t> </w:t>
            </w:r>
          </w:p>
        </w:tc>
        <w:tc>
          <w:tcPr>
            <w:tcW w:w="60" w:type="dxa"/>
            <w:tcBorders/>
            <w:shd w:fill="CCEEFF" w:val="clear"/>
            <w:tcMar>
              <w:bottom w:w="0" w:type="dxa"/>
            </w:tcMar>
            <w:vAlign w:val="center"/>
          </w:tcPr>
          <w:p>
            <w:pPr>
              <w:pStyle w:val="TableContents"/>
              <w:spacing w:before="0" w:after="0"/>
              <w:ind w:left="0" w:right="0" w:hanging="0"/>
              <w:rPr/>
            </w:pPr>
            <w:r>
              <w:rPr/>
              <w:t> </w:t>
            </w:r>
          </w:p>
        </w:tc>
        <w:tc>
          <w:tcPr>
            <w:tcW w:w="302" w:type="dxa"/>
            <w:tcBorders>
              <w:bottom w:val="single" w:sz="2" w:space="0" w:color="000000"/>
            </w:tcBorders>
            <w:shd w:fill="CCEEFF" w:val="clear"/>
            <w:vAlign w:val="center"/>
          </w:tcPr>
          <w:p>
            <w:pPr>
              <w:pStyle w:val="TableContents"/>
              <w:spacing w:before="0" w:after="0"/>
              <w:ind w:left="0" w:right="0" w:hanging="0"/>
              <w:rPr/>
            </w:pPr>
            <w:r>
              <w:rPr/>
              <w:t> </w:t>
            </w:r>
          </w:p>
        </w:tc>
        <w:tc>
          <w:tcPr>
            <w:tcW w:w="1172" w:type="dxa"/>
            <w:tcBorders>
              <w:bottom w:val="single" w:sz="2" w:space="0" w:color="000000"/>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4.90</w:t>
            </w:r>
          </w:p>
        </w:tc>
        <w:tc>
          <w:tcPr>
            <w:tcW w:w="60" w:type="dxa"/>
            <w:tcBorders/>
            <w:shd w:fill="CCEEFF" w:val="clear"/>
            <w:tcMar>
              <w:bottom w:w="0" w:type="dxa"/>
            </w:tcMar>
            <w:vAlign w:val="center"/>
          </w:tcPr>
          <w:p>
            <w:pPr>
              <w:pStyle w:val="TableContents"/>
              <w:spacing w:before="0" w:after="0"/>
              <w:ind w:left="0" w:right="0" w:hanging="0"/>
              <w:rPr/>
            </w:pPr>
            <w:r>
              <w:rPr/>
              <w:t> </w:t>
            </w:r>
          </w:p>
        </w:tc>
        <w:tc>
          <w:tcPr>
            <w:tcW w:w="60" w:type="dxa"/>
            <w:tcBorders/>
            <w:shd w:fill="CCEEFF" w:val="clear"/>
            <w:tcMar>
              <w:bottom w:w="0" w:type="dxa"/>
            </w:tcMar>
            <w:vAlign w:val="center"/>
          </w:tcPr>
          <w:p>
            <w:pPr>
              <w:pStyle w:val="TableContents"/>
              <w:spacing w:before="0" w:after="0"/>
              <w:ind w:left="0" w:right="0" w:hanging="0"/>
              <w:rPr/>
            </w:pPr>
            <w:r>
              <w:rPr/>
              <w:t> </w:t>
            </w:r>
          </w:p>
        </w:tc>
        <w:tc>
          <w:tcPr>
            <w:tcW w:w="189" w:type="dxa"/>
            <w:tcBorders>
              <w:bottom w:val="single" w:sz="2" w:space="0" w:color="000000"/>
            </w:tcBorders>
            <w:shd w:fill="CCEEFF" w:val="clear"/>
            <w:vAlign w:val="center"/>
          </w:tcPr>
          <w:p>
            <w:pPr>
              <w:pStyle w:val="TableContents"/>
              <w:spacing w:before="0" w:after="0"/>
              <w:ind w:left="0" w:right="0" w:hanging="0"/>
              <w:rPr/>
            </w:pPr>
            <w:r>
              <w:rPr/>
              <w:t> </w:t>
            </w:r>
          </w:p>
        </w:tc>
        <w:tc>
          <w:tcPr>
            <w:tcW w:w="1210" w:type="dxa"/>
            <w:tcBorders>
              <w:bottom w:val="single" w:sz="2" w:space="0" w:color="000000"/>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4.73</w:t>
            </w:r>
          </w:p>
        </w:tc>
        <w:tc>
          <w:tcPr>
            <w:tcW w:w="60" w:type="dxa"/>
            <w:tcBorders/>
            <w:shd w:fill="CCEEFF" w:val="clear"/>
            <w:tcMar>
              <w:bottom w:w="0" w:type="dxa"/>
            </w:tcMar>
            <w:vAlign w:val="center"/>
          </w:tcPr>
          <w:p>
            <w:pPr>
              <w:pStyle w:val="TableContents"/>
              <w:spacing w:before="0" w:after="0"/>
              <w:rPr/>
            </w:pPr>
            <w:r>
              <w:rPr/>
              <w:t> </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December 31, 2022</w:t>
            </w:r>
          </w:p>
        </w:tc>
        <w:tc>
          <w:tcPr>
            <w:tcW w:w="60" w:type="dxa"/>
            <w:tcBorders/>
            <w:shd w:fill="FFFFFF" w:val="clear"/>
            <w:tcMar>
              <w:bottom w:w="0" w:type="dxa"/>
            </w:tcMar>
            <w:vAlign w:val="center"/>
          </w:tcPr>
          <w:p>
            <w:pPr>
              <w:pStyle w:val="TableContents"/>
              <w:spacing w:before="0" w:after="283"/>
              <w:rPr/>
            </w:pPr>
            <w:r>
              <w:rPr/>
              <w:t> </w:t>
            </w:r>
          </w:p>
        </w:tc>
        <w:tc>
          <w:tcPr>
            <w:tcW w:w="60" w:type="dxa"/>
            <w:tcBorders>
              <w:bottom w:val="double" w:sz="6" w:space="0" w:color="000000"/>
            </w:tcBorders>
            <w:shd w:fill="FFFFFF" w:val="clear"/>
            <w:vAlign w:val="center"/>
          </w:tcPr>
          <w:p>
            <w:pPr>
              <w:pStyle w:val="TableContents"/>
              <w:spacing w:before="0" w:after="283"/>
              <w:ind w:left="0" w:right="0" w:hanging="0"/>
              <w:rPr/>
            </w:pPr>
            <w:r>
              <w:rPr/>
              <w:t> </w:t>
            </w:r>
          </w:p>
        </w:tc>
        <w:tc>
          <w:tcPr>
            <w:tcW w:w="905"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5,824,027</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302" w:type="dxa"/>
            <w:tcBorders>
              <w:bottom w:val="double" w:sz="6" w:space="0" w:color="000000"/>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2"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6.56</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89" w:type="dxa"/>
            <w:tcBorders>
              <w:bottom w:val="double" w:sz="6" w:space="0" w:color="000000"/>
            </w:tcBorders>
            <w:shd w:fill="FFFFFF" w:val="clear"/>
            <w:vAlign w:val="center"/>
          </w:tcPr>
          <w:p>
            <w:pPr>
              <w:pStyle w:val="TableContents"/>
              <w:spacing w:before="0" w:after="283"/>
              <w:ind w:left="0" w:right="0" w:hanging="0"/>
              <w:rPr/>
            </w:pPr>
            <w:r>
              <w:rPr/>
              <w:t> </w:t>
            </w:r>
          </w:p>
        </w:tc>
        <w:tc>
          <w:tcPr>
            <w:tcW w:w="1210"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3.91</w:t>
            </w:r>
          </w:p>
        </w:tc>
        <w:tc>
          <w:tcPr>
            <w:tcW w:w="60" w:type="dxa"/>
            <w:tcBorders/>
            <w:shd w:fill="FFFFFF"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6558" w:type="dxa"/>
        <w:jc w:val="left"/>
        <w:tblInd w:w="0" w:type="dxa"/>
        <w:tblCellMar>
          <w:top w:w="0" w:type="dxa"/>
          <w:left w:w="0" w:type="dxa"/>
          <w:bottom w:w="28" w:type="dxa"/>
          <w:right w:w="0" w:type="dxa"/>
        </w:tblCellMar>
      </w:tblPr>
      <w:tblGrid>
        <w:gridCol w:w="2300"/>
        <w:gridCol w:w="60"/>
        <w:gridCol w:w="60"/>
        <w:gridCol w:w="905"/>
        <w:gridCol w:w="80"/>
        <w:gridCol w:w="60"/>
        <w:gridCol w:w="325"/>
        <w:gridCol w:w="1149"/>
        <w:gridCol w:w="80"/>
        <w:gridCol w:w="60"/>
        <w:gridCol w:w="165"/>
        <w:gridCol w:w="1234"/>
        <w:gridCol w:w="80"/>
      </w:tblGrid>
      <w:tr>
        <w:trPr/>
        <w:tc>
          <w:tcPr>
            <w:tcW w:w="6478" w:type="dxa"/>
            <w:gridSpan w:val="12"/>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i/>
                <w:caps w:val="false"/>
                <w:smallCaps w:val="false"/>
                <w:sz w:val="20"/>
              </w:rPr>
              <w:t>Year Ended December 31, 2022</w:t>
            </w:r>
          </w:p>
        </w:tc>
        <w:tc>
          <w:tcPr>
            <w:tcW w:w="8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4118" w:type="dxa"/>
            <w:gridSpan w:val="10"/>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Warrants (Liability)</w:t>
            </w:r>
          </w:p>
        </w:tc>
        <w:tc>
          <w:tcPr>
            <w:tcW w:w="8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05" w:type="dxa"/>
            <w:tcBorders/>
            <w:shd w:fill="FFFFFF" w:val="clear"/>
            <w:tcMar>
              <w:bottom w:w="0" w:type="dxa"/>
            </w:tcMar>
            <w:vAlign w:val="center"/>
          </w:tcPr>
          <w:p>
            <w:pPr>
              <w:pStyle w:val="TableContents"/>
              <w:spacing w:before="0" w:after="283"/>
              <w:jc w:val="center"/>
              <w:rPr/>
            </w:pPr>
            <w:r>
              <w:rPr>
                <w:rStyle w:val="Emphasis"/>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5" w:type="dxa"/>
            <w:tcBorders/>
            <w:shd w:fill="FFFFFF" w:val="clear"/>
            <w:tcMar>
              <w:bottom w:w="0" w:type="dxa"/>
            </w:tcMar>
            <w:vAlign w:val="center"/>
          </w:tcPr>
          <w:p>
            <w:pPr>
              <w:pStyle w:val="TableContents"/>
              <w:spacing w:before="0" w:after="283"/>
              <w:rPr/>
            </w:pPr>
            <w:r>
              <w:rPr/>
              <w:t> </w:t>
            </w:r>
          </w:p>
        </w:tc>
        <w:tc>
          <w:tcPr>
            <w:tcW w:w="1149" w:type="dxa"/>
            <w:tcBorders/>
            <w:shd w:fill="FFFFFF" w:val="clear"/>
            <w:tcMar>
              <w:bottom w:w="0" w:type="dxa"/>
            </w:tcMar>
            <w:vAlign w:val="center"/>
          </w:tcPr>
          <w:p>
            <w:pPr>
              <w:pStyle w:val="TableContents"/>
              <w:spacing w:before="0" w:after="283"/>
              <w:jc w:val="center"/>
              <w:rPr/>
            </w:pPr>
            <w:r>
              <w:rPr>
                <w:rStyle w:val="Emphasis"/>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399"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8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05" w:type="dxa"/>
            <w:tcBorders/>
            <w:shd w:fill="FFFFFF" w:val="clear"/>
            <w:tcMar>
              <w:bottom w:w="0" w:type="dxa"/>
            </w:tcMar>
            <w:vAlign w:val="center"/>
          </w:tcPr>
          <w:p>
            <w:pPr>
              <w:pStyle w:val="TableContents"/>
              <w:spacing w:before="0" w:after="283"/>
              <w:jc w:val="center"/>
              <w:rPr/>
            </w:pPr>
            <w:r>
              <w:rPr>
                <w:rStyle w:val="Emphasis"/>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474"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399"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w:t>
            </w:r>
          </w:p>
        </w:tc>
        <w:tc>
          <w:tcPr>
            <w:tcW w:w="8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05" w:type="dxa"/>
            <w:tcBorders/>
            <w:shd w:fill="FFFFFF" w:val="clear"/>
            <w:tcMar>
              <w:bottom w:w="0" w:type="dxa"/>
            </w:tcMar>
            <w:vAlign w:val="center"/>
          </w:tcPr>
          <w:p>
            <w:pPr>
              <w:pStyle w:val="TableContents"/>
              <w:spacing w:before="0" w:after="283"/>
              <w:jc w:val="center"/>
              <w:rPr/>
            </w:pPr>
            <w:r>
              <w:rPr>
                <w:rStyle w:val="Emphasis"/>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474"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 Exercise</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399"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Remaining</w:t>
            </w:r>
          </w:p>
        </w:tc>
        <w:tc>
          <w:tcPr>
            <w:tcW w:w="8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965"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474"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Price</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399"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Contractual Life</w:t>
            </w:r>
          </w:p>
        </w:tc>
        <w:tc>
          <w:tcPr>
            <w:tcW w:w="80" w:type="dxa"/>
            <w:tcBorders/>
            <w:shd w:fill="FFFFFF" w:val="clear"/>
            <w:tcMar>
              <w:bottom w:w="0" w:type="dxa"/>
            </w:tcMar>
            <w:vAlign w:val="center"/>
          </w:tcPr>
          <w:p>
            <w:pPr>
              <w:pStyle w:val="TableContents"/>
              <w:spacing w:before="0" w:after="283"/>
              <w:rPr/>
            </w:pPr>
            <w:r>
              <w:rPr/>
              <w:t> </w:t>
            </w:r>
          </w:p>
        </w:tc>
      </w:tr>
      <w:tr>
        <w:trPr/>
        <w:tc>
          <w:tcPr>
            <w:tcW w:w="230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January 1, 2022</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90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325"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49"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65" w:type="dxa"/>
            <w:tcBorders/>
            <w:shd w:fill="CCEEFF" w:val="clear"/>
            <w:tcMar>
              <w:bottom w:w="0" w:type="dxa"/>
            </w:tcMar>
            <w:vAlign w:val="center"/>
          </w:tcPr>
          <w:p>
            <w:pPr>
              <w:pStyle w:val="TableContents"/>
              <w:spacing w:before="0" w:after="283"/>
              <w:ind w:left="0" w:right="0" w:hanging="0"/>
              <w:rPr/>
            </w:pPr>
            <w:r>
              <w:rPr/>
              <w:t> </w:t>
            </w:r>
          </w:p>
        </w:tc>
        <w:tc>
          <w:tcPr>
            <w:tcW w:w="1234" w:type="dxa"/>
            <w:tcBorders/>
            <w:shd w:fill="CCEEFF" w:val="clear"/>
            <w:tcMar>
              <w:bottom w:w="0" w:type="dxa"/>
            </w:tcMar>
            <w:vAlign w:val="center"/>
          </w:tcPr>
          <w:p>
            <w:pPr>
              <w:pStyle w:val="TableContents"/>
              <w:spacing w:before="0" w:after="283"/>
              <w:ind w:left="0" w:right="0" w:hanging="0"/>
              <w:jc w:val="right"/>
              <w:rPr/>
            </w:pPr>
            <w:r>
              <w:rPr>
                <w:rStyle w:val="Emphasis"/>
                <w:rFonts w:ascii="Times New Roman" w:hAnsi="Times New Roman"/>
                <w:sz w:val="20"/>
              </w:rPr>
              <w:t>-</w:t>
            </w:r>
          </w:p>
        </w:tc>
        <w:tc>
          <w:tcPr>
            <w:tcW w:w="80" w:type="dxa"/>
            <w:tcBorders/>
            <w:shd w:fill="CCEE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Warrants issued</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905"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4,587,002</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25" w:type="dxa"/>
            <w:tcBorders/>
            <w:shd w:fill="FFFFFF" w:val="clear"/>
            <w:tcMar>
              <w:bottom w:w="0" w:type="dxa"/>
            </w:tcMar>
            <w:vAlign w:val="center"/>
          </w:tcPr>
          <w:p>
            <w:pPr>
              <w:pStyle w:val="TableContents"/>
              <w:spacing w:before="0" w:after="283"/>
              <w:ind w:left="0" w:right="0" w:hanging="0"/>
              <w:rPr/>
            </w:pPr>
            <w:r>
              <w:rPr/>
              <w:t> </w:t>
            </w:r>
          </w:p>
        </w:tc>
        <w:tc>
          <w:tcPr>
            <w:tcW w:w="1149"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4.90</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65" w:type="dxa"/>
            <w:tcBorders/>
            <w:shd w:fill="FFFFFF" w:val="clear"/>
            <w:tcMar>
              <w:bottom w:w="0" w:type="dxa"/>
            </w:tcMar>
            <w:vAlign w:val="center"/>
          </w:tcPr>
          <w:p>
            <w:pPr>
              <w:pStyle w:val="TableContents"/>
              <w:spacing w:before="0" w:after="283"/>
              <w:ind w:left="0" w:right="0" w:hanging="0"/>
              <w:rPr/>
            </w:pPr>
            <w:r>
              <w:rPr/>
              <w:t> </w:t>
            </w:r>
          </w:p>
        </w:tc>
        <w:tc>
          <w:tcPr>
            <w:tcW w:w="1234" w:type="dxa"/>
            <w:tcBorders/>
            <w:shd w:fill="FFFFFF" w:val="clear"/>
            <w:tcMar>
              <w:bottom w:w="0" w:type="dxa"/>
            </w:tcMar>
            <w:vAlign w:val="center"/>
          </w:tcPr>
          <w:p>
            <w:pPr>
              <w:pStyle w:val="TableContents"/>
              <w:spacing w:before="0" w:after="283"/>
              <w:ind w:left="0" w:right="0" w:hanging="0"/>
              <w:jc w:val="right"/>
              <w:rPr/>
            </w:pPr>
            <w:r>
              <w:rPr>
                <w:rStyle w:val="Emphasis"/>
                <w:rFonts w:ascii="Times New Roman" w:hAnsi="Times New Roman"/>
                <w:sz w:val="20"/>
              </w:rPr>
              <w:t>5.00</w:t>
            </w:r>
          </w:p>
        </w:tc>
        <w:tc>
          <w:tcPr>
            <w:tcW w:w="80" w:type="dxa"/>
            <w:tcBorders/>
            <w:shd w:fill="FFFFFF" w:val="clear"/>
            <w:tcMar>
              <w:bottom w:w="0" w:type="dxa"/>
            </w:tcMar>
            <w:vAlign w:val="center"/>
          </w:tcPr>
          <w:p>
            <w:pPr>
              <w:pStyle w:val="TableContents"/>
              <w:spacing w:before="0" w:after="283"/>
              <w:rPr/>
            </w:pPr>
            <w:r>
              <w:rPr/>
              <w:t> </w:t>
            </w:r>
          </w:p>
        </w:tc>
      </w:tr>
      <w:tr>
        <w:trPr/>
        <w:tc>
          <w:tcPr>
            <w:tcW w:w="230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Warrants reclassified</w:t>
            </w:r>
          </w:p>
        </w:tc>
        <w:tc>
          <w:tcPr>
            <w:tcW w:w="60" w:type="dxa"/>
            <w:tcBorders/>
            <w:shd w:fill="CCEEFF" w:val="clear"/>
            <w:tcMar>
              <w:bottom w:w="0" w:type="dxa"/>
            </w:tcMar>
            <w:vAlign w:val="center"/>
          </w:tcPr>
          <w:p>
            <w:pPr>
              <w:pStyle w:val="TableContents"/>
              <w:spacing w:before="0" w:after="283"/>
              <w:rPr/>
            </w:pPr>
            <w:r>
              <w:rPr/>
              <w:t> </w:t>
            </w:r>
          </w:p>
        </w:tc>
        <w:tc>
          <w:tcPr>
            <w:tcW w:w="60" w:type="dxa"/>
            <w:tcBorders>
              <w:bottom w:val="single" w:sz="2" w:space="0" w:color="000000"/>
            </w:tcBorders>
            <w:shd w:fill="CCEEFF" w:val="clear"/>
            <w:vAlign w:val="center"/>
          </w:tcPr>
          <w:p>
            <w:pPr>
              <w:pStyle w:val="TableContents"/>
              <w:spacing w:before="0" w:after="283"/>
              <w:ind w:left="0" w:right="0" w:hanging="0"/>
              <w:rPr/>
            </w:pPr>
            <w:r>
              <w:rPr/>
              <w:t> </w:t>
            </w:r>
          </w:p>
        </w:tc>
        <w:tc>
          <w:tcPr>
            <w:tcW w:w="905" w:type="dxa"/>
            <w:tcBorders>
              <w:bottom w:val="single" w:sz="2" w:space="0" w:color="000000"/>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(4,587,002</w:t>
            </w:r>
          </w:p>
        </w:tc>
        <w:tc>
          <w:tcPr>
            <w:tcW w:w="80" w:type="dxa"/>
            <w:tcBorders/>
            <w:shd w:fill="CCEE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325" w:type="dxa"/>
            <w:tcBorders>
              <w:bottom w:val="single" w:sz="2" w:space="0" w:color="000000"/>
            </w:tcBorders>
            <w:shd w:fill="CCEEFF" w:val="clear"/>
            <w:vAlign w:val="center"/>
          </w:tcPr>
          <w:p>
            <w:pPr>
              <w:pStyle w:val="TableContents"/>
              <w:spacing w:before="0" w:after="283"/>
              <w:ind w:left="0" w:right="0" w:hanging="0"/>
              <w:rPr/>
            </w:pPr>
            <w:r>
              <w:rPr/>
              <w:t> </w:t>
            </w:r>
          </w:p>
        </w:tc>
        <w:tc>
          <w:tcPr>
            <w:tcW w:w="1149" w:type="dxa"/>
            <w:tcBorders>
              <w:bottom w:val="single" w:sz="2" w:space="0" w:color="000000"/>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(4.90</w:t>
            </w:r>
          </w:p>
        </w:tc>
        <w:tc>
          <w:tcPr>
            <w:tcW w:w="80" w:type="dxa"/>
            <w:tcBorders/>
            <w:shd w:fill="CCEE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165" w:type="dxa"/>
            <w:tcBorders>
              <w:bottom w:val="single" w:sz="2" w:space="0" w:color="000000"/>
            </w:tcBorders>
            <w:shd w:fill="CCEEFF" w:val="clear"/>
            <w:vAlign w:val="center"/>
          </w:tcPr>
          <w:p>
            <w:pPr>
              <w:pStyle w:val="TableContents"/>
              <w:spacing w:before="0" w:after="283"/>
              <w:ind w:left="0" w:right="0" w:hanging="0"/>
              <w:rPr/>
            </w:pPr>
            <w:r>
              <w:rPr/>
              <w:t> </w:t>
            </w:r>
          </w:p>
        </w:tc>
        <w:tc>
          <w:tcPr>
            <w:tcW w:w="1234" w:type="dxa"/>
            <w:tcBorders>
              <w:bottom w:val="single" w:sz="2" w:space="0" w:color="000000"/>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w:t>
            </w:r>
          </w:p>
        </w:tc>
        <w:tc>
          <w:tcPr>
            <w:tcW w:w="80" w:type="dxa"/>
            <w:tcBorders/>
            <w:shd w:fill="CCEE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December 31, 2022</w:t>
            </w:r>
          </w:p>
        </w:tc>
        <w:tc>
          <w:tcPr>
            <w:tcW w:w="60" w:type="dxa"/>
            <w:tcBorders/>
            <w:shd w:fill="FFFFFF" w:val="clear"/>
            <w:tcMar>
              <w:bottom w:w="0" w:type="dxa"/>
            </w:tcMar>
            <w:vAlign w:val="center"/>
          </w:tcPr>
          <w:p>
            <w:pPr>
              <w:pStyle w:val="TableContents"/>
              <w:spacing w:before="0" w:after="283"/>
              <w:rPr/>
            </w:pPr>
            <w:r>
              <w:rPr/>
              <w:t> </w:t>
            </w:r>
          </w:p>
        </w:tc>
        <w:tc>
          <w:tcPr>
            <w:tcW w:w="60" w:type="dxa"/>
            <w:tcBorders>
              <w:bottom w:val="double" w:sz="6" w:space="0" w:color="000000"/>
            </w:tcBorders>
            <w:shd w:fill="FFFFFF" w:val="clear"/>
            <w:vAlign w:val="center"/>
          </w:tcPr>
          <w:p>
            <w:pPr>
              <w:pStyle w:val="TableContents"/>
              <w:spacing w:before="0" w:after="283"/>
              <w:ind w:left="0" w:right="0" w:hanging="0"/>
              <w:rPr/>
            </w:pPr>
            <w:r>
              <w:rPr/>
              <w:t> </w:t>
            </w:r>
          </w:p>
        </w:tc>
        <w:tc>
          <w:tcPr>
            <w:tcW w:w="905"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325" w:type="dxa"/>
            <w:tcBorders>
              <w:bottom w:val="double" w:sz="6" w:space="0" w:color="000000"/>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49"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65" w:type="dxa"/>
            <w:tcBorders>
              <w:bottom w:val="double" w:sz="6" w:space="0" w:color="000000"/>
            </w:tcBorders>
            <w:shd w:fill="FFFFFF" w:val="clear"/>
            <w:vAlign w:val="center"/>
          </w:tcPr>
          <w:p>
            <w:pPr>
              <w:pStyle w:val="TableContents"/>
              <w:spacing w:before="0" w:after="283"/>
              <w:ind w:left="0" w:right="0" w:hanging="0"/>
              <w:rPr/>
            </w:pPr>
            <w:r>
              <w:rPr/>
              <w:t> </w:t>
            </w:r>
          </w:p>
        </w:tc>
        <w:tc>
          <w:tcPr>
            <w:tcW w:w="1234" w:type="dxa"/>
            <w:tcBorders>
              <w:bottom w:val="double" w:sz="6" w:space="0" w:color="000000"/>
            </w:tcBorders>
            <w:shd w:fill="FFFFFF" w:val="clear"/>
            <w:vAlign w:val="center"/>
          </w:tcPr>
          <w:p>
            <w:pPr>
              <w:pStyle w:val="TableContents"/>
              <w:spacing w:before="0" w:after="283"/>
              <w:ind w:left="0" w:right="0" w:hanging="0"/>
              <w:jc w:val="right"/>
              <w:rPr/>
            </w:pPr>
            <w:r>
              <w:rPr>
                <w:rStyle w:val="Emphasis"/>
                <w:rFonts w:ascii="Times New Roman" w:hAnsi="Times New Roman"/>
                <w:sz w:val="20"/>
              </w:rPr>
              <w:t>-</w:t>
            </w:r>
          </w:p>
        </w:tc>
        <w:tc>
          <w:tcPr>
            <w:tcW w:w="80" w:type="dxa"/>
            <w:tcBorders/>
            <w:shd w:fill="FFFFFF"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6458" w:type="dxa"/>
        <w:jc w:val="left"/>
        <w:tblInd w:w="0" w:type="dxa"/>
        <w:tblCellMar>
          <w:top w:w="0" w:type="dxa"/>
          <w:left w:w="0" w:type="dxa"/>
          <w:bottom w:w="28" w:type="dxa"/>
          <w:right w:w="0" w:type="dxa"/>
        </w:tblCellMar>
      </w:tblPr>
      <w:tblGrid>
        <w:gridCol w:w="2300"/>
        <w:gridCol w:w="60"/>
        <w:gridCol w:w="60"/>
        <w:gridCol w:w="845"/>
        <w:gridCol w:w="80"/>
        <w:gridCol w:w="60"/>
        <w:gridCol w:w="302"/>
        <w:gridCol w:w="1172"/>
        <w:gridCol w:w="60"/>
        <w:gridCol w:w="60"/>
        <w:gridCol w:w="189"/>
        <w:gridCol w:w="1210"/>
        <w:gridCol w:w="60"/>
      </w:tblGrid>
      <w:tr>
        <w:trPr/>
        <w:tc>
          <w:tcPr>
            <w:tcW w:w="6398" w:type="dxa"/>
            <w:gridSpan w:val="12"/>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i/>
                <w:caps w:val="false"/>
                <w:smallCaps w:val="false"/>
                <w:sz w:val="20"/>
              </w:rPr>
              <w:t>Year Ended December 31, 2021</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4038" w:type="dxa"/>
            <w:gridSpan w:val="10"/>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Warrants (Equity)</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jc w:val="center"/>
              <w:rPr/>
            </w:pPr>
            <w:r>
              <w:rPr>
                <w:rStyle w:val="Emphasis"/>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02" w:type="dxa"/>
            <w:tcBorders/>
            <w:shd w:fill="FFFFFF" w:val="clear"/>
            <w:tcMar>
              <w:bottom w:w="0" w:type="dxa"/>
            </w:tcMar>
            <w:vAlign w:val="center"/>
          </w:tcPr>
          <w:p>
            <w:pPr>
              <w:pStyle w:val="TableContents"/>
              <w:spacing w:before="0" w:after="283"/>
              <w:rPr/>
            </w:pPr>
            <w:r>
              <w:rPr/>
              <w:t> </w:t>
            </w:r>
          </w:p>
        </w:tc>
        <w:tc>
          <w:tcPr>
            <w:tcW w:w="1172" w:type="dxa"/>
            <w:tcBorders/>
            <w:shd w:fill="FFFFFF" w:val="clear"/>
            <w:tcMar>
              <w:bottom w:w="0" w:type="dxa"/>
            </w:tcMar>
            <w:vAlign w:val="center"/>
          </w:tcPr>
          <w:p>
            <w:pPr>
              <w:pStyle w:val="TableContents"/>
              <w:spacing w:before="0" w:after="283"/>
              <w:jc w:val="center"/>
              <w:rPr/>
            </w:pPr>
            <w:r>
              <w:rPr>
                <w:rStyle w:val="Emphasis"/>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399"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jc w:val="center"/>
              <w:rPr/>
            </w:pPr>
            <w:r>
              <w:rPr>
                <w:rStyle w:val="Emphasis"/>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474"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399"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845" w:type="dxa"/>
            <w:tcBorders/>
            <w:shd w:fill="FFFFFF" w:val="clear"/>
            <w:tcMar>
              <w:bottom w:w="0" w:type="dxa"/>
            </w:tcMar>
            <w:vAlign w:val="center"/>
          </w:tcPr>
          <w:p>
            <w:pPr>
              <w:pStyle w:val="TableContents"/>
              <w:spacing w:before="0" w:after="283"/>
              <w:jc w:val="center"/>
              <w:rPr/>
            </w:pPr>
            <w:r>
              <w:rPr>
                <w:rStyle w:val="Emphasis"/>
              </w:rPr>
              <w:t> </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474"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 Exercise</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399" w:type="dxa"/>
            <w:gridSpan w:val="2"/>
            <w:tcBorders/>
            <w:shd w:fill="FFFFFF" w:val="clear"/>
            <w:tcMar>
              <w:bottom w:w="0"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905"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474"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399"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Contractual Life</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January 1, 2021</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84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1,475,633</w:t>
            </w:r>
          </w:p>
        </w:tc>
        <w:tc>
          <w:tcPr>
            <w:tcW w:w="8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302" w:type="dxa"/>
            <w:tcBorders/>
            <w:shd w:fill="CCEE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2"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13.86</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9" w:type="dxa"/>
            <w:tcBorders/>
            <w:shd w:fill="CCEEFF" w:val="clear"/>
            <w:tcMar>
              <w:bottom w:w="0" w:type="dxa"/>
            </w:tcMar>
            <w:vAlign w:val="center"/>
          </w:tcPr>
          <w:p>
            <w:pPr>
              <w:pStyle w:val="TableContents"/>
              <w:spacing w:before="0" w:after="283"/>
              <w:ind w:left="0" w:right="0" w:hanging="0"/>
              <w:rPr/>
            </w:pPr>
            <w:r>
              <w:rPr/>
              <w:t> </w:t>
            </w:r>
          </w:p>
        </w:tc>
        <w:tc>
          <w:tcPr>
            <w:tcW w:w="1210"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2.83</w:t>
            </w:r>
          </w:p>
        </w:tc>
        <w:tc>
          <w:tcPr>
            <w:tcW w:w="60" w:type="dxa"/>
            <w:tcBorders/>
            <w:shd w:fill="CCEE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Warrants issued</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845"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02" w:type="dxa"/>
            <w:tcBorders/>
            <w:shd w:fill="FFFFFF" w:val="clear"/>
            <w:tcMar>
              <w:bottom w:w="0" w:type="dxa"/>
            </w:tcMar>
            <w:vAlign w:val="center"/>
          </w:tcPr>
          <w:p>
            <w:pPr>
              <w:pStyle w:val="TableContents"/>
              <w:spacing w:before="0" w:after="283"/>
              <w:ind w:left="0" w:right="0" w:hanging="0"/>
              <w:rPr/>
            </w:pPr>
            <w:r>
              <w:rPr/>
              <w:t> </w:t>
            </w:r>
          </w:p>
        </w:tc>
        <w:tc>
          <w:tcPr>
            <w:tcW w:w="1172"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89" w:type="dxa"/>
            <w:tcBorders/>
            <w:shd w:fill="FFFFFF" w:val="clear"/>
            <w:tcMar>
              <w:bottom w:w="0" w:type="dxa"/>
            </w:tcMar>
            <w:vAlign w:val="center"/>
          </w:tcPr>
          <w:p>
            <w:pPr>
              <w:pStyle w:val="TableContents"/>
              <w:spacing w:before="0" w:after="283"/>
              <w:ind w:left="0" w:right="0" w:hanging="0"/>
              <w:rPr/>
            </w:pPr>
            <w:r>
              <w:rPr/>
              <w:t> </w:t>
            </w:r>
          </w:p>
        </w:tc>
        <w:tc>
          <w:tcPr>
            <w:tcW w:w="1210" w:type="dxa"/>
            <w:tcBorders/>
            <w:shd w:fill="FFFFFF" w:val="clear"/>
            <w:tcMar>
              <w:bottom w:w="0" w:type="dxa"/>
            </w:tcM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FFFFFF" w:val="clear"/>
            <w:tcMar>
              <w:bottom w:w="0" w:type="dxa"/>
            </w:tcMar>
            <w:vAlign w:val="center"/>
          </w:tcPr>
          <w:p>
            <w:pPr>
              <w:pStyle w:val="TableContents"/>
              <w:spacing w:before="0" w:after="283"/>
              <w:rPr/>
            </w:pPr>
            <w:r>
              <w:rPr/>
              <w:t> </w:t>
            </w:r>
          </w:p>
        </w:tc>
      </w:tr>
      <w:tr>
        <w:trPr/>
        <w:tc>
          <w:tcPr>
            <w:tcW w:w="230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Warrants expired</w:t>
            </w:r>
          </w:p>
        </w:tc>
        <w:tc>
          <w:tcPr>
            <w:tcW w:w="60" w:type="dxa"/>
            <w:tcBorders/>
            <w:shd w:fill="CCEEFF" w:val="clear"/>
            <w:tcMar>
              <w:bottom w:w="0" w:type="dxa"/>
            </w:tcMar>
            <w:vAlign w:val="center"/>
          </w:tcPr>
          <w:p>
            <w:pPr>
              <w:pStyle w:val="TableContents"/>
              <w:spacing w:before="0" w:after="283"/>
              <w:rPr/>
            </w:pPr>
            <w:r>
              <w:rPr/>
              <w:t> </w:t>
            </w:r>
          </w:p>
        </w:tc>
        <w:tc>
          <w:tcPr>
            <w:tcW w:w="60" w:type="dxa"/>
            <w:tcBorders>
              <w:bottom w:val="single" w:sz="2" w:space="0" w:color="000000"/>
            </w:tcBorders>
            <w:shd w:fill="CCEEFF" w:val="clear"/>
            <w:vAlign w:val="center"/>
          </w:tcPr>
          <w:p>
            <w:pPr>
              <w:pStyle w:val="TableContents"/>
              <w:spacing w:before="0" w:after="283"/>
              <w:ind w:left="0" w:right="0" w:hanging="0"/>
              <w:rPr/>
            </w:pPr>
            <w:r>
              <w:rPr/>
              <w:t> </w:t>
            </w:r>
          </w:p>
        </w:tc>
        <w:tc>
          <w:tcPr>
            <w:tcW w:w="845" w:type="dxa"/>
            <w:tcBorders>
              <w:bottom w:val="single" w:sz="2" w:space="0" w:color="000000"/>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(107,896</w:t>
            </w:r>
          </w:p>
        </w:tc>
        <w:tc>
          <w:tcPr>
            <w:tcW w:w="80" w:type="dxa"/>
            <w:tcBorders/>
            <w:shd w:fill="CCEE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c>
          <w:tcPr>
            <w:tcW w:w="302" w:type="dxa"/>
            <w:tcBorders>
              <w:bottom w:val="single" w:sz="2" w:space="0" w:color="000000"/>
            </w:tcBorders>
            <w:shd w:fill="CCEEFF" w:val="clear"/>
            <w:vAlign w:val="center"/>
          </w:tcPr>
          <w:p>
            <w:pPr>
              <w:pStyle w:val="TableContents"/>
              <w:spacing w:before="0" w:after="283"/>
              <w:ind w:left="0" w:right="0" w:hanging="0"/>
              <w:rPr/>
            </w:pPr>
            <w:r>
              <w:rPr/>
              <w:t> </w:t>
            </w:r>
          </w:p>
        </w:tc>
        <w:tc>
          <w:tcPr>
            <w:tcW w:w="1172" w:type="dxa"/>
            <w:tcBorders>
              <w:bottom w:val="single" w:sz="2" w:space="0" w:color="000000"/>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14.07</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89" w:type="dxa"/>
            <w:tcBorders>
              <w:bottom w:val="single" w:sz="2" w:space="0" w:color="000000"/>
            </w:tcBorders>
            <w:shd w:fill="CCEEFF" w:val="clear"/>
            <w:vAlign w:val="center"/>
          </w:tcPr>
          <w:p>
            <w:pPr>
              <w:pStyle w:val="TableContents"/>
              <w:spacing w:before="0" w:after="283"/>
              <w:ind w:left="0" w:right="0" w:hanging="0"/>
              <w:rPr/>
            </w:pPr>
            <w:r>
              <w:rPr/>
              <w:t> </w:t>
            </w:r>
          </w:p>
        </w:tc>
        <w:tc>
          <w:tcPr>
            <w:tcW w:w="1210" w:type="dxa"/>
            <w:tcBorders>
              <w:bottom w:val="single" w:sz="2" w:space="0" w:color="000000"/>
            </w:tcBorders>
            <w:shd w:fill="CCEEFF" w:val="cle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CCEEFF" w:val="clear"/>
            <w:tcMar>
              <w:bottom w:w="0" w:type="dxa"/>
            </w:tcMar>
            <w:vAlign w:val="center"/>
          </w:tcPr>
          <w:p>
            <w:pPr>
              <w:pStyle w:val="TableContents"/>
              <w:spacing w:before="0" w:after="283"/>
              <w:rPr/>
            </w:pPr>
            <w:r>
              <w:rPr/>
              <w:t> </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December 31, 2021</w:t>
            </w:r>
          </w:p>
        </w:tc>
        <w:tc>
          <w:tcPr>
            <w:tcW w:w="60" w:type="dxa"/>
            <w:tcBorders/>
            <w:shd w:fill="FFFFFF" w:val="clear"/>
            <w:tcMar>
              <w:bottom w:w="0" w:type="dxa"/>
            </w:tcMar>
            <w:vAlign w:val="center"/>
          </w:tcPr>
          <w:p>
            <w:pPr>
              <w:pStyle w:val="TableContents"/>
              <w:spacing w:before="0" w:after="283"/>
              <w:rPr/>
            </w:pPr>
            <w:r>
              <w:rPr/>
              <w:t> </w:t>
            </w:r>
          </w:p>
        </w:tc>
        <w:tc>
          <w:tcPr>
            <w:tcW w:w="60" w:type="dxa"/>
            <w:tcBorders>
              <w:bottom w:val="double" w:sz="6" w:space="0" w:color="000000"/>
            </w:tcBorders>
            <w:shd w:fill="FFFFFF" w:val="clear"/>
            <w:vAlign w:val="center"/>
          </w:tcPr>
          <w:p>
            <w:pPr>
              <w:pStyle w:val="TableContents"/>
              <w:spacing w:before="0" w:after="283"/>
              <w:ind w:left="0" w:right="0" w:hanging="0"/>
              <w:rPr/>
            </w:pPr>
            <w:r>
              <w:rPr/>
              <w:t> </w:t>
            </w:r>
          </w:p>
        </w:tc>
        <w:tc>
          <w:tcPr>
            <w:tcW w:w="845"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1,367,737</w:t>
            </w:r>
          </w:p>
        </w:tc>
        <w:tc>
          <w:tcPr>
            <w:tcW w:w="8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302" w:type="dxa"/>
            <w:tcBorders>
              <w:bottom w:val="double" w:sz="6" w:space="0" w:color="000000"/>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2"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13.44</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89" w:type="dxa"/>
            <w:tcBorders>
              <w:bottom w:val="double" w:sz="6" w:space="0" w:color="000000"/>
            </w:tcBorders>
            <w:shd w:fill="FFFFFF" w:val="clear"/>
            <w:vAlign w:val="center"/>
          </w:tcPr>
          <w:p>
            <w:pPr>
              <w:pStyle w:val="TableContents"/>
              <w:spacing w:before="0" w:after="283"/>
              <w:ind w:left="0" w:right="0" w:hanging="0"/>
              <w:rPr/>
            </w:pPr>
            <w:r>
              <w:rPr/>
              <w:t> </w:t>
            </w:r>
          </w:p>
        </w:tc>
        <w:tc>
          <w:tcPr>
            <w:tcW w:w="1210"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w:t>
            </w:r>
          </w:p>
        </w:tc>
        <w:tc>
          <w:tcPr>
            <w:tcW w:w="60" w:type="dxa"/>
            <w:tcBorders/>
            <w:shd w:fill="FFFFFF"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30</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3, 2022, </w:t>
      </w:r>
      <w:r>
        <w:rPr>
          <w:rFonts w:ascii="Times New Roman" w:hAnsi="Times New Roman"/>
          <w:caps w:val="false"/>
          <w:smallCaps w:val="false"/>
          <w:sz w:val="20"/>
        </w:rPr>
        <w:t xml:space="preserve">the Company entered into a Securities Purchase Agreement with a purchaser (the “Purchaser”), pursuant to which the Company agreed to issue and sell to the Purchaser, in a private placement priced at-the-market under Nasdaq rules, (i) 438,334 shares (the “Shares”) of the Company’s common stock, par value $0.01 per share (the “Common Stock”) and accompanying warrants to purchase an aggregate of 438,334 shares of Common Stock, and (ii) pre-funded warrants to purchase up to an aggregate of 1,950,502 shares of Common Stock (the “Pre-Funded Warrants”) and accompanying warrants to purchase an aggregate of 1,950,502 shares of Common Stock (collectively, the “Private Placement”). The accompanying warrants to purchase Common Stock are referred to herein collectively as the “Common Stock Warrants.” Under the Securities Purchase Agreement, each Share and accompanying warrants to purchase Common Stock were sold together at a combined price of $4.605, and each Pre-Funded Warrant and accompanying warrants to purchase Common Stock were sold together at a combined price of $4.6047, for gross proceeds of approximately $11,000, before deducting placement agent fees and estimated offering expenses payable by the Company.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each of the Pre-Funded Warrants were exercised. The Common Stock Warrants expire five years from the date of issuance. The Company evaluated the Pre-Funded Warrants and concluded that they met the criteria to be classified within stockholders’ equity, with proceeds recorded as common stock and additional paid-in-capital. The Company evaluated the Common Stock Warrant and concluded they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criteria to be classified within stockholders’ equity. The Common Stock Warrant included provisions which could result in a different settlement value for the Common Stock Warrant depending on the registration status of the underlying shares. Because these conditions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input into the pricing of a fixed-for-fixed option on the Company’s ordinary shares, the Common Stock Warrant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to be indexed to the Company’s own stock. The Company recorded these warrants as liabilities on the Consolidated Balance Sheets at fair value, with subsequent changes in their respective fair values recognized in the Consolidated Statements of Operations at each reporting date. At the date of issuance, the Company performed a Black-Scholes valuation of the warrants, resulting in a fair value of $3.2781 per warrant. The Company recorded a gain on the fair value of these warrants of $4,951 in the Consolidated Statements of Operations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which reflects the change in fair value from granting of the warrants through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the effective date of the warrant agreement amendment.</w:t>
      </w:r>
    </w:p>
    <w:p>
      <w:pPr>
        <w:pStyle w:val="TextBody"/>
        <w:spacing w:before="0" w:after="0"/>
        <w:ind w:left="0" w:right="0" w:firstLine="720"/>
        <w:rPr>
          <w:caps w:val="false"/>
          <w:smallCaps w:val="false"/>
        </w:rPr>
      </w:pPr>
      <w:r>
        <w:rPr>
          <w:caps w:val="false"/>
          <w:smallCaps w:val="false"/>
        </w:rPr>
        <w:t> </w:t>
      </w:r>
    </w:p>
    <w:p>
      <w:pPr>
        <w:pStyle w:val="TextBody"/>
        <w:spacing w:before="0" w:after="0"/>
        <w:ind w:left="160" w:right="0" w:firstLine="6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 xml:space="preserve">in connection with the Credit Agreement with Slipstream, the Company issued to Slipstream 1,731,499 warrants with an exercise price of $6.00 per share, which expire five years from the date of issuance (the “Lender Warrant”). These warrants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exercisable until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days after the issuance date. The common shares underlying these warrants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registered for resale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which provides Slipstream with an option for cashless exercise once the warrant becomes exercisable until such time as such registration occurs. The Lender Warrant expired five years from the date of issuance. The Company evaluated the Lender Warrant and concluded that it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criteria to be classified within stockholders’ equity. The Lender Warrant included provisions that could result in a different settlement value for the Lender Warrant depending on the registration status of the underlying shares. Because these conditions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input into the pricing of a fixed-for-fixed option on the Company’s ordinary shares, the Lender Warrant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to be indexed to the Company’s own stock. The Company recorded these warrants as liabilities in the Consolidated Balance Sheets at fair value, with subsequent changes in their respective fair values recognized in the Consolidated Statements of Operations at each reporting date. At the date of issuance, the Company performed a Black-Scholes valuation of the warrants, resulting in a fair value of $2.4387 per warrant. In recording the warrant liability, the Company recorded an increase in debt discount in the Consolidated Balance Sheets associated with the issuance of the warrants of $4,223, which is being amortized through interest expense in the Consolidated Statements of Operations over the life of the Acquisition Term Loan and Consolidation Term Loan. The Company recorded a gain on the fair value of these warrants of $2,302 in the Consolidated Statements of Operations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which reflects the change in fair value from granting of the warrants through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the effective date of the warrant agreement amendment.</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31</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160" w:right="0" w:firstLine="6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 xml:space="preserve">in connection with obtaining a waiver of certain restrictions in investment documents between an investor and the Company in order to consummate the financing contemplated by the Credit Agreement, the Company paid consideration to such investor in the form of a warrant (the “Purchaser Warrant”) to purchase 466,667 shares of Company common stock in an at-the-market offering under Nasdaq rules. The number of shares of Company common stock subject to the Purchaser Warrant is equal to the waiver fee ($175) divided by $0.375 per share. The exercise price of the Purchaser Warrant is $4.23 per share, and the Purchaser Warrant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exercisable until </w:t>
      </w:r>
      <w:r>
        <w:rPr>
          <w:rStyle w:val="Emphasis"/>
          <w:rFonts w:ascii="Times New Roman" w:hAnsi="Times New Roman"/>
          <w:caps w:val="false"/>
          <w:smallCaps w:val="false"/>
          <w:sz w:val="20"/>
        </w:rPr>
        <w:t xml:space="preserve">August 17, 2022. </w:t>
      </w:r>
      <w:r>
        <w:rPr>
          <w:rFonts w:ascii="Times New Roman" w:hAnsi="Times New Roman"/>
          <w:caps w:val="false"/>
          <w:smallCaps w:val="false"/>
          <w:sz w:val="20"/>
        </w:rPr>
        <w:t xml:space="preserve">The Purchaser Warrant expired five years from the date of issuance. The Company evaluated the Purchaser Warrant and concluded that it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criteria to be classified within stockholders’ equity. The Purchaser Warrant included provisions which could result in a different settlement value for the Purchaser Warrant depending on the registration status of the underlying shares. Because these conditions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input into the pricing of a fixed-for-fixed option on the Company’s ordinary shares, the Purchaser Warrant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to be indexed to the Company’s own stock. The Company recorded these warrants as liabilities on the Consolidated Balance Sheets at fair value, with subsequent changes in their respective fair values recognized in the Consolidated Statements of Operations at each reporting date. At the date of issuance, the Company performed a Black-Scholes valuation of the Purchaser Warrant, resulting in a fair value of $2.5968 per warrant. In recording the warrant liability, the Company recorded an expense in the Consolidated Statements of Operations associated with the issuance of the Purchaser Warrant of $1,212. The Company recorded a gain on the fair value of the Purchaser Warrant of $649 in the Consolidated Statements of Operations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which reflects the change in fair value from granting of the warrants through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the effective date of the warrant agreement amendment.</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firstLine="660"/>
        <w:jc w:val="both"/>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the Company amended the terms of the Common Stock Warrant (2,388,836 warrants), Lender Warrant (1,731,499 warrants) and Purchaser Warrant (466,667 warrants). The amendments to such warrants removes the holder’s option to determine the value of such warrants utilizing the volume weighted average price (“VWAP”) of the Company’s common stock on the trading day immediately preceding the date of a notice in a cashless exercise, and removes the condition to exercising such warrants that the Company’s shareholders approve the exercise thereof (which has already been obtained). The amendments to the warrants also extend the term of such warrants for an additional one year, such that the Common Stock Warrant will expire on </w:t>
      </w:r>
      <w:r>
        <w:rPr>
          <w:rStyle w:val="Emphasis"/>
          <w:rFonts w:ascii="Times New Roman" w:hAnsi="Times New Roman"/>
          <w:caps w:val="false"/>
          <w:smallCaps w:val="false"/>
          <w:sz w:val="20"/>
        </w:rPr>
        <w:t xml:space="preserve">February 3, 2028, </w:t>
      </w:r>
      <w:r>
        <w:rPr>
          <w:rFonts w:ascii="Times New Roman" w:hAnsi="Times New Roman"/>
          <w:caps w:val="false"/>
          <w:smallCaps w:val="false"/>
          <w:sz w:val="20"/>
        </w:rPr>
        <w:t xml:space="preserve">and the Lender Warrant and Purchaser Warrant will expire on </w:t>
      </w:r>
      <w:r>
        <w:rPr>
          <w:rStyle w:val="Emphasis"/>
          <w:rFonts w:ascii="Times New Roman" w:hAnsi="Times New Roman"/>
          <w:caps w:val="false"/>
          <w:smallCaps w:val="false"/>
          <w:sz w:val="20"/>
        </w:rPr>
        <w:t>February 17, 2028.</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firstLine="540"/>
        <w:rPr/>
      </w:pPr>
      <w:r>
        <w:rPr>
          <w:rFonts w:ascii="Times New Roman" w:hAnsi="Times New Roman"/>
          <w:caps w:val="false"/>
          <w:smallCaps w:val="false"/>
          <w:sz w:val="20"/>
        </w:rPr>
        <w:t xml:space="preserve">As a result of the extension in term provided in exchange for the amendment, the Company reassessed the fair value of each of the Common Stock, Lender and Purchaser Warrants, resulting in the Company recording a loss on the fair value of these warrants of $345 in the Consolidated Statements of Operations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foregoing amendments to the warrants resulted in such warrants to be accounted for as equity instruments in the Company’s Consolidated Financial Statements. As such, following recording the gains and losses with respect to these warrant amendments, the Company reclassified the warrant liability of $5,709 from noncurrent liabilities to additional paid-in-capital. These amounts are reflected as additional paid-in-capital in the Consolidated Balance Sheet as of </w:t>
      </w:r>
      <w:r>
        <w:rPr>
          <w:rStyle w:val="Emphasis"/>
          <w:rFonts w:ascii="Times New Roman" w:hAnsi="Times New Roman"/>
          <w:caps w:val="false"/>
          <w:smallCaps w:val="false"/>
          <w:sz w:val="20"/>
        </w:rPr>
        <w:t>December 31, 2022.</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there remained outstanding 68,508 warrants which contain weighted average anti-dilution protection. 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those warrants were subject to a downward adjustment in their strike price following completion of the Company’s issuance of common stock or common stock equivalents in (</w:t>
      </w:r>
      <w:r>
        <w:rPr>
          <w:rStyle w:val="Emphasis"/>
          <w:rFonts w:ascii="Times New Roman" w:hAnsi="Times New Roman"/>
          <w:caps w:val="false"/>
          <w:smallCaps w:val="false"/>
          <w:sz w:val="20"/>
        </w:rPr>
        <w:t>1</w:t>
      </w:r>
      <w:r>
        <w:rPr>
          <w:rFonts w:ascii="Times New Roman" w:hAnsi="Times New Roman"/>
          <w:caps w:val="false"/>
          <w:smallCaps w:val="false"/>
          <w:sz w:val="20"/>
        </w:rPr>
        <w:t>) the Private Placement, (</w:t>
      </w:r>
      <w:r>
        <w:rPr>
          <w:rStyle w:val="Emphasis"/>
          <w:rFonts w:ascii="Times New Roman" w:hAnsi="Times New Roman"/>
          <w:caps w:val="false"/>
          <w:smallCaps w:val="false"/>
          <w:sz w:val="20"/>
        </w:rPr>
        <w:t>2</w:t>
      </w:r>
      <w:r>
        <w:rPr>
          <w:rFonts w:ascii="Times New Roman" w:hAnsi="Times New Roman"/>
          <w:caps w:val="false"/>
          <w:smallCaps w:val="false"/>
          <w:sz w:val="20"/>
        </w:rPr>
        <w:t>) the Credit Agreement, and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Waiver, each in </w:t>
      </w:r>
      <w:r>
        <w:rPr>
          <w:rStyle w:val="Emphasis"/>
          <w:rFonts w:ascii="Times New Roman" w:hAnsi="Times New Roman"/>
          <w:caps w:val="false"/>
          <w:smallCaps w:val="false"/>
          <w:sz w:val="20"/>
        </w:rPr>
        <w:t xml:space="preserve">February 2022. </w:t>
      </w:r>
      <w:r>
        <w:rPr>
          <w:rFonts w:ascii="Times New Roman" w:hAnsi="Times New Roman"/>
          <w:caps w:val="false"/>
          <w:smallCaps w:val="false"/>
          <w:sz w:val="20"/>
        </w:rPr>
        <w:t xml:space="preserve">The strike prices prior to adjustment ranged from $16.83 to $17.31 and were adjusted to between $10.23 and $10.44, resulting in the Company recording an increase in additional paid-in-capital of $31 in the Consolidated Statements of Shareholders' Equity for the year ended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 xml:space="preserve">The remaining weighted-average exercise price and weighted average contractual life of warrants subject to weighted average anti-dilution protection is $10.41 and 0.24 years, respectively,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xml:space="preserve">, there remained outstanding 307,123 warrants which contain weighted average anti-dilution protection. During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those warrants were subject to a downward adjustment in their strike price following completion of the Company’s issuance of common stock via at-the-market offering activities. The strike prices prior to adjustment ranged from $18.27 to $18.75 and were adjusted to between $17.40 and $17.88. The remaining weighted-average contractual life of warrants subject to weighted average anti-dilution protection is 1.71 years as of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F-32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pPr>
      <w:bookmarkStart w:id="51" w:name="note13"/>
      <w:bookmarkEnd w:id="51"/>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13:</w:t>
      </w:r>
      <w:r>
        <w:rPr>
          <w:rFonts w:ascii="Times New Roman" w:hAnsi="Times New Roman"/>
          <w:b/>
          <w:caps w:val="false"/>
          <w:smallCaps w:val="false"/>
          <w:sz w:val="20"/>
          <w:u w:val="single"/>
        </w:rPr>
        <w:t xml:space="preserve"> 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A summary of outstanding options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is included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Times New Roman" w:hAnsi="Times New Roman"/>
          <w:i/>
          <w:caps w:val="false"/>
          <w:smallCaps w:val="false"/>
          <w:sz w:val="20"/>
        </w:rPr>
      </w:pPr>
      <w:r>
        <w:rPr>
          <w:rFonts w:ascii="Times New Roman" w:hAnsi="Times New Roman"/>
          <w:i/>
          <w:caps w:val="false"/>
          <w:smallCaps w:val="false"/>
          <w:sz w:val="20"/>
        </w:rPr>
        <w:t>Time Vesting Options</w:t>
      </w:r>
    </w:p>
    <w:tbl>
      <w:tblPr>
        <w:tblW w:w="6930" w:type="dxa"/>
        <w:jc w:val="left"/>
        <w:tblInd w:w="0" w:type="dxa"/>
        <w:tblCellMar>
          <w:top w:w="0" w:type="dxa"/>
          <w:left w:w="0" w:type="dxa"/>
          <w:bottom w:w="0" w:type="dxa"/>
          <w:right w:w="0" w:type="dxa"/>
        </w:tblCellMar>
      </w:tblPr>
      <w:tblGrid>
        <w:gridCol w:w="1550"/>
        <w:gridCol w:w="60"/>
        <w:gridCol w:w="83"/>
        <w:gridCol w:w="972"/>
        <w:gridCol w:w="60"/>
        <w:gridCol w:w="60"/>
        <w:gridCol w:w="141"/>
        <w:gridCol w:w="899"/>
        <w:gridCol w:w="60"/>
        <w:gridCol w:w="60"/>
        <w:gridCol w:w="170"/>
        <w:gridCol w:w="660"/>
        <w:gridCol w:w="60"/>
        <w:gridCol w:w="60"/>
        <w:gridCol w:w="81"/>
        <w:gridCol w:w="944"/>
        <w:gridCol w:w="60"/>
        <w:gridCol w:w="60"/>
        <w:gridCol w:w="170"/>
        <w:gridCol w:w="660"/>
        <w:gridCol w:w="60"/>
      </w:tblGrid>
      <w:tr>
        <w:trPr/>
        <w:tc>
          <w:tcPr>
            <w:tcW w:w="15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rPr/>
            </w:pPr>
            <w:r>
              <w:rPr/>
              <w:t> </w:t>
            </w:r>
          </w:p>
        </w:tc>
        <w:tc>
          <w:tcPr>
            <w:tcW w:w="6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c>
          <w:tcPr>
            <w:tcW w:w="94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rPr/>
            </w:pPr>
            <w:r>
              <w:rPr/>
              <w:t> </w:t>
            </w:r>
          </w:p>
        </w:tc>
        <w:tc>
          <w:tcPr>
            <w:tcW w:w="6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c>
          <w:tcPr>
            <w:tcW w:w="94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Remaining</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c>
          <w:tcPr>
            <w:tcW w:w="94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Range of Exercise</w:t>
            </w:r>
          </w:p>
        </w:tc>
        <w:tc>
          <w:tcPr>
            <w:tcW w:w="60" w:type="dxa"/>
            <w:tcBorders/>
            <w:shd w:fill="FFFFFF" w:val="clear"/>
            <w:vAlign w:val="center"/>
          </w:tcPr>
          <w:p>
            <w:pPr>
              <w:pStyle w:val="TableContents"/>
              <w:spacing w:before="0" w:after="283"/>
              <w:ind w:left="0" w:right="0" w:hanging="0"/>
              <w:rPr/>
            </w:pPr>
            <w:r>
              <w:rPr/>
              <w:t> </w:t>
            </w:r>
          </w:p>
        </w:tc>
        <w:tc>
          <w:tcPr>
            <w:tcW w:w="1055"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Contractual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5"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FFFFFF" w:val="clear"/>
            <w:vAlign w:val="center"/>
          </w:tcPr>
          <w:p>
            <w:pPr>
              <w:pStyle w:val="TableContents"/>
              <w:spacing w:before="0" w:after="283"/>
              <w:rPr/>
            </w:pPr>
            <w:r>
              <w:rPr/>
              <w:t> </w:t>
            </w:r>
          </w:p>
        </w:tc>
      </w:tr>
      <w:tr>
        <w:trPr/>
        <w:tc>
          <w:tcPr>
            <w:tcW w:w="1550"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Prices between</w:t>
            </w:r>
          </w:p>
        </w:tc>
        <w:tc>
          <w:tcPr>
            <w:tcW w:w="60" w:type="dxa"/>
            <w:tcBorders/>
            <w:shd w:fill="FFFFFF" w:val="clear"/>
            <w:vAlign w:val="center"/>
          </w:tcPr>
          <w:p>
            <w:pPr>
              <w:pStyle w:val="TableContents"/>
              <w:spacing w:before="0" w:after="283"/>
              <w:ind w:left="0" w:right="0" w:hanging="0"/>
              <w:rPr/>
            </w:pPr>
            <w:r>
              <w:rPr/>
              <w:t> </w:t>
            </w:r>
          </w:p>
        </w:tc>
        <w:tc>
          <w:tcPr>
            <w:tcW w:w="105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Life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Exercisable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FFFFFF"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$0.01 - $4.00</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ind w:left="0" w:right="0" w:hanging="0"/>
              <w:rPr/>
            </w:pPr>
            <w:r>
              <w:rPr/>
              <w:t> </w:t>
            </w:r>
          </w:p>
        </w:tc>
        <w:tc>
          <w:tcPr>
            <w:tcW w:w="9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899" w:type="dxa"/>
            <w:tcBorders/>
            <w:shd w:fill="CCEEFF" w:val="cle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94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$4.01 - $8.00</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ind w:left="0" w:right="0" w:hanging="0"/>
              <w:rPr/>
            </w:pPr>
            <w:r>
              <w:rPr/>
              <w:t> </w:t>
            </w:r>
          </w:p>
        </w:tc>
        <w:tc>
          <w:tcPr>
            <w:tcW w:w="9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566,673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89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0" w:type="dxa"/>
            <w:tcBorders/>
            <w:shd w:fill="FFFFFF" w:val="clear"/>
            <w:vAlign w:val="center"/>
          </w:tcPr>
          <w:p>
            <w:pPr>
              <w:pStyle w:val="TableContents"/>
              <w:spacing w:before="0" w:after="283"/>
              <w:ind w:left="0" w:right="0" w:hanging="0"/>
              <w:rPr/>
            </w:pPr>
            <w:r>
              <w:rPr/>
              <w:t> </w:t>
            </w:r>
          </w:p>
        </w:tc>
        <w:tc>
          <w:tcPr>
            <w:tcW w:w="6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ind w:left="0" w:right="0" w:hanging="0"/>
              <w:rPr/>
            </w:pPr>
            <w:r>
              <w:rPr/>
              <w:t> </w:t>
            </w:r>
          </w:p>
        </w:tc>
        <w:tc>
          <w:tcPr>
            <w:tcW w:w="94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352,227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0"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7.47</w:t>
            </w:r>
          </w:p>
        </w:tc>
        <w:tc>
          <w:tcPr>
            <w:tcW w:w="60" w:type="dxa"/>
            <w:tcBorders/>
            <w:shd w:fill="FFFFFF"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8.01+</w:t>
            </w:r>
          </w:p>
        </w:tc>
        <w:tc>
          <w:tcPr>
            <w:tcW w:w="60" w:type="dxa"/>
            <w:tcBorders/>
            <w:shd w:fill="CCEEFF" w:val="clear"/>
            <w:vAlign w:val="center"/>
          </w:tcPr>
          <w:p>
            <w:pPr>
              <w:pStyle w:val="TableContents"/>
              <w:spacing w:before="0" w:after="283"/>
              <w:rPr/>
            </w:pPr>
            <w:r>
              <w:rPr/>
              <w:t> </w:t>
            </w:r>
          </w:p>
        </w:tc>
        <w:tc>
          <w:tcPr>
            <w:tcW w:w="8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96,237</w:t>
            </w:r>
          </w:p>
        </w:tc>
        <w:tc>
          <w:tcPr>
            <w:tcW w:w="60" w:type="dxa"/>
            <w:tcBorders/>
            <w:shd w:fill="CCEEFF" w:val="clear"/>
            <w:vAlign w:val="center"/>
          </w:tcPr>
          <w:p>
            <w:pPr>
              <w:pStyle w:val="TableContents"/>
              <w:spacing w:before="0" w:after="283"/>
              <w:rPr/>
            </w:pPr>
            <w:r>
              <w:rPr>
                <w:rStyle w:val="Emphasis"/>
              </w:rPr>
              <w:t> </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9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25.37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4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96,237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25.37</w:t>
            </w:r>
          </w:p>
        </w:tc>
        <w:tc>
          <w:tcPr>
            <w:tcW w:w="60" w:type="dxa"/>
            <w:tcBorders/>
            <w:shd w:fill="CCEE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rStyle w:val="Emphasis"/>
              </w:rPr>
              <w:t> </w:t>
            </w:r>
          </w:p>
        </w:tc>
        <w:tc>
          <w:tcPr>
            <w:tcW w:w="83"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7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662,910</w:t>
            </w:r>
          </w:p>
        </w:tc>
        <w:tc>
          <w:tcPr>
            <w:tcW w:w="60"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rPr/>
            </w:pPr>
            <w:r>
              <w:rPr/>
              <w:t> </w:t>
            </w:r>
          </w:p>
        </w:tc>
        <w:tc>
          <w:tcPr>
            <w:tcW w:w="14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8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4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448,464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rPr/>
            </w:pPr>
            <w:r>
              <w:rPr/>
              <w:t> </w:t>
            </w:r>
          </w:p>
        </w:tc>
        <w:tc>
          <w:tcPr>
            <w:tcW w:w="660"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Times New Roman" w:hAnsi="Times New Roman"/>
          <w:i/>
          <w:caps w:val="false"/>
          <w:smallCaps w:val="false"/>
          <w:sz w:val="20"/>
        </w:rPr>
      </w:pPr>
      <w:r>
        <w:rPr>
          <w:rFonts w:ascii="Times New Roman" w:hAnsi="Times New Roman"/>
          <w:i/>
          <w:caps w:val="false"/>
          <w:smallCaps w:val="false"/>
          <w:sz w:val="20"/>
        </w:rPr>
        <w:t>Performance Vesting Options</w:t>
      </w:r>
    </w:p>
    <w:tbl>
      <w:tblPr>
        <w:tblW w:w="6930" w:type="dxa"/>
        <w:jc w:val="left"/>
        <w:tblInd w:w="0" w:type="dxa"/>
        <w:tblCellMar>
          <w:top w:w="0" w:type="dxa"/>
          <w:left w:w="0" w:type="dxa"/>
          <w:bottom w:w="0" w:type="dxa"/>
          <w:right w:w="0" w:type="dxa"/>
        </w:tblCellMar>
      </w:tblPr>
      <w:tblGrid>
        <w:gridCol w:w="1550"/>
        <w:gridCol w:w="60"/>
        <w:gridCol w:w="83"/>
        <w:gridCol w:w="972"/>
        <w:gridCol w:w="60"/>
        <w:gridCol w:w="60"/>
        <w:gridCol w:w="141"/>
        <w:gridCol w:w="899"/>
        <w:gridCol w:w="60"/>
        <w:gridCol w:w="60"/>
        <w:gridCol w:w="205"/>
        <w:gridCol w:w="625"/>
        <w:gridCol w:w="60"/>
        <w:gridCol w:w="60"/>
        <w:gridCol w:w="93"/>
        <w:gridCol w:w="932"/>
        <w:gridCol w:w="60"/>
        <w:gridCol w:w="60"/>
        <w:gridCol w:w="205"/>
        <w:gridCol w:w="625"/>
        <w:gridCol w:w="60"/>
      </w:tblGrid>
      <w:tr>
        <w:trPr/>
        <w:tc>
          <w:tcPr>
            <w:tcW w:w="15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6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93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6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93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Remaining</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93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Range of Exercise</w:t>
            </w:r>
          </w:p>
        </w:tc>
        <w:tc>
          <w:tcPr>
            <w:tcW w:w="60" w:type="dxa"/>
            <w:tcBorders/>
            <w:shd w:fill="FFFFFF" w:val="clear"/>
            <w:vAlign w:val="center"/>
          </w:tcPr>
          <w:p>
            <w:pPr>
              <w:pStyle w:val="TableContents"/>
              <w:spacing w:before="0" w:after="283"/>
              <w:ind w:left="0" w:right="0" w:hanging="0"/>
              <w:rPr/>
            </w:pPr>
            <w:r>
              <w:rPr/>
              <w:t> </w:t>
            </w:r>
          </w:p>
        </w:tc>
        <w:tc>
          <w:tcPr>
            <w:tcW w:w="1055"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Contractual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5"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FFFFFF" w:val="clear"/>
            <w:vAlign w:val="center"/>
          </w:tcPr>
          <w:p>
            <w:pPr>
              <w:pStyle w:val="TableContents"/>
              <w:spacing w:before="0" w:after="283"/>
              <w:rPr/>
            </w:pPr>
            <w:r>
              <w:rPr/>
              <w:t> </w:t>
            </w:r>
          </w:p>
        </w:tc>
      </w:tr>
      <w:tr>
        <w:trPr/>
        <w:tc>
          <w:tcPr>
            <w:tcW w:w="1550"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Prices between</w:t>
            </w:r>
          </w:p>
        </w:tc>
        <w:tc>
          <w:tcPr>
            <w:tcW w:w="60" w:type="dxa"/>
            <w:tcBorders/>
            <w:shd w:fill="FFFFFF" w:val="clear"/>
            <w:vAlign w:val="center"/>
          </w:tcPr>
          <w:p>
            <w:pPr>
              <w:pStyle w:val="TableContents"/>
              <w:spacing w:before="0" w:after="283"/>
              <w:ind w:left="0" w:right="0" w:hanging="0"/>
              <w:rPr/>
            </w:pPr>
            <w:r>
              <w:rPr/>
              <w:t> </w:t>
            </w:r>
          </w:p>
        </w:tc>
        <w:tc>
          <w:tcPr>
            <w:tcW w:w="105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Life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Exercisable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FFFFFF"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$0.01 - $4.00</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97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rStyle w:val="Emphasis"/>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2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932"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2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$4.01 - $8.00</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240,000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7.42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2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7.59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932"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80,000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2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7.59</w:t>
            </w:r>
          </w:p>
        </w:tc>
        <w:tc>
          <w:tcPr>
            <w:tcW w:w="60" w:type="dxa"/>
            <w:tcBorders/>
            <w:shd w:fill="FFFFFF"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8.01+</w:t>
            </w:r>
          </w:p>
        </w:tc>
        <w:tc>
          <w:tcPr>
            <w:tcW w:w="60" w:type="dxa"/>
            <w:tcBorders/>
            <w:shd w:fill="CCEEFF" w:val="clear"/>
            <w:vAlign w:val="center"/>
          </w:tcPr>
          <w:p>
            <w:pPr>
              <w:pStyle w:val="TableContents"/>
              <w:spacing w:before="0" w:after="283"/>
              <w:rPr/>
            </w:pPr>
            <w:r>
              <w:rPr/>
              <w:t> </w:t>
            </w:r>
          </w:p>
        </w:tc>
        <w:tc>
          <w:tcPr>
            <w:tcW w:w="8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rStyle w:val="Emphasis"/>
              </w:rPr>
              <w:t> </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99"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2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rStyle w:val="Emphasis"/>
              </w:rPr>
              <w:t> </w:t>
            </w:r>
          </w:p>
        </w:tc>
        <w:tc>
          <w:tcPr>
            <w:tcW w:w="83"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7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240,000</w:t>
            </w:r>
          </w:p>
        </w:tc>
        <w:tc>
          <w:tcPr>
            <w:tcW w:w="60"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rPr/>
            </w:pPr>
            <w:r>
              <w:rPr/>
              <w:t> </w:t>
            </w:r>
          </w:p>
        </w:tc>
        <w:tc>
          <w:tcPr>
            <w:tcW w:w="14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8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2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3"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3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5" w:type="dxa"/>
            <w:tcBorders/>
            <w:shd w:fill="FFFFFF" w:val="clear"/>
            <w:vAlign w:val="center"/>
          </w:tcPr>
          <w:p>
            <w:pPr>
              <w:pStyle w:val="TableContents"/>
              <w:spacing w:before="0" w:after="283"/>
              <w:ind w:left="0" w:right="0" w:hanging="0"/>
              <w:rPr/>
            </w:pPr>
            <w:r>
              <w:rPr/>
              <w:t> </w:t>
            </w:r>
          </w:p>
        </w:tc>
        <w:tc>
          <w:tcPr>
            <w:tcW w:w="625" w:type="dxa"/>
            <w:tcBorders/>
            <w:shd w:fill="FFFFFF" w:val="clear"/>
            <w:vAlign w:val="center"/>
          </w:tcPr>
          <w:p>
            <w:pPr>
              <w:pStyle w:val="TableContents"/>
              <w:spacing w:before="0" w:after="283"/>
              <w:ind w:left="0" w:right="0" w:hanging="0"/>
              <w:jc w:val="right"/>
              <w:rPr/>
            </w:pPr>
            <w:r>
              <w:rPr>
                <w:rStyle w:val="Emphasis"/>
              </w:rPr>
              <w:t> </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Times New Roman" w:hAnsi="Times New Roman"/>
          <w:i/>
          <w:caps w:val="false"/>
          <w:smallCaps w:val="false"/>
          <w:sz w:val="20"/>
        </w:rPr>
      </w:pPr>
      <w:r>
        <w:rPr>
          <w:rFonts w:ascii="Times New Roman" w:hAnsi="Times New Roman"/>
          <w:i/>
          <w:caps w:val="false"/>
          <w:smallCaps w:val="false"/>
          <w:sz w:val="20"/>
        </w:rPr>
        <w:t>Market Vesting Options</w:t>
      </w:r>
    </w:p>
    <w:tbl>
      <w:tblPr>
        <w:tblW w:w="6930" w:type="dxa"/>
        <w:jc w:val="left"/>
        <w:tblInd w:w="0" w:type="dxa"/>
        <w:tblCellMar>
          <w:top w:w="0" w:type="dxa"/>
          <w:left w:w="0" w:type="dxa"/>
          <w:bottom w:w="0" w:type="dxa"/>
          <w:right w:w="0" w:type="dxa"/>
        </w:tblCellMar>
      </w:tblPr>
      <w:tblGrid>
        <w:gridCol w:w="1550"/>
        <w:gridCol w:w="60"/>
        <w:gridCol w:w="83"/>
        <w:gridCol w:w="972"/>
        <w:gridCol w:w="60"/>
        <w:gridCol w:w="60"/>
        <w:gridCol w:w="141"/>
        <w:gridCol w:w="899"/>
        <w:gridCol w:w="60"/>
        <w:gridCol w:w="60"/>
        <w:gridCol w:w="205"/>
        <w:gridCol w:w="625"/>
        <w:gridCol w:w="60"/>
        <w:gridCol w:w="60"/>
        <w:gridCol w:w="438"/>
        <w:gridCol w:w="587"/>
        <w:gridCol w:w="60"/>
        <w:gridCol w:w="60"/>
        <w:gridCol w:w="506"/>
        <w:gridCol w:w="324"/>
        <w:gridCol w:w="60"/>
      </w:tblGrid>
      <w:tr>
        <w:trPr/>
        <w:tc>
          <w:tcPr>
            <w:tcW w:w="15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62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8" w:type="dxa"/>
            <w:tcBorders/>
            <w:shd w:fill="FFFFFF" w:val="clear"/>
            <w:vAlign w:val="center"/>
          </w:tcPr>
          <w:p>
            <w:pPr>
              <w:pStyle w:val="TableContents"/>
              <w:spacing w:before="0" w:after="283"/>
              <w:rPr/>
            </w:pPr>
            <w:r>
              <w:rPr/>
              <w:t> </w:t>
            </w:r>
          </w:p>
        </w:tc>
        <w:tc>
          <w:tcPr>
            <w:tcW w:w="587"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06" w:type="dxa"/>
            <w:tcBorders/>
            <w:shd w:fill="FFFFFF" w:val="clear"/>
            <w:vAlign w:val="center"/>
          </w:tcPr>
          <w:p>
            <w:pPr>
              <w:pStyle w:val="TableContents"/>
              <w:spacing w:before="0" w:after="283"/>
              <w:rPr/>
            </w:pPr>
            <w:r>
              <w:rPr/>
              <w:t> </w:t>
            </w:r>
          </w:p>
        </w:tc>
        <w:tc>
          <w:tcPr>
            <w:tcW w:w="324"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8" w:type="dxa"/>
            <w:tcBorders/>
            <w:shd w:fill="FFFFFF" w:val="clear"/>
            <w:vAlign w:val="center"/>
          </w:tcPr>
          <w:p>
            <w:pPr>
              <w:pStyle w:val="TableContents"/>
              <w:spacing w:before="0" w:after="283"/>
              <w:rPr/>
            </w:pPr>
            <w:r>
              <w:rPr/>
              <w:t> </w:t>
            </w:r>
          </w:p>
        </w:tc>
        <w:tc>
          <w:tcPr>
            <w:tcW w:w="587"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Remaining</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8" w:type="dxa"/>
            <w:tcBorders/>
            <w:shd w:fill="FFFFFF" w:val="clear"/>
            <w:vAlign w:val="center"/>
          </w:tcPr>
          <w:p>
            <w:pPr>
              <w:pStyle w:val="TableContents"/>
              <w:spacing w:before="0" w:after="283"/>
              <w:rPr/>
            </w:pPr>
            <w:r>
              <w:rPr/>
              <w:t> </w:t>
            </w:r>
          </w:p>
        </w:tc>
        <w:tc>
          <w:tcPr>
            <w:tcW w:w="587"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Range of Exercise</w:t>
            </w:r>
          </w:p>
        </w:tc>
        <w:tc>
          <w:tcPr>
            <w:tcW w:w="60" w:type="dxa"/>
            <w:tcBorders/>
            <w:shd w:fill="FFFFFF" w:val="clear"/>
            <w:vAlign w:val="center"/>
          </w:tcPr>
          <w:p>
            <w:pPr>
              <w:pStyle w:val="TableContents"/>
              <w:spacing w:before="0" w:after="283"/>
              <w:ind w:left="0" w:right="0" w:hanging="0"/>
              <w:rPr/>
            </w:pPr>
            <w:r>
              <w:rPr/>
              <w:t> </w:t>
            </w:r>
          </w:p>
        </w:tc>
        <w:tc>
          <w:tcPr>
            <w:tcW w:w="1055"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Contractual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5"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FFFF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Prices between</w:t>
            </w:r>
          </w:p>
        </w:tc>
        <w:tc>
          <w:tcPr>
            <w:tcW w:w="60" w:type="dxa"/>
            <w:tcBorders/>
            <w:shd w:fill="FFFFFF" w:val="clear"/>
            <w:vAlign w:val="center"/>
          </w:tcPr>
          <w:p>
            <w:pPr>
              <w:pStyle w:val="TableContents"/>
              <w:spacing w:before="0" w:after="283"/>
              <w:ind w:left="0" w:right="0" w:hanging="0"/>
              <w:rPr/>
            </w:pPr>
            <w:r>
              <w:rPr/>
              <w:t> </w:t>
            </w:r>
          </w:p>
        </w:tc>
        <w:tc>
          <w:tcPr>
            <w:tcW w:w="105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Life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Exercisable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FFFFFF"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$0.01 - $4.00</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ind w:left="0" w:right="0" w:hanging="0"/>
              <w:rPr/>
            </w:pPr>
            <w:r>
              <w:rPr/>
              <w:t> </w:t>
            </w:r>
          </w:p>
        </w:tc>
        <w:tc>
          <w:tcPr>
            <w:tcW w:w="97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633,334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89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8" w:type="dxa"/>
            <w:tcBorders/>
            <w:shd w:fill="CCEEFF" w:val="clear"/>
            <w:vAlign w:val="center"/>
          </w:tcPr>
          <w:p>
            <w:pPr>
              <w:pStyle w:val="TableContents"/>
              <w:spacing w:before="0" w:after="283"/>
              <w:ind w:left="0" w:right="0" w:hanging="0"/>
              <w:rPr/>
            </w:pPr>
            <w:r>
              <w:rPr/>
              <w:t> </w:t>
            </w:r>
          </w:p>
        </w:tc>
        <w:tc>
          <w:tcPr>
            <w:tcW w:w="58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0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2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$4.01 - $8.00</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ind w:left="0" w:right="0" w:hanging="0"/>
              <w:rPr/>
            </w:pPr>
            <w:r>
              <w:rPr/>
              <w:t> </w:t>
            </w:r>
          </w:p>
        </w:tc>
        <w:tc>
          <w:tcPr>
            <w:tcW w:w="97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ind w:left="0" w:right="0" w:hanging="0"/>
              <w:rPr/>
            </w:pPr>
            <w:r>
              <w:rPr/>
              <w:t> </w:t>
            </w:r>
          </w:p>
        </w:tc>
        <w:tc>
          <w:tcPr>
            <w:tcW w:w="899" w:type="dxa"/>
            <w:tcBorders/>
            <w:shd w:fill="FFFFFF" w:val="cle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8" w:type="dxa"/>
            <w:tcBorders/>
            <w:shd w:fill="FFFFFF" w:val="clear"/>
            <w:vAlign w:val="center"/>
          </w:tcPr>
          <w:p>
            <w:pPr>
              <w:pStyle w:val="TableContents"/>
              <w:spacing w:before="0" w:after="283"/>
              <w:ind w:left="0" w:right="0" w:hanging="0"/>
              <w:rPr/>
            </w:pPr>
            <w:r>
              <w:rPr/>
              <w:t> </w:t>
            </w:r>
          </w:p>
        </w:tc>
        <w:tc>
          <w:tcPr>
            <w:tcW w:w="58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0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2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8.01+</w:t>
            </w:r>
          </w:p>
        </w:tc>
        <w:tc>
          <w:tcPr>
            <w:tcW w:w="60" w:type="dxa"/>
            <w:tcBorders/>
            <w:shd w:fill="CCEEFF" w:val="clear"/>
            <w:vAlign w:val="center"/>
          </w:tcPr>
          <w:p>
            <w:pPr>
              <w:pStyle w:val="TableContents"/>
              <w:spacing w:before="0" w:after="283"/>
              <w:rPr/>
            </w:pPr>
            <w:r>
              <w:rPr/>
              <w:t> </w:t>
            </w:r>
          </w:p>
        </w:tc>
        <w:tc>
          <w:tcPr>
            <w:tcW w:w="8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rStyle w:val="Emphasis"/>
              </w:rPr>
              <w:t> </w:t>
            </w:r>
          </w:p>
        </w:tc>
        <w:tc>
          <w:tcPr>
            <w:tcW w:w="60" w:type="dxa"/>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99"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2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8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06"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2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15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rStyle w:val="Emphasis"/>
              </w:rPr>
              <w:t> </w:t>
            </w:r>
          </w:p>
        </w:tc>
        <w:tc>
          <w:tcPr>
            <w:tcW w:w="83"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7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633,334</w:t>
            </w:r>
          </w:p>
        </w:tc>
        <w:tc>
          <w:tcPr>
            <w:tcW w:w="60"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rPr/>
            </w:pPr>
            <w:r>
              <w:rPr/>
              <w:t> </w:t>
            </w:r>
          </w:p>
        </w:tc>
        <w:tc>
          <w:tcPr>
            <w:tcW w:w="14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8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2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8"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58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06" w:type="dxa"/>
            <w:tcBorders>
              <w:bottom w:val="double" w:sz="6" w:space="0" w:color="000000"/>
            </w:tcBorders>
            <w:shd w:fill="FFFFFF" w:val="clear"/>
            <w:tcMar>
              <w:bottom w:w="28" w:type="dxa"/>
            </w:tcMar>
            <w:vAlign w:val="center"/>
          </w:tcPr>
          <w:p>
            <w:pPr>
              <w:pStyle w:val="TableContents"/>
              <w:spacing w:before="0" w:after="283"/>
              <w:rPr/>
            </w:pPr>
            <w:r>
              <w:rPr/>
              <w:t> </w:t>
            </w:r>
          </w:p>
        </w:tc>
        <w:tc>
          <w:tcPr>
            <w:tcW w:w="324" w:type="dxa"/>
            <w:tcBorders>
              <w:bottom w:val="double" w:sz="6" w:space="0" w:color="000000"/>
            </w:tcBorders>
            <w:shd w:fill="FFFFFF" w:val="clear"/>
            <w:tcMar>
              <w:bottom w:w="28" w:type="dxa"/>
            </w:tcM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9329" w:type="dxa"/>
        <w:jc w:val="left"/>
        <w:tblInd w:w="0" w:type="dxa"/>
        <w:tblCellMar>
          <w:top w:w="0" w:type="dxa"/>
          <w:left w:w="0" w:type="dxa"/>
          <w:bottom w:w="0" w:type="dxa"/>
          <w:right w:w="0" w:type="dxa"/>
        </w:tblCellMar>
      </w:tblPr>
      <w:tblGrid>
        <w:gridCol w:w="2345"/>
        <w:gridCol w:w="60"/>
        <w:gridCol w:w="91"/>
        <w:gridCol w:w="1057"/>
        <w:gridCol w:w="91"/>
        <w:gridCol w:w="91"/>
        <w:gridCol w:w="111"/>
        <w:gridCol w:w="704"/>
        <w:gridCol w:w="60"/>
        <w:gridCol w:w="60"/>
        <w:gridCol w:w="82"/>
        <w:gridCol w:w="958"/>
        <w:gridCol w:w="100"/>
        <w:gridCol w:w="75"/>
        <w:gridCol w:w="89"/>
        <w:gridCol w:w="726"/>
        <w:gridCol w:w="60"/>
        <w:gridCol w:w="60"/>
        <w:gridCol w:w="105"/>
        <w:gridCol w:w="1216"/>
        <w:gridCol w:w="140"/>
        <w:gridCol w:w="105"/>
        <w:gridCol w:w="218"/>
        <w:gridCol w:w="665"/>
        <w:gridCol w:w="60"/>
      </w:tblGrid>
      <w:tr>
        <w:trPr/>
        <w:tc>
          <w:tcPr>
            <w:tcW w:w="23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45"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i/>
                <w:caps w:val="false"/>
                <w:smallCaps w:val="false"/>
                <w:sz w:val="20"/>
              </w:rPr>
              <w:t>Market Vesting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3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i/>
                <w:caps w:val="false"/>
                <w:smallCaps w:val="false"/>
                <w:sz w:val="20"/>
              </w:rPr>
              <w:t>Time Vesting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49"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i/>
                <w:caps w:val="false"/>
                <w:smallCaps w:val="false"/>
                <w:sz w:val="20"/>
              </w:rPr>
              <w:t>Performance Vesting Options</w:t>
            </w:r>
          </w:p>
        </w:tc>
        <w:tc>
          <w:tcPr>
            <w:tcW w:w="60" w:type="dxa"/>
            <w:tcBorders/>
            <w:shd w:fill="FFFFFF" w:val="clear"/>
            <w:vAlign w:val="center"/>
          </w:tcPr>
          <w:p>
            <w:pPr>
              <w:pStyle w:val="TableContents"/>
              <w:spacing w:before="0" w:after="283"/>
              <w:rPr/>
            </w:pPr>
            <w:r>
              <w:rPr/>
              <w:t> </w:t>
            </w:r>
          </w:p>
        </w:tc>
      </w:tr>
      <w:tr>
        <w:trPr/>
        <w:tc>
          <w:tcPr>
            <w:tcW w:w="23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057" w:type="dxa"/>
            <w:tcBorders/>
            <w:shd w:fill="FFFFFF" w:val="clear"/>
            <w:vAlign w:val="center"/>
          </w:tcPr>
          <w:p>
            <w:pPr>
              <w:pStyle w:val="TableContents"/>
              <w:spacing w:before="0" w:after="283"/>
              <w:jc w:val="center"/>
              <w:rPr/>
            </w:pPr>
            <w:r>
              <w:rPr>
                <w:rStyle w:val="Emphasis"/>
              </w:rPr>
              <w:t> </w:t>
            </w:r>
          </w:p>
        </w:tc>
        <w:tc>
          <w:tcPr>
            <w:tcW w:w="9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958" w:type="dxa"/>
            <w:tcBorders/>
            <w:shd w:fill="FFFFFF" w:val="clear"/>
            <w:vAlign w:val="center"/>
          </w:tcPr>
          <w:p>
            <w:pPr>
              <w:pStyle w:val="TableContents"/>
              <w:spacing w:before="0" w:after="283"/>
              <w:jc w:val="center"/>
              <w:rPr/>
            </w:pPr>
            <w:r>
              <w:rPr>
                <w:rStyle w:val="Emphasis"/>
              </w:rPr>
              <w:t> </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rPr/>
            </w:pPr>
            <w:r>
              <w:rPr/>
              <w:t> </w:t>
            </w:r>
          </w:p>
        </w:tc>
        <w:tc>
          <w:tcPr>
            <w:tcW w:w="1216" w:type="dxa"/>
            <w:tcBorders/>
            <w:shd w:fill="FFFFFF" w:val="clear"/>
            <w:vAlign w:val="center"/>
          </w:tcPr>
          <w:p>
            <w:pPr>
              <w:pStyle w:val="TableContents"/>
              <w:spacing w:before="0" w:after="283"/>
              <w:jc w:val="center"/>
              <w:rPr/>
            </w:pPr>
            <w:r>
              <w:rPr>
                <w:rStyle w:val="Emphasis"/>
              </w:rPr>
              <w:t> </w:t>
            </w:r>
          </w:p>
        </w:tc>
        <w:tc>
          <w:tcPr>
            <w:tcW w:w="14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ind w:left="0" w:right="0" w:hanging="0"/>
              <w:rPr/>
            </w:pPr>
            <w:r>
              <w:rPr/>
              <w:t> </w:t>
            </w:r>
          </w:p>
        </w:tc>
        <w:tc>
          <w:tcPr>
            <w:tcW w:w="883"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r>
      <w:tr>
        <w:trPr/>
        <w:tc>
          <w:tcPr>
            <w:tcW w:w="23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057" w:type="dxa"/>
            <w:tcBorders/>
            <w:shd w:fill="FFFFFF" w:val="clear"/>
            <w:vAlign w:val="center"/>
          </w:tcPr>
          <w:p>
            <w:pPr>
              <w:pStyle w:val="TableContents"/>
              <w:spacing w:before="0" w:after="283"/>
              <w:jc w:val="center"/>
              <w:rPr/>
            </w:pPr>
            <w:r>
              <w:rPr>
                <w:rStyle w:val="Emphasis"/>
              </w:rPr>
              <w:t> </w:t>
            </w:r>
          </w:p>
        </w:tc>
        <w:tc>
          <w:tcPr>
            <w:tcW w:w="9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958" w:type="dxa"/>
            <w:tcBorders/>
            <w:shd w:fill="FFFFFF" w:val="clear"/>
            <w:vAlign w:val="center"/>
          </w:tcPr>
          <w:p>
            <w:pPr>
              <w:pStyle w:val="TableContents"/>
              <w:spacing w:before="0" w:after="283"/>
              <w:jc w:val="center"/>
              <w:rPr/>
            </w:pPr>
            <w:r>
              <w:rPr>
                <w:rStyle w:val="Emphasis"/>
              </w:rPr>
              <w:t> </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rPr/>
            </w:pPr>
            <w:r>
              <w:rPr/>
              <w:t> </w:t>
            </w:r>
          </w:p>
        </w:tc>
        <w:tc>
          <w:tcPr>
            <w:tcW w:w="1216" w:type="dxa"/>
            <w:tcBorders/>
            <w:shd w:fill="FFFFFF" w:val="clear"/>
            <w:vAlign w:val="center"/>
          </w:tcPr>
          <w:p>
            <w:pPr>
              <w:pStyle w:val="TableContents"/>
              <w:spacing w:before="0" w:after="283"/>
              <w:jc w:val="center"/>
              <w:rPr/>
            </w:pPr>
            <w:r>
              <w:rPr>
                <w:rStyle w:val="Emphasis"/>
              </w:rPr>
              <w:t> </w:t>
            </w:r>
          </w:p>
        </w:tc>
        <w:tc>
          <w:tcPr>
            <w:tcW w:w="14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ind w:left="0" w:right="0" w:hanging="0"/>
              <w:rPr/>
            </w:pPr>
            <w:r>
              <w:rPr/>
              <w:t> </w:t>
            </w:r>
          </w:p>
        </w:tc>
        <w:tc>
          <w:tcPr>
            <w:tcW w:w="883"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r>
      <w:tr>
        <w:trPr/>
        <w:tc>
          <w:tcPr>
            <w:tcW w:w="23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8"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Options</w:t>
            </w:r>
          </w:p>
        </w:tc>
        <w:tc>
          <w:tcPr>
            <w:tcW w:w="9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Options</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21"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Options</w:t>
            </w:r>
          </w:p>
        </w:tc>
        <w:tc>
          <w:tcPr>
            <w:tcW w:w="14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ind w:left="0" w:right="0" w:hanging="0"/>
              <w:rPr/>
            </w:pPr>
            <w:r>
              <w:rPr/>
              <w:t> </w:t>
            </w:r>
          </w:p>
        </w:tc>
        <w:tc>
          <w:tcPr>
            <w:tcW w:w="883"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spacing w:before="0" w:after="283"/>
              <w:rPr/>
            </w:pPr>
            <w:r>
              <w:rPr/>
              <w:t> </w:t>
            </w:r>
          </w:p>
        </w:tc>
      </w:tr>
      <w:tr>
        <w:trPr/>
        <w:tc>
          <w:tcPr>
            <w:tcW w:w="2345"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Date/Activity</w:t>
            </w:r>
          </w:p>
        </w:tc>
        <w:tc>
          <w:tcPr>
            <w:tcW w:w="60" w:type="dxa"/>
            <w:tcBorders/>
            <w:shd w:fill="FFFFFF" w:val="clear"/>
            <w:vAlign w:val="center"/>
          </w:tcPr>
          <w:p>
            <w:pPr>
              <w:pStyle w:val="TableContents"/>
              <w:spacing w:before="0" w:after="283"/>
              <w:ind w:left="0" w:right="0" w:hanging="0"/>
              <w:rPr/>
            </w:pPr>
            <w:r>
              <w:rPr/>
              <w:t> </w:t>
            </w:r>
          </w:p>
        </w:tc>
        <w:tc>
          <w:tcPr>
            <w:tcW w:w="114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Outstanding</w:t>
            </w:r>
          </w:p>
        </w:tc>
        <w:tc>
          <w:tcPr>
            <w:tcW w:w="9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8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Outstanding</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ind w:left="0" w:right="0" w:hanging="0"/>
              <w:rPr/>
            </w:pPr>
            <w:r>
              <w:rPr/>
              <w:t> </w:t>
            </w:r>
          </w:p>
        </w:tc>
        <w:tc>
          <w:tcPr>
            <w:tcW w:w="8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2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Outstanding</w:t>
            </w:r>
          </w:p>
        </w:tc>
        <w:tc>
          <w:tcPr>
            <w:tcW w:w="14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ind w:left="0" w:right="0" w:hanging="0"/>
              <w:rPr/>
            </w:pPr>
            <w:r>
              <w:rPr/>
              <w:t> </w:t>
            </w:r>
          </w:p>
        </w:tc>
        <w:tc>
          <w:tcPr>
            <w:tcW w:w="88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spacing w:before="0" w:after="283"/>
              <w:rPr/>
            </w:pPr>
            <w:r>
              <w:rPr/>
              <w:t> </w:t>
            </w:r>
          </w:p>
        </w:tc>
      </w:tr>
      <w:tr>
        <w:trPr/>
        <w:tc>
          <w:tcPr>
            <w:tcW w:w="23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December 31, 2021</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05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11" w:type="dxa"/>
            <w:tcBorders/>
            <w:shd w:fill="CCEEFF" w:val="clear"/>
            <w:vAlign w:val="center"/>
          </w:tcPr>
          <w:p>
            <w:pPr>
              <w:pStyle w:val="TableContents"/>
              <w:spacing w:before="0" w:after="283"/>
              <w:ind w:left="0" w:right="0" w:hanging="0"/>
              <w:rPr/>
            </w:pPr>
            <w:r>
              <w:rPr/>
              <w:t> </w:t>
            </w:r>
          </w:p>
        </w:tc>
        <w:tc>
          <w:tcPr>
            <w:tcW w:w="7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ind w:left="0" w:right="0" w:hanging="0"/>
              <w:rPr/>
            </w:pPr>
            <w:r>
              <w:rPr/>
              <w:t> </w:t>
            </w:r>
          </w:p>
        </w:tc>
        <w:tc>
          <w:tcPr>
            <w:tcW w:w="95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689,603</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ind w:left="0" w:right="0" w:hanging="0"/>
              <w:rPr/>
            </w:pPr>
            <w:r>
              <w:rPr/>
              <w:t> </w:t>
            </w:r>
          </w:p>
        </w:tc>
        <w:tc>
          <w:tcPr>
            <w:tcW w:w="7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ind w:left="0" w:right="0" w:hanging="0"/>
              <w:rPr/>
            </w:pPr>
            <w:r>
              <w:rPr/>
              <w:t> </w:t>
            </w:r>
          </w:p>
        </w:tc>
        <w:tc>
          <w:tcPr>
            <w:tcW w:w="12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266,667</w:t>
            </w:r>
          </w:p>
        </w:tc>
        <w:tc>
          <w:tcPr>
            <w:tcW w:w="14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ind w:left="0" w:right="0" w:hanging="0"/>
              <w:rPr/>
            </w:pPr>
            <w:r>
              <w:rPr/>
              <w:t> </w:t>
            </w:r>
          </w:p>
        </w:tc>
        <w:tc>
          <w:tcPr>
            <w:tcW w:w="21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7.59</w:t>
            </w:r>
          </w:p>
        </w:tc>
        <w:tc>
          <w:tcPr>
            <w:tcW w:w="60" w:type="dxa"/>
            <w:tcBorders/>
            <w:shd w:fill="CCEEFF" w:val="clear"/>
            <w:vAlign w:val="center"/>
          </w:tcPr>
          <w:p>
            <w:pPr>
              <w:pStyle w:val="TableContents"/>
              <w:spacing w:before="0" w:after="283"/>
              <w:rPr/>
            </w:pPr>
            <w:r>
              <w:rPr/>
              <w:t> </w:t>
            </w:r>
          </w:p>
        </w:tc>
      </w:tr>
      <w:tr>
        <w:trPr/>
        <w:tc>
          <w:tcPr>
            <w:tcW w:w="23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105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633,334</w:t>
            </w:r>
          </w:p>
        </w:tc>
        <w:tc>
          <w:tcPr>
            <w:tcW w:w="9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11" w:type="dxa"/>
            <w:tcBorders/>
            <w:shd w:fill="FFFFFF" w:val="clear"/>
            <w:vAlign w:val="center"/>
          </w:tcPr>
          <w:p>
            <w:pPr>
              <w:pStyle w:val="TableContents"/>
              <w:spacing w:before="0" w:after="283"/>
              <w:ind w:left="0" w:right="0" w:hanging="0"/>
              <w:rPr/>
            </w:pPr>
            <w:r>
              <w:rPr/>
              <w:t> </w:t>
            </w:r>
          </w:p>
        </w:tc>
        <w:tc>
          <w:tcPr>
            <w:tcW w:w="70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ind w:left="0" w:right="0" w:hanging="0"/>
              <w:rPr/>
            </w:pPr>
            <w:r>
              <w:rPr/>
              <w:t> </w:t>
            </w:r>
          </w:p>
        </w:tc>
        <w:tc>
          <w:tcPr>
            <w:tcW w:w="95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c>
          <w:tcPr>
            <w:tcW w:w="89" w:type="dxa"/>
            <w:tcBorders/>
            <w:shd w:fill="FFFFFF" w:val="clear"/>
            <w:vAlign w:val="center"/>
          </w:tcPr>
          <w:p>
            <w:pPr>
              <w:pStyle w:val="TableContents"/>
              <w:spacing w:before="0" w:after="283"/>
              <w:ind w:left="0" w:right="0" w:hanging="0"/>
              <w:rPr/>
            </w:pPr>
            <w:r>
              <w:rPr/>
              <w:t> </w:t>
            </w:r>
          </w:p>
        </w:tc>
        <w:tc>
          <w:tcPr>
            <w:tcW w:w="72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ind w:left="0" w:right="0" w:hanging="0"/>
              <w:rPr/>
            </w:pPr>
            <w:r>
              <w:rPr/>
              <w:t> </w:t>
            </w:r>
          </w:p>
        </w:tc>
        <w:tc>
          <w:tcPr>
            <w:tcW w:w="12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4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r>
      <w:tr>
        <w:trPr/>
        <w:tc>
          <w:tcPr>
            <w:tcW w:w="23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05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11" w:type="dxa"/>
            <w:tcBorders/>
            <w:shd w:fill="CCEEFF" w:val="clear"/>
            <w:vAlign w:val="center"/>
          </w:tcPr>
          <w:p>
            <w:pPr>
              <w:pStyle w:val="TableContents"/>
              <w:spacing w:before="0" w:after="283"/>
              <w:ind w:left="0" w:right="0" w:hanging="0"/>
              <w:rPr/>
            </w:pPr>
            <w:r>
              <w:rPr/>
              <w:t> </w:t>
            </w:r>
          </w:p>
        </w:tc>
        <w:tc>
          <w:tcPr>
            <w:tcW w:w="7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ind w:left="0" w:right="0" w:hanging="0"/>
              <w:rPr/>
            </w:pPr>
            <w:r>
              <w:rPr/>
              <w:t> </w:t>
            </w:r>
          </w:p>
        </w:tc>
        <w:tc>
          <w:tcPr>
            <w:tcW w:w="95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ind w:left="0" w:right="0" w:hanging="0"/>
              <w:rPr/>
            </w:pPr>
            <w:r>
              <w:rPr/>
              <w:t> </w:t>
            </w:r>
          </w:p>
        </w:tc>
        <w:tc>
          <w:tcPr>
            <w:tcW w:w="7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ind w:left="0" w:right="0" w:hanging="0"/>
              <w:rPr/>
            </w:pPr>
            <w:r>
              <w:rPr/>
              <w:t> </w:t>
            </w:r>
          </w:p>
        </w:tc>
        <w:tc>
          <w:tcPr>
            <w:tcW w:w="12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4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23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Forfeited or expired</w:t>
            </w:r>
          </w:p>
        </w:tc>
        <w:tc>
          <w:tcPr>
            <w:tcW w:w="60" w:type="dxa"/>
            <w:tcBorders/>
            <w:shd w:fill="FFFFFF" w:val="clear"/>
            <w:vAlign w:val="center"/>
          </w:tcPr>
          <w:p>
            <w:pPr>
              <w:pStyle w:val="TableContents"/>
              <w:spacing w:before="0" w:after="283"/>
              <w:rPr/>
            </w:pPr>
            <w:r>
              <w:rPr/>
              <w:t> </w:t>
            </w:r>
          </w:p>
        </w:tc>
        <w:tc>
          <w:tcPr>
            <w:tcW w:w="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5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11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0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(26,712</w:t>
            </w:r>
          </w:p>
        </w:tc>
        <w:tc>
          <w:tcPr>
            <w:tcW w:w="10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5" w:type="dxa"/>
            <w:tcBorders/>
            <w:shd w:fill="FFFFFF" w:val="clear"/>
            <w:vAlign w:val="center"/>
          </w:tcPr>
          <w:p>
            <w:pPr>
              <w:pStyle w:val="TableContents"/>
              <w:spacing w:before="0" w:after="283"/>
              <w:rPr/>
            </w:pPr>
            <w:r>
              <w:rPr/>
              <w:t> </w:t>
            </w:r>
          </w:p>
        </w:tc>
        <w:tc>
          <w:tcPr>
            <w:tcW w:w="8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1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(26,667</w:t>
            </w:r>
          </w:p>
        </w:tc>
        <w:tc>
          <w:tcPr>
            <w:tcW w:w="14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5" w:type="dxa"/>
            <w:tcBorders/>
            <w:shd w:fill="FFFFFF" w:val="clear"/>
            <w:vAlign w:val="center"/>
          </w:tcPr>
          <w:p>
            <w:pPr>
              <w:pStyle w:val="TableContents"/>
              <w:spacing w:before="0" w:after="283"/>
              <w:rPr/>
            </w:pPr>
            <w:r>
              <w:rPr/>
              <w:t> </w:t>
            </w:r>
          </w:p>
        </w:tc>
        <w:tc>
          <w:tcPr>
            <w:tcW w:w="21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7.59</w:t>
            </w:r>
          </w:p>
        </w:tc>
        <w:tc>
          <w:tcPr>
            <w:tcW w:w="60" w:type="dxa"/>
            <w:tcBorders/>
            <w:shd w:fill="FFFFFF" w:val="clear"/>
            <w:vAlign w:val="center"/>
          </w:tcPr>
          <w:p>
            <w:pPr>
              <w:pStyle w:val="TableContents"/>
              <w:spacing w:before="0" w:after="283"/>
              <w:rPr/>
            </w:pPr>
            <w:r>
              <w:rPr/>
              <w:t> </w:t>
            </w:r>
          </w:p>
        </w:tc>
      </w:tr>
      <w:tr>
        <w:trPr/>
        <w:tc>
          <w:tcPr>
            <w:tcW w:w="23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December 31, 2022</w:t>
            </w:r>
          </w:p>
        </w:tc>
        <w:tc>
          <w:tcPr>
            <w:tcW w:w="60" w:type="dxa"/>
            <w:tcBorders/>
            <w:shd w:fill="CCEEFF" w:val="clear"/>
            <w:vAlign w:val="center"/>
          </w:tcPr>
          <w:p>
            <w:pPr>
              <w:pStyle w:val="TableContents"/>
              <w:spacing w:before="0" w:after="283"/>
              <w:rPr/>
            </w:pPr>
            <w:r>
              <w:rPr/>
              <w:t> </w:t>
            </w:r>
          </w:p>
        </w:tc>
        <w:tc>
          <w:tcPr>
            <w:tcW w:w="9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05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633,334</w:t>
            </w:r>
          </w:p>
        </w:tc>
        <w:tc>
          <w:tcPr>
            <w:tcW w:w="9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11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70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5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662,891</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89"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72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21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240,000</w:t>
            </w:r>
          </w:p>
        </w:tc>
        <w:tc>
          <w:tcPr>
            <w:tcW w:w="14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ind w:left="0" w:right="0" w:hanging="0"/>
              <w:rPr/>
            </w:pPr>
            <w:r>
              <w:rPr/>
              <w:t> </w:t>
            </w:r>
          </w:p>
        </w:tc>
        <w:tc>
          <w:tcPr>
            <w:tcW w:w="21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7.59</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weighted average remaining contractual life for options exercisable is 6.7 years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33</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Valuation Information for 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For purposes of determining estimated fair value under FASB ASC </w:t>
      </w:r>
      <w:r>
        <w:rPr>
          <w:rStyle w:val="Emphasis"/>
          <w:rFonts w:ascii="Times New Roman" w:hAnsi="Times New Roman"/>
          <w:caps w:val="false"/>
          <w:smallCaps w:val="false"/>
          <w:sz w:val="20"/>
        </w:rPr>
        <w:t>718</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t>
      </w:r>
      <w:r>
        <w:rPr>
          <w:rFonts w:ascii="Times New Roman" w:hAnsi="Times New Roman"/>
          <w:i/>
          <w:caps w:val="false"/>
          <w:smallCaps w:val="false"/>
          <w:sz w:val="20"/>
        </w:rPr>
        <w:t>Stock Compensation</w:t>
      </w:r>
      <w:r>
        <w:rPr>
          <w:rFonts w:ascii="Times New Roman" w:hAnsi="Times New Roman"/>
          <w:caps w:val="false"/>
          <w:smallCaps w:val="false"/>
          <w:sz w:val="20"/>
        </w:rPr>
        <w:t>, the Company computed the estimated fair values of stock options using the Black-Scholes model.</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Amendment to Performance Options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 2020, </w:t>
      </w:r>
      <w:r>
        <w:rPr>
          <w:rFonts w:ascii="Times New Roman" w:hAnsi="Times New Roman"/>
          <w:caps w:val="false"/>
          <w:smallCaps w:val="false"/>
          <w:sz w:val="20"/>
        </w:rPr>
        <w:t>Rick Mills, CEO, and Will Logan, CFO, were issued ten-year options to purchase 160,000 and 80,000 shares of common stock (the “Performance Options”), respectively, which vest in equal installments over a three-year period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subject to satisfying the Company revenue target and EBITDA (earnings before interest, taxes, depreciation and amortization) targets for the applicable year. In each of calendar years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one-</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of the total shares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vest (if the revenue and EBITDA targets are met), and the shares that are subject to vesting each year are allocated equally to each of the revenue and EBITDA targets for such year. The Performance Options includes a catch-up provision, where any options that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vest during a prior year due to the Company’s failure to meet a prior revenue or EBITDA target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vest in a subsequent vesting year if the revenue or EBITDA target, as applicable, is met in the future year.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15, 2022, </w:t>
      </w:r>
      <w:r>
        <w:rPr>
          <w:rFonts w:ascii="Times New Roman" w:hAnsi="Times New Roman"/>
          <w:caps w:val="false"/>
          <w:smallCaps w:val="false"/>
          <w:sz w:val="20"/>
        </w:rPr>
        <w:t xml:space="preserve">the Board approved of an amendment to the Performance Options to provide that the revenue target for the calendar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set forth therein ($38,000) is eliminated, and the remaining shares that are available for vesting under the Performance Options (106,667 unvested shares for Mr. Mills and 53,334 for Mr. Logan) (including the unvested portions of shares based on the satisfaction of the revenue targets for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by virtue of the catch-up provisions in the Performance Options) will fully vest upon the achievement of an updated EBITDA target for calendar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of $3,600.</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Performance Options state that the calculation of EBITDA set forth in the Performance Options shall be calculated in a form consistent with the Company’s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approved budget, which</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 excludes any impact on EBITDA of:</w:t>
      </w:r>
    </w:p>
    <w:p>
      <w:pPr>
        <w:pStyle w:val="TextBody"/>
        <w:spacing w:before="0" w:after="0"/>
        <w:ind w:left="0" w:right="0" w:firstLine="720"/>
        <w:rPr>
          <w:caps w:val="false"/>
          <w:smallCaps w:val="false"/>
        </w:rPr>
      </w:pPr>
      <w:r>
        <w:rPr>
          <w:caps w:val="false"/>
          <w:smallCaps w:val="false"/>
        </w:rPr>
        <w:t> </w:t>
      </w:r>
    </w:p>
    <w:p>
      <w:pPr>
        <w:pStyle w:val="TextBody"/>
        <w:spacing w:before="0" w:after="0"/>
        <w:ind w:left="900" w:right="0" w:firstLine="720"/>
        <w:rPr>
          <w:rFonts w:ascii="Times New Roman" w:hAnsi="Times New Roman"/>
          <w:caps w:val="false"/>
          <w:smallCaps w:val="false"/>
          <w:sz w:val="20"/>
        </w:rPr>
      </w:pPr>
      <w:r>
        <w:rPr>
          <w:rFonts w:ascii="Times New Roman" w:hAnsi="Times New Roman"/>
          <w:caps w:val="false"/>
          <w:smallCaps w:val="false"/>
          <w:sz w:val="20"/>
        </w:rPr>
        <w:t>(a) the accounting treatment (including any "mark-to-market accounting") of the Company's warrants or the "Guaranteed Consideration" (as defined in the Merger Agreement),</w:t>
      </w:r>
    </w:p>
    <w:p>
      <w:pPr>
        <w:pStyle w:val="TextBody"/>
        <w:spacing w:before="0" w:after="0"/>
        <w:ind w:left="900" w:right="0" w:firstLine="720"/>
        <w:rPr>
          <w:caps w:val="false"/>
          <w:smallCaps w:val="false"/>
        </w:rPr>
      </w:pPr>
      <w:r>
        <w:rPr>
          <w:caps w:val="false"/>
          <w:smallCaps w:val="false"/>
        </w:rPr>
        <w:t> </w:t>
      </w:r>
    </w:p>
    <w:p>
      <w:pPr>
        <w:pStyle w:val="TextBody"/>
        <w:spacing w:before="0" w:after="0"/>
        <w:ind w:left="900" w:right="0" w:firstLine="720"/>
        <w:rPr>
          <w:rFonts w:ascii="Times New Roman" w:hAnsi="Times New Roman"/>
          <w:caps w:val="false"/>
          <w:smallCaps w:val="false"/>
          <w:sz w:val="20"/>
        </w:rPr>
      </w:pPr>
      <w:r>
        <w:rPr>
          <w:rFonts w:ascii="Times New Roman" w:hAnsi="Times New Roman"/>
          <w:caps w:val="false"/>
          <w:smallCaps w:val="false"/>
          <w:sz w:val="20"/>
        </w:rPr>
        <w:t>(b) non-recurring transaction expenses associated with the Merger and the capital raising financing activities of the Company to effectuate the Merger, and</w:t>
      </w:r>
    </w:p>
    <w:p>
      <w:pPr>
        <w:pStyle w:val="TextBody"/>
        <w:spacing w:before="0" w:after="0"/>
        <w:ind w:left="900" w:right="0" w:firstLine="720"/>
        <w:rPr>
          <w:caps w:val="false"/>
          <w:smallCaps w:val="false"/>
        </w:rPr>
      </w:pPr>
      <w:r>
        <w:rPr>
          <w:caps w:val="false"/>
          <w:smallCaps w:val="false"/>
        </w:rPr>
        <w:t> </w:t>
      </w:r>
    </w:p>
    <w:p>
      <w:pPr>
        <w:pStyle w:val="TextBody"/>
        <w:spacing w:before="0" w:after="0"/>
        <w:ind w:left="900" w:right="0" w:firstLine="720"/>
        <w:rPr>
          <w:rFonts w:ascii="Times New Roman" w:hAnsi="Times New Roman"/>
          <w:caps w:val="false"/>
          <w:smallCaps w:val="false"/>
          <w:sz w:val="20"/>
        </w:rPr>
      </w:pPr>
      <w:r>
        <w:rPr>
          <w:rFonts w:ascii="Times New Roman" w:hAnsi="Times New Roman"/>
          <w:caps w:val="false"/>
          <w:smallCaps w:val="false"/>
          <w:sz w:val="20"/>
        </w:rPr>
        <w:t>(c) any write-down or write-off of any Company inventory of Safe Space Solutions products.</w:t>
      </w:r>
    </w:p>
    <w:p>
      <w:pPr>
        <w:pStyle w:val="TextBody"/>
        <w:spacing w:before="0" w:after="0"/>
        <w:ind w:left="90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(ii) includes deductions related to any cash or stock bonuses paid or payable to any employees of the Company for services provided in calendar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(even if such bonuses are actually paid after calendar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including bonuses paid pursuant to the terms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Cash Bonus Plan (as described below) (collectively, the “EBITDA Calculations”).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exercise price of the foregoing options is $7.59 per share, the closing price of the Company’s common stock on the date of issuance. The options were issued from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The fair value of the options on the grant date was $5.61 and was determined using the Black-Scholes model. These values were calculated using the same weighted average assumptions as the time vesting options issued. Performance against the identified EBITDA target is assessed quarterly by the Company in order to determine whether any compensation expense should be recorded.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Company recognized $849 in stock-based compensation expense related to the Performance Options, net of a benefit of $50 recorded for forfeiture awards, as the Company achieved the specified performance target for the performance period.</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34</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Issuance of New Options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15, 2022, </w:t>
      </w:r>
      <w:r>
        <w:rPr>
          <w:rFonts w:ascii="Times New Roman" w:hAnsi="Times New Roman"/>
          <w:caps w:val="false"/>
          <w:smallCaps w:val="false"/>
          <w:sz w:val="20"/>
        </w:rPr>
        <w:t xml:space="preserve">Messrs. Mills and Logan received ten-year options to purchase 333,334 and 200,000 shares of common stock, respectively (the “New Options”). The New Options are eligible to vest at any time on or prior to </w:t>
      </w:r>
      <w:r>
        <w:rPr>
          <w:rStyle w:val="Emphasis"/>
          <w:rFonts w:ascii="Times New Roman" w:hAnsi="Times New Roman"/>
          <w:caps w:val="false"/>
          <w:smallCaps w:val="false"/>
          <w:sz w:val="20"/>
        </w:rPr>
        <w:t xml:space="preserve">February 17, 2025 </w:t>
      </w:r>
      <w:r>
        <w:rPr>
          <w:rFonts w:ascii="Times New Roman" w:hAnsi="Times New Roman"/>
          <w:caps w:val="false"/>
          <w:smallCaps w:val="false"/>
          <w:sz w:val="20"/>
        </w:rPr>
        <w:t xml:space="preserve">if the trailing </w:t>
      </w:r>
      <w:r>
        <w:rPr>
          <w:rStyle w:val="Emphasis"/>
          <w:rFonts w:ascii="Times New Roman" w:hAnsi="Times New Roman"/>
          <w:caps w:val="false"/>
          <w:smallCaps w:val="false"/>
          <w:sz w:val="20"/>
        </w:rPr>
        <w:t>10</w:t>
      </w:r>
      <w:r>
        <w:rPr>
          <w:rFonts w:ascii="Times New Roman" w:hAnsi="Times New Roman"/>
          <w:caps w:val="false"/>
          <w:smallCaps w:val="false"/>
          <w:sz w:val="20"/>
        </w:rPr>
        <w:t>-trading day volume-weighted average price (“VWAP”) of the Company’s common stock, as reported on the Nasdaq Capital Market, exceeds the share price targets below, subject to such executive serving the Company as a director, officer, employee or consultant at such time:</w:t>
      </w:r>
    </w:p>
    <w:p>
      <w:pPr>
        <w:pStyle w:val="TextBody"/>
        <w:spacing w:before="0" w:after="0"/>
        <w:ind w:left="0" w:right="0" w:firstLine="720"/>
        <w:rPr>
          <w:caps w:val="false"/>
          <w:smallCaps w:val="false"/>
        </w:rPr>
      </w:pPr>
      <w:r>
        <w:rPr>
          <w:caps w:val="false"/>
          <w:smallCaps w:val="false"/>
        </w:rPr>
        <w:t> </w:t>
      </w:r>
    </w:p>
    <w:tbl>
      <w:tblPr>
        <w:tblW w:w="9200" w:type="dxa"/>
        <w:jc w:val="left"/>
        <w:tblInd w:w="0" w:type="dxa"/>
        <w:tblCellMar>
          <w:top w:w="0" w:type="dxa"/>
          <w:left w:w="0" w:type="dxa"/>
          <w:bottom w:w="0" w:type="dxa"/>
          <w:right w:w="0" w:type="dxa"/>
        </w:tblCellMar>
      </w:tblPr>
      <w:tblGrid>
        <w:gridCol w:w="2285"/>
        <w:gridCol w:w="60"/>
        <w:gridCol w:w="125"/>
        <w:gridCol w:w="590"/>
        <w:gridCol w:w="185"/>
        <w:gridCol w:w="60"/>
        <w:gridCol w:w="125"/>
        <w:gridCol w:w="590"/>
        <w:gridCol w:w="185"/>
        <w:gridCol w:w="60"/>
        <w:gridCol w:w="125"/>
        <w:gridCol w:w="590"/>
        <w:gridCol w:w="185"/>
        <w:gridCol w:w="60"/>
        <w:gridCol w:w="125"/>
        <w:gridCol w:w="590"/>
        <w:gridCol w:w="185"/>
        <w:gridCol w:w="60"/>
        <w:gridCol w:w="125"/>
        <w:gridCol w:w="590"/>
        <w:gridCol w:w="185"/>
        <w:gridCol w:w="60"/>
        <w:gridCol w:w="91"/>
        <w:gridCol w:w="904"/>
        <w:gridCol w:w="185"/>
        <w:gridCol w:w="60"/>
        <w:gridCol w:w="60"/>
        <w:gridCol w:w="695"/>
        <w:gridCol w:w="60"/>
      </w:tblGrid>
      <w:tr>
        <w:trPr/>
        <w:tc>
          <w:tcPr>
            <w:tcW w:w="22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795" w:type="dxa"/>
            <w:gridSpan w:val="2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Share Price Targets</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2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9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Guaranteed</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5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spacing w:before="0" w:after="283"/>
              <w:rPr/>
            </w:pPr>
            <w:r>
              <w:rPr/>
              <w:t> </w:t>
            </w:r>
          </w:p>
        </w:tc>
      </w:tr>
      <w:tr>
        <w:trPr/>
        <w:tc>
          <w:tcPr>
            <w:tcW w:w="2285"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Executive</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Fonts w:ascii="Times New Roman" w:hAnsi="Times New Roman"/>
                <w:sz w:val="20"/>
              </w:rPr>
              <w:t>6.00</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Fonts w:ascii="Times New Roman" w:hAnsi="Times New Roman"/>
                <w:sz w:val="20"/>
              </w:rPr>
              <w:t>9.00</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Fonts w:ascii="Times New Roman" w:hAnsi="Times New Roman"/>
                <w:sz w:val="20"/>
              </w:rPr>
              <w:t>12.00</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Fonts w:ascii="Times New Roman" w:hAnsi="Times New Roman"/>
                <w:sz w:val="20"/>
              </w:rPr>
              <w:t>15.00</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Fonts w:ascii="Times New Roman" w:hAnsi="Times New Roman"/>
                <w:sz w:val="20"/>
              </w:rPr>
              <w:t>18.00</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9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Price</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5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spacing w:before="0" w:after="283"/>
              <w:rPr/>
            </w:pPr>
            <w:r>
              <w:rPr/>
              <w:t> </w:t>
            </w:r>
          </w:p>
        </w:tc>
      </w:tr>
      <w:tr>
        <w:trPr/>
        <w:tc>
          <w:tcPr>
            <w:tcW w:w="22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Mills Shares Vested</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ind w:left="0" w:right="0" w:hanging="0"/>
              <w:rPr/>
            </w:pPr>
            <w:r>
              <w:rPr/>
              <w:t> </w:t>
            </w:r>
          </w:p>
        </w:tc>
        <w:tc>
          <w:tcPr>
            <w:tcW w:w="590" w:type="dxa"/>
            <w:tcBorders/>
            <w:shd w:fill="auto"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16,667</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ind w:left="0" w:right="0" w:hanging="0"/>
              <w:rPr/>
            </w:pPr>
            <w:r>
              <w:rPr/>
              <w:t> </w:t>
            </w:r>
          </w:p>
        </w:tc>
        <w:tc>
          <w:tcPr>
            <w:tcW w:w="590" w:type="dxa"/>
            <w:tcBorders/>
            <w:shd w:fill="auto"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33,334</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ind w:left="0" w:right="0" w:hanging="0"/>
              <w:rPr/>
            </w:pPr>
            <w:r>
              <w:rPr/>
              <w:t> </w:t>
            </w:r>
          </w:p>
        </w:tc>
        <w:tc>
          <w:tcPr>
            <w:tcW w:w="590" w:type="dxa"/>
            <w:tcBorders/>
            <w:shd w:fill="auto"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50,000</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ind w:left="0" w:right="0" w:hanging="0"/>
              <w:rPr/>
            </w:pPr>
            <w:r>
              <w:rPr/>
              <w:t> </w:t>
            </w:r>
          </w:p>
        </w:tc>
        <w:tc>
          <w:tcPr>
            <w:tcW w:w="590" w:type="dxa"/>
            <w:tcBorders/>
            <w:shd w:fill="auto"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66,667</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ind w:left="0" w:right="0" w:hanging="0"/>
              <w:rPr/>
            </w:pPr>
            <w:r>
              <w:rPr/>
              <w:t> </w:t>
            </w:r>
          </w:p>
        </w:tc>
        <w:tc>
          <w:tcPr>
            <w:tcW w:w="590" w:type="dxa"/>
            <w:tcBorders/>
            <w:shd w:fill="auto"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83,333</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ind w:left="0" w:right="0" w:hanging="0"/>
              <w:rPr/>
            </w:pPr>
            <w:r>
              <w:rPr/>
              <w:t> </w:t>
            </w:r>
          </w:p>
        </w:tc>
        <w:tc>
          <w:tcPr>
            <w:tcW w:w="904" w:type="dxa"/>
            <w:tcBorders/>
            <w:shd w:fill="auto"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83,333</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tcBorders/>
            <w:shd w:fill="auto"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333,334</w:t>
            </w:r>
          </w:p>
        </w:tc>
        <w:tc>
          <w:tcPr>
            <w:tcW w:w="60" w:type="dxa"/>
            <w:tcBorders/>
            <w:shd w:fill="auto"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Logan Shares Vested</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10,000</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20,000</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30,000</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40,000</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50,000</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9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50,000</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200,000</w:t>
            </w:r>
          </w:p>
        </w:tc>
        <w:tc>
          <w:tcPr>
            <w:tcW w:w="60" w:type="dxa"/>
            <w:tcBorders/>
            <w:shd w:fill="CCEEFF" w:val="clear"/>
            <w:vAlign w:val="center"/>
          </w:tcPr>
          <w:p>
            <w:pPr>
              <w:pStyle w:val="TableContents"/>
              <w:spacing w:before="0" w:after="283"/>
              <w:rPr/>
            </w:pPr>
            <w:r>
              <w:rPr/>
              <w:t> </w:t>
            </w:r>
          </w:p>
        </w:tc>
      </w:tr>
      <w:tr>
        <w:trPr/>
        <w:tc>
          <w:tcPr>
            <w:tcW w:w="22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904"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22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Percentage of Shares Vested</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90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“Guaranteed Price” has the meaning ascribed to such term in the Merger Agreement, which means $19.20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exercise price of the New Options is $3.00 per share, which exceeds the closing price of the Company’s common stock on the date of issuance. The New Options are issued from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as amended. An additional 100,000 options with identical market vesting restrictions were issued to non-executives during the year ended </w:t>
      </w:r>
      <w:r>
        <w:rPr>
          <w:rStyle w:val="Emphasis"/>
          <w:rFonts w:ascii="Times New Roman" w:hAnsi="Times New Roman"/>
          <w:caps w:val="false"/>
          <w:smallCaps w:val="false"/>
          <w:sz w:val="20"/>
        </w:rPr>
        <w:t>December 31, 2022.</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fair value of the options on the grant date varied between $0.63 and $1.11 per award as determined using the Monte Carlo model. These values were calculated using the following weighted average assumptions:</w:t>
      </w:r>
    </w:p>
    <w:p>
      <w:pPr>
        <w:pStyle w:val="TextBody"/>
        <w:spacing w:before="0" w:after="0"/>
        <w:ind w:left="0" w:right="0" w:firstLine="720"/>
        <w:rPr>
          <w:caps w:val="false"/>
          <w:smallCaps w:val="false"/>
        </w:rPr>
      </w:pPr>
      <w:r>
        <w:rPr>
          <w:caps w:val="false"/>
          <w:smallCaps w:val="false"/>
        </w:rPr>
        <w:t> </w:t>
      </w:r>
    </w:p>
    <w:tbl>
      <w:tblPr>
        <w:tblW w:w="2940" w:type="dxa"/>
        <w:jc w:val="left"/>
        <w:tblInd w:w="0" w:type="dxa"/>
        <w:tblCellMar>
          <w:top w:w="0" w:type="dxa"/>
          <w:left w:w="0" w:type="dxa"/>
          <w:bottom w:w="0" w:type="dxa"/>
          <w:right w:w="0" w:type="dxa"/>
        </w:tblCellMar>
      </w:tblPr>
      <w:tblGrid>
        <w:gridCol w:w="2045"/>
        <w:gridCol w:w="60"/>
        <w:gridCol w:w="60"/>
        <w:gridCol w:w="590"/>
        <w:gridCol w:w="185"/>
      </w:tblGrid>
      <w:tr>
        <w:trPr/>
        <w:tc>
          <w:tcPr>
            <w:tcW w:w="20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0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2.68</w:t>
            </w:r>
          </w:p>
        </w:tc>
        <w:tc>
          <w:tcPr>
            <w:tcW w:w="185" w:type="dxa"/>
            <w:tcBorders/>
            <w:shd w:fill="FFFFFF" w:val="clear"/>
            <w:vAlign w:val="center"/>
          </w:tcPr>
          <w:p>
            <w:pPr>
              <w:pStyle w:val="TableContents"/>
              <w:spacing w:before="0" w:after="283"/>
              <w:rPr/>
            </w:pPr>
            <w:r>
              <w:rPr/>
              <w:t> </w:t>
            </w:r>
          </w:p>
        </w:tc>
      </w:tr>
      <w:tr>
        <w:trPr/>
        <w:tc>
          <w:tcPr>
            <w:tcW w:w="20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price volatility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123.53</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0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Company evaluated the probability of achieving the share price targets in each tranche based, in part, on work performed by the Company’s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valuation specialist in conjunction with evaluating the equity guarantee contingent liability. As a result of that evaluation of probability, during the year-ended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Company recorded $7 of compensation expense. These awards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vested and are subject to actual share price performance through </w:t>
      </w:r>
      <w:r>
        <w:rPr>
          <w:rStyle w:val="Emphasis"/>
          <w:rFonts w:ascii="Times New Roman" w:hAnsi="Times New Roman"/>
          <w:caps w:val="false"/>
          <w:smallCaps w:val="false"/>
          <w:sz w:val="20"/>
        </w:rPr>
        <w:t xml:space="preserve">February 2025. </w:t>
      </w:r>
      <w:r>
        <w:rPr>
          <w:rFonts w:ascii="Times New Roman" w:hAnsi="Times New Roman"/>
          <w:caps w:val="false"/>
          <w:smallCaps w:val="false"/>
          <w:sz w:val="20"/>
        </w:rPr>
        <w:t xml:space="preserve">Should any target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achieved, any amounts recorded as expense in the Consolidated Statements of Operations related to that tranche would be reversed.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17, 2021, </w:t>
      </w:r>
      <w:r>
        <w:rPr>
          <w:rFonts w:ascii="Times New Roman" w:hAnsi="Times New Roman"/>
          <w:caps w:val="false"/>
          <w:smallCaps w:val="false"/>
          <w:sz w:val="20"/>
        </w:rPr>
        <w:t xml:space="preserve">Creative Realities’ Board of Directors updated its director compensation plan to compensate non-officer directors resulting in the Company granting 10-year options to purchase an aggregate of 85,000 shares of its common stock to non-employee directors of the Company under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(the “Plan”). One-third of the options vested immediately, with the half of the remaining options vesting at each of the first and second anniversaries of the grant date. The options have an exercise price of $6.63, the market value of the Company’s common stock on the grant date. The fair value of the options on the grant date was $5.23 and was determined using the Black-Scholes model. These values were calculated using the following weighted average assumptions:</w:t>
      </w:r>
    </w:p>
    <w:p>
      <w:pPr>
        <w:pStyle w:val="TextBody"/>
        <w:spacing w:before="0" w:after="0"/>
        <w:ind w:left="0" w:right="0" w:hanging="0"/>
        <w:rPr>
          <w:caps w:val="false"/>
          <w:smallCaps w:val="false"/>
        </w:rPr>
      </w:pPr>
      <w:r>
        <w:rPr>
          <w:caps w:val="false"/>
          <w:smallCaps w:val="false"/>
        </w:rPr>
        <w:t> </w:t>
      </w:r>
    </w:p>
    <w:tbl>
      <w:tblPr>
        <w:tblW w:w="2835" w:type="dxa"/>
        <w:jc w:val="left"/>
        <w:tblInd w:w="0" w:type="dxa"/>
        <w:tblCellMar>
          <w:top w:w="0" w:type="dxa"/>
          <w:left w:w="0" w:type="dxa"/>
          <w:bottom w:w="0" w:type="dxa"/>
          <w:right w:w="0" w:type="dxa"/>
        </w:tblCellMar>
      </w:tblPr>
      <w:tblGrid>
        <w:gridCol w:w="2045"/>
        <w:gridCol w:w="60"/>
        <w:gridCol w:w="60"/>
        <w:gridCol w:w="485"/>
        <w:gridCol w:w="185"/>
      </w:tblGrid>
      <w:tr>
        <w:trPr/>
        <w:tc>
          <w:tcPr>
            <w:tcW w:w="20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0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6.25</w:t>
            </w:r>
          </w:p>
        </w:tc>
        <w:tc>
          <w:tcPr>
            <w:tcW w:w="185" w:type="dxa"/>
            <w:tcBorders/>
            <w:shd w:fill="FFFFFF" w:val="clear"/>
            <w:vAlign w:val="center"/>
          </w:tcPr>
          <w:p>
            <w:pPr>
              <w:pStyle w:val="TableContents"/>
              <w:spacing w:before="0" w:after="283"/>
              <w:rPr/>
            </w:pPr>
            <w:r>
              <w:rPr/>
              <w:t> </w:t>
            </w:r>
          </w:p>
        </w:tc>
      </w:tr>
      <w:tr>
        <w:trPr/>
        <w:tc>
          <w:tcPr>
            <w:tcW w:w="20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price volatility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97.78</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0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35</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 2020 </w:t>
      </w:r>
      <w:r>
        <w:rPr>
          <w:rFonts w:ascii="Times New Roman" w:hAnsi="Times New Roman"/>
          <w:caps w:val="false"/>
          <w:smallCaps w:val="false"/>
          <w:sz w:val="20"/>
        </w:rPr>
        <w:t xml:space="preserve">the Board of Directors of the Company granted 10-year options to purchase an aggregate of 526,667 shares of its common stock to employees of the Company subject to shareholder approval of an increase in the reserve of shares authorized for issuance under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(the “Plan”). On </w:t>
      </w:r>
      <w:r>
        <w:rPr>
          <w:rStyle w:val="Emphasis"/>
          <w:rFonts w:ascii="Times New Roman" w:hAnsi="Times New Roman"/>
          <w:caps w:val="false"/>
          <w:smallCaps w:val="false"/>
          <w:sz w:val="20"/>
        </w:rPr>
        <w:t xml:space="preserve">July 10, 2020, </w:t>
      </w:r>
      <w:r>
        <w:rPr>
          <w:rFonts w:ascii="Times New Roman" w:hAnsi="Times New Roman"/>
          <w:caps w:val="false"/>
          <w:smallCaps w:val="false"/>
          <w:sz w:val="20"/>
        </w:rPr>
        <w:t>the Company held a special meeting of the Company’s shareholders at which the shareholders approved the amendment to the Plan, which increased the reserve of shares authorized for issuance thereunder to 2,000,000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options awarded vest over 3 years and have an exercise price of $7.59, the market value of the Company’s common stock on the grant date. The fair value of the options on the grant date was $5.61 and was determined using the Black-Scholes model. These values were calculated using the following weighted average assumptions:</w:t>
      </w:r>
    </w:p>
    <w:p>
      <w:pPr>
        <w:pStyle w:val="TextBody"/>
        <w:spacing w:before="0" w:after="0"/>
        <w:ind w:left="0" w:right="0" w:hanging="0"/>
        <w:rPr>
          <w:caps w:val="false"/>
          <w:smallCaps w:val="false"/>
        </w:rPr>
      </w:pPr>
      <w:r>
        <w:rPr>
          <w:caps w:val="false"/>
          <w:smallCaps w:val="false"/>
        </w:rPr>
        <w:t> </w:t>
      </w:r>
    </w:p>
    <w:tbl>
      <w:tblPr>
        <w:tblW w:w="2835" w:type="dxa"/>
        <w:jc w:val="left"/>
        <w:tblInd w:w="0" w:type="dxa"/>
        <w:tblCellMar>
          <w:top w:w="0" w:type="dxa"/>
          <w:left w:w="0" w:type="dxa"/>
          <w:bottom w:w="0" w:type="dxa"/>
          <w:right w:w="0" w:type="dxa"/>
        </w:tblCellMar>
      </w:tblPr>
      <w:tblGrid>
        <w:gridCol w:w="2045"/>
        <w:gridCol w:w="60"/>
        <w:gridCol w:w="60"/>
        <w:gridCol w:w="485"/>
        <w:gridCol w:w="185"/>
      </w:tblGrid>
      <w:tr>
        <w:trPr/>
        <w:tc>
          <w:tcPr>
            <w:tcW w:w="20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0.66</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0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6.25</w:t>
            </w:r>
          </w:p>
        </w:tc>
        <w:tc>
          <w:tcPr>
            <w:tcW w:w="185" w:type="dxa"/>
            <w:tcBorders/>
            <w:shd w:fill="FFFFFF" w:val="clear"/>
            <w:vAlign w:val="center"/>
          </w:tcPr>
          <w:p>
            <w:pPr>
              <w:pStyle w:val="TableContents"/>
              <w:spacing w:before="0" w:after="283"/>
              <w:rPr/>
            </w:pPr>
            <w:r>
              <w:rPr/>
              <w:t> </w:t>
            </w:r>
          </w:p>
        </w:tc>
      </w:tr>
      <w:tr>
        <w:trPr/>
        <w:tc>
          <w:tcPr>
            <w:tcW w:w="20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price volatility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89.18</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0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36</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Stock Compensation Expense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718</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t>
      </w:r>
      <w:r>
        <w:rPr>
          <w:rFonts w:ascii="Times New Roman" w:hAnsi="Times New Roman"/>
          <w:i/>
          <w:caps w:val="false"/>
          <w:smallCaps w:val="false"/>
          <w:sz w:val="20"/>
        </w:rPr>
        <w:t>Stock Compensation</w:t>
      </w:r>
      <w:r>
        <w:rPr>
          <w:rFonts w:ascii="Times New Roman" w:hAnsi="Times New Roman"/>
          <w:caps w:val="false"/>
          <w:smallCaps w:val="false"/>
          <w:sz w:val="20"/>
        </w:rPr>
        <w:t xml:space="preserve">, requires measurement and recognition of compensation expense for all stock-based payments including warrants, stock options, restricted stock grants and stock bonuses based on estimated fair values. Under the Amended and Restated </w:t>
      </w:r>
      <w:r>
        <w:rPr>
          <w:rStyle w:val="Emphasis"/>
          <w:rFonts w:ascii="Times New Roman" w:hAnsi="Times New Roman"/>
          <w:caps w:val="false"/>
          <w:smallCaps w:val="false"/>
          <w:sz w:val="20"/>
        </w:rPr>
        <w:t>2006</w:t>
      </w:r>
      <w:r>
        <w:rPr>
          <w:rFonts w:ascii="Times New Roman" w:hAnsi="Times New Roman"/>
          <w:caps w:val="false"/>
          <w:smallCaps w:val="false"/>
          <w:sz w:val="20"/>
        </w:rPr>
        <w:t xml:space="preserve"> Equity Incentive Plan, the Company reserved 573,334 shares for purchase by the Company’s employees and under the Amended and Restated </w:t>
      </w:r>
      <w:r>
        <w:rPr>
          <w:rStyle w:val="Emphasis"/>
          <w:rFonts w:ascii="Times New Roman" w:hAnsi="Times New Roman"/>
          <w:caps w:val="false"/>
          <w:smallCaps w:val="false"/>
          <w:sz w:val="20"/>
        </w:rPr>
        <w:t>2006</w:t>
      </w:r>
      <w:r>
        <w:rPr>
          <w:rFonts w:ascii="Times New Roman" w:hAnsi="Times New Roman"/>
          <w:caps w:val="false"/>
          <w:smallCaps w:val="false"/>
          <w:sz w:val="20"/>
        </w:rPr>
        <w:t xml:space="preserve"> Non-Employee Director Stock Option Plan the Company reserved 233,334 shares for purchase by the Company’s employees. There are 4,002 options outstanding under the </w:t>
      </w:r>
      <w:r>
        <w:rPr>
          <w:rStyle w:val="Emphasis"/>
          <w:rFonts w:ascii="Times New Roman" w:hAnsi="Times New Roman"/>
          <w:caps w:val="false"/>
          <w:smallCaps w:val="false"/>
          <w:sz w:val="20"/>
        </w:rPr>
        <w:t>2006</w:t>
      </w:r>
      <w:r>
        <w:rPr>
          <w:rFonts w:ascii="Times New Roman" w:hAnsi="Times New Roman"/>
          <w:caps w:val="false"/>
          <w:smallCaps w:val="false"/>
          <w:sz w:val="20"/>
        </w:rPr>
        <w:t xml:space="preserve"> Equity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2014, </w:t>
      </w:r>
      <w:r>
        <w:rPr>
          <w:rFonts w:ascii="Times New Roman" w:hAnsi="Times New Roman"/>
          <w:caps w:val="false"/>
          <w:smallCaps w:val="false"/>
          <w:sz w:val="20"/>
        </w:rPr>
        <w:t xml:space="preserve">the Company’s shareholders approved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under which 7,390,355 shares were reserved for purchase by the Company’s employees. In </w:t>
      </w:r>
      <w:r>
        <w:rPr>
          <w:rStyle w:val="Emphasis"/>
          <w:rFonts w:ascii="Times New Roman" w:hAnsi="Times New Roman"/>
          <w:caps w:val="false"/>
          <w:smallCaps w:val="false"/>
          <w:sz w:val="20"/>
        </w:rPr>
        <w:t xml:space="preserve">August 2018, </w:t>
      </w:r>
      <w:r>
        <w:rPr>
          <w:rFonts w:ascii="Times New Roman" w:hAnsi="Times New Roman"/>
          <w:caps w:val="false"/>
          <w:smallCaps w:val="false"/>
          <w:sz w:val="20"/>
        </w:rPr>
        <w:t xml:space="preserve">a special meeting of shareholders was held in which the shareholders voted to amend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to increase the reserve of shares authorized for issuance thereunder, from 7,390,355 shares to 18,000,000 shares. Following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-for-30 reverse stock split, the shares authorized for issuance under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was reduced to 600,000. On </w:t>
      </w:r>
      <w:r>
        <w:rPr>
          <w:rStyle w:val="Emphasis"/>
          <w:rFonts w:ascii="Times New Roman" w:hAnsi="Times New Roman"/>
          <w:caps w:val="false"/>
          <w:smallCaps w:val="false"/>
          <w:sz w:val="20"/>
        </w:rPr>
        <w:t xml:space="preserve">July 10, 2020, </w:t>
      </w:r>
      <w:r>
        <w:rPr>
          <w:rFonts w:ascii="Times New Roman" w:hAnsi="Times New Roman"/>
          <w:caps w:val="false"/>
          <w:smallCaps w:val="false"/>
          <w:sz w:val="20"/>
        </w:rPr>
        <w:t xml:space="preserve">the Company’s shareholders approved an amendment to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to increase the reserve of authorized for issuance thereunder to 6,000,000.  Following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-for-3 reverse stock split, the shares authorized for issuance under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 was reduced to 2,000,000. There are 1,532,242 options outstanding under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Stock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Employee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Compensation expense recognized for the issuance of stock options to employees for the years ended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of $1,689 and $1,494, respectively, was included in general and administrative expense in the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there was approximately $843 and $1,360 of total unrecognized compensation expense related to unvested share-based awards with time vesting and performance vesting criteria for employees, respectively. Generally, expense related to the time vesting options will be recognized over the next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one</w:t>
      </w:r>
      <w:r>
        <w:rPr>
          <w:rFonts w:ascii="Times New Roman" w:hAnsi="Times New Roman"/>
          <w:caps w:val="false"/>
          <w:smallCaps w:val="false"/>
          <w:sz w:val="20"/>
        </w:rPr>
        <w:t>-half years and will be adjusted for any future forfeitures as they occur. Compensation expense related to performance vesting options will be recognized if it becomes probable that the Company will achieve the identified performance metrics.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Non-Employee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Compensation expense recognized for the issuance of stock options, including those options awarded to our Board of Directors, for the years ended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of $198 and $398, respectively, was included in general and administrative expense in the Consolidated Financial Statements. At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there was approximately $62 of total unrecognized compensation expense related to unvested share-based awards with time vesting criteria for non-employee directors. Generally, expense related to the time vesting options will be recognized over the next two- years and will be adjusted for any future forfeitures as they occur.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Company engages certain consultants to perform services in exchange for Company common stock. Shares issued for services were calculated based on the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day volume weighted average price (“VWAP”) for the last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w:t>
      </w:r>
      <w:r>
        <w:rPr>
          <w:rFonts w:ascii="Times New Roman" w:hAnsi="Times New Roman"/>
          <w:caps w:val="false"/>
          <w:smallCaps w:val="false"/>
          <w:sz w:val="20"/>
        </w:rPr>
        <w:t>) days during the month of service provided.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Company issued or accrued shares issuable in exchange for services in the amount of $125. $15 of the compensation expense was recorded as capitalized software.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F-37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pPr>
      <w:bookmarkStart w:id="52" w:name="note14"/>
      <w:bookmarkEnd w:id="52"/>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14:</w:t>
      </w:r>
      <w:r>
        <w:rPr>
          <w:rFonts w:ascii="Times New Roman" w:hAnsi="Times New Roman"/>
          <w:b/>
          <w:caps w:val="false"/>
          <w:smallCaps w:val="false"/>
          <w:sz w:val="20"/>
          <w:u w:val="single"/>
        </w:rPr>
        <w:t xml:space="preserve"> LEASES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Company's lease portfolio is primarily comprised of operating leases for offices. At the inception of an arrangement, the Company determines whether the arrangement is or contains a lease based on whether the contract conveys the right to control the use of identified property or equipment for a period of time in exchange for consideration.  Leases are classified as operating or finance leases at the commencement date of the lease.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Operating lease right of use assets and obligations are recognized within the Consolidated Balance Sheets based on the present value of lease payments over the lease term.  As the implicit rate is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determinable for most leases, the Company uses an incremental borrowing rate based on the information available at commencement date in determining the present value of lease payments.  The incremental borrowing rate reflects the estimated rate of interest that the Company would pay to borrow on a collateralized basis over a similar term in a similar economic environment.  Lease expense for operating leases is recognized on a straight-line basis over the lease term.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Leases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options to renew.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assume renewals in our determination of the lease term unless the renewals are deemed to be reasonably assured at lease commencement. Our lease agreements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any material residual value guarantees or material restrictive covenants.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For the year-ended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recognized $579 and $379, respectively, of operating lease expense.  Operating lease expense is recognized within general and administrative expenses in the Consolidated Statements of Operations.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following table provides lease term and discount rate information related to operating leases as of </w:t>
      </w:r>
      <w:r>
        <w:rPr>
          <w:rStyle w:val="Emphasis"/>
          <w:rFonts w:ascii="Times New Roman" w:hAnsi="Times New Roman"/>
          <w:caps w:val="false"/>
          <w:smallCaps w:val="false"/>
          <w:sz w:val="20"/>
        </w:rPr>
        <w:t>December 31, 2022:</w:t>
      </w:r>
    </w:p>
    <w:p>
      <w:pPr>
        <w:pStyle w:val="TextBody"/>
        <w:spacing w:before="0" w:after="0"/>
        <w:ind w:left="0" w:right="0" w:hanging="0"/>
        <w:rPr>
          <w:caps w:val="false"/>
          <w:smallCaps w:val="false"/>
        </w:rPr>
      </w:pPr>
      <w:r>
        <w:rPr>
          <w:caps w:val="false"/>
          <w:smallCaps w:val="false"/>
        </w:rPr>
        <w:t> </w:t>
      </w:r>
    </w:p>
    <w:tbl>
      <w:tblPr>
        <w:tblW w:w="6233" w:type="dxa"/>
        <w:jc w:val="left"/>
        <w:tblInd w:w="0" w:type="dxa"/>
        <w:tblCellMar>
          <w:top w:w="0" w:type="dxa"/>
          <w:left w:w="0" w:type="dxa"/>
          <w:bottom w:w="0" w:type="dxa"/>
          <w:right w:w="0" w:type="dxa"/>
        </w:tblCellMar>
      </w:tblPr>
      <w:tblGrid>
        <w:gridCol w:w="3455"/>
        <w:gridCol w:w="60"/>
        <w:gridCol w:w="155"/>
        <w:gridCol w:w="989"/>
        <w:gridCol w:w="185"/>
        <w:gridCol w:w="60"/>
        <w:gridCol w:w="155"/>
        <w:gridCol w:w="989"/>
        <w:gridCol w:w="185"/>
      </w:tblGrid>
      <w:tr>
        <w:trPr/>
        <w:tc>
          <w:tcPr>
            <w:tcW w:w="34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w:t>
            </w:r>
          </w:p>
        </w:tc>
        <w:tc>
          <w:tcPr>
            <w:tcW w:w="185" w:type="dxa"/>
            <w:tcBorders/>
            <w:shd w:fill="FFFFFF" w:val="clear"/>
            <w:vAlign w:val="center"/>
          </w:tcPr>
          <w:p>
            <w:pPr>
              <w:pStyle w:val="TableContents"/>
              <w:spacing w:before="0" w:after="283"/>
              <w:rPr/>
            </w:pPr>
            <w:r>
              <w:rPr/>
              <w:t> </w:t>
            </w:r>
          </w:p>
        </w:tc>
      </w:tr>
      <w:tr>
        <w:trPr/>
        <w:tc>
          <w:tcPr>
            <w:tcW w:w="34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185" w:type="dxa"/>
            <w:tcBorders/>
            <w:shd w:fill="FFFFFF" w:val="clear"/>
            <w:vAlign w:val="center"/>
          </w:tcPr>
          <w:p>
            <w:pPr>
              <w:pStyle w:val="TableContents"/>
              <w:spacing w:before="0" w:after="283"/>
              <w:rPr/>
            </w:pPr>
            <w:r>
              <w:rPr/>
              <w:t> </w:t>
            </w:r>
          </w:p>
        </w:tc>
      </w:tr>
      <w:tr>
        <w:trPr/>
        <w:tc>
          <w:tcPr>
            <w:tcW w:w="3455"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 thousands)</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185" w:type="dxa"/>
            <w:tcBorders/>
            <w:shd w:fill="FFFFFF" w:val="clear"/>
            <w:vAlign w:val="center"/>
          </w:tcPr>
          <w:p>
            <w:pPr>
              <w:pStyle w:val="TableContents"/>
              <w:spacing w:before="0" w:after="283"/>
              <w:rPr/>
            </w:pPr>
            <w:r>
              <w:rPr/>
              <w:t> </w:t>
            </w:r>
          </w:p>
        </w:tc>
      </w:tr>
      <w:tr>
        <w:trPr/>
        <w:tc>
          <w:tcPr>
            <w:tcW w:w="34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Weighted Average Remaining Lease Term</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989"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989"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45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Operating leases (in years)</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ind w:left="0" w:right="0" w:hanging="0"/>
              <w:rPr/>
            </w:pPr>
            <w:r>
              <w:rPr/>
              <w:t> </w:t>
            </w:r>
          </w:p>
        </w:tc>
        <w:tc>
          <w:tcPr>
            <w:tcW w:w="98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ind w:left="0" w:right="0" w:hanging="0"/>
              <w:rPr/>
            </w:pPr>
            <w:r>
              <w:rPr/>
              <w:t> </w:t>
            </w:r>
          </w:p>
        </w:tc>
        <w:tc>
          <w:tcPr>
            <w:tcW w:w="98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185" w:type="dxa"/>
            <w:tcBorders/>
            <w:shd w:fill="FFFFFF" w:val="clear"/>
            <w:vAlign w:val="center"/>
          </w:tcPr>
          <w:p>
            <w:pPr>
              <w:pStyle w:val="TableContents"/>
              <w:spacing w:before="0" w:after="283"/>
              <w:rPr/>
            </w:pPr>
            <w:r>
              <w:rPr/>
              <w:t> </w:t>
            </w:r>
          </w:p>
        </w:tc>
      </w:tr>
      <w:tr>
        <w:trPr/>
        <w:tc>
          <w:tcPr>
            <w:tcW w:w="34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989"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989"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4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Weighted Average Discount Rate</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989"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989"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r>
      <w:tr>
        <w:trPr/>
        <w:tc>
          <w:tcPr>
            <w:tcW w:w="345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ind w:left="0" w:right="0" w:hanging="0"/>
              <w:rPr/>
            </w:pPr>
            <w:r>
              <w:rPr/>
              <w:t> </w:t>
            </w:r>
          </w:p>
        </w:tc>
        <w:tc>
          <w:tcPr>
            <w:tcW w:w="9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ind w:left="0" w:right="0" w:hanging="0"/>
              <w:rPr/>
            </w:pPr>
            <w:r>
              <w:rPr/>
              <w:t> </w:t>
            </w:r>
          </w:p>
        </w:tc>
        <w:tc>
          <w:tcPr>
            <w:tcW w:w="9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following table sets forth the scheduled maturities of lease obligations as of </w:t>
      </w:r>
      <w:r>
        <w:rPr>
          <w:rStyle w:val="Emphasis"/>
          <w:rFonts w:ascii="Times New Roman" w:hAnsi="Times New Roman"/>
          <w:caps w:val="false"/>
          <w:smallCaps w:val="false"/>
          <w:sz w:val="20"/>
        </w:rPr>
        <w:t>December 31, 2022:</w:t>
      </w:r>
    </w:p>
    <w:p>
      <w:pPr>
        <w:pStyle w:val="TextBody"/>
        <w:spacing w:before="0" w:after="0"/>
        <w:ind w:left="0" w:right="0" w:hanging="0"/>
        <w:rPr>
          <w:caps w:val="false"/>
          <w:smallCaps w:val="false"/>
        </w:rPr>
      </w:pPr>
      <w:r>
        <w:rPr>
          <w:caps w:val="false"/>
          <w:smallCaps w:val="false"/>
        </w:rPr>
        <w:t> </w:t>
      </w:r>
    </w:p>
    <w:tbl>
      <w:tblPr>
        <w:tblW w:w="4710" w:type="dxa"/>
        <w:jc w:val="left"/>
        <w:tblInd w:w="0" w:type="dxa"/>
        <w:tblCellMar>
          <w:top w:w="0" w:type="dxa"/>
          <w:left w:w="0" w:type="dxa"/>
          <w:bottom w:w="0" w:type="dxa"/>
          <w:right w:w="0" w:type="dxa"/>
        </w:tblCellMar>
      </w:tblPr>
      <w:tblGrid>
        <w:gridCol w:w="3710"/>
        <w:gridCol w:w="60"/>
        <w:gridCol w:w="176"/>
        <w:gridCol w:w="684"/>
        <w:gridCol w:w="80"/>
      </w:tblGrid>
      <w:tr>
        <w:trPr/>
        <w:tc>
          <w:tcPr>
            <w:tcW w:w="37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Operating</w:t>
            </w:r>
          </w:p>
        </w:tc>
        <w:tc>
          <w:tcPr>
            <w:tcW w:w="80" w:type="dxa"/>
            <w:tcBorders/>
            <w:shd w:fill="FFFFFF" w:val="clear"/>
            <w:vAlign w:val="center"/>
          </w:tcPr>
          <w:p>
            <w:pPr>
              <w:pStyle w:val="TableContents"/>
              <w:spacing w:before="0" w:after="283"/>
              <w:rPr/>
            </w:pPr>
            <w:r>
              <w:rPr/>
              <w:t> </w:t>
            </w:r>
          </w:p>
        </w:tc>
      </w:tr>
      <w:tr>
        <w:trPr/>
        <w:tc>
          <w:tcPr>
            <w:tcW w:w="3710"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 thousands)</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Leases</w:t>
            </w:r>
          </w:p>
        </w:tc>
        <w:tc>
          <w:tcPr>
            <w:tcW w:w="8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755</w:t>
            </w:r>
          </w:p>
        </w:tc>
        <w:tc>
          <w:tcPr>
            <w:tcW w:w="80" w:type="dxa"/>
            <w:tcBorders/>
            <w:shd w:fill="CCEE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ind w:left="0" w:right="0" w:hanging="0"/>
              <w:rPr/>
            </w:pPr>
            <w:r>
              <w:rPr/>
              <w:t> </w:t>
            </w:r>
          </w:p>
        </w:tc>
        <w:tc>
          <w:tcPr>
            <w:tcW w:w="68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459</w:t>
            </w:r>
          </w:p>
        </w:tc>
        <w:tc>
          <w:tcPr>
            <w:tcW w:w="8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ind w:left="0" w:right="0" w:hanging="0"/>
              <w:rPr/>
            </w:pPr>
            <w:r>
              <w:rPr/>
              <w:t> </w:t>
            </w:r>
          </w:p>
        </w:tc>
        <w:tc>
          <w:tcPr>
            <w:tcW w:w="6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455</w:t>
            </w:r>
          </w:p>
        </w:tc>
        <w:tc>
          <w:tcPr>
            <w:tcW w:w="80" w:type="dxa"/>
            <w:tcBorders/>
            <w:shd w:fill="CCEE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spacing w:before="0" w:after="283"/>
              <w:ind w:left="0" w:right="0" w:hanging="0"/>
              <w:rPr/>
            </w:pPr>
            <w:r>
              <w:rPr/>
              <w:t> </w:t>
            </w:r>
          </w:p>
        </w:tc>
        <w:tc>
          <w:tcPr>
            <w:tcW w:w="176" w:type="dxa"/>
            <w:tcBorders/>
            <w:shd w:fill="FFFFFF" w:val="clear"/>
            <w:vAlign w:val="center"/>
          </w:tcPr>
          <w:p>
            <w:pPr>
              <w:pStyle w:val="TableContents"/>
              <w:spacing w:before="0" w:after="283"/>
              <w:ind w:left="0" w:right="0" w:hanging="0"/>
              <w:rPr/>
            </w:pPr>
            <w:r>
              <w:rPr/>
              <w:t> </w:t>
            </w:r>
          </w:p>
        </w:tc>
        <w:tc>
          <w:tcPr>
            <w:tcW w:w="68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w:t>
            </w:r>
          </w:p>
        </w:tc>
        <w:tc>
          <w:tcPr>
            <w:tcW w:w="8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2027</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68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86</w:t>
            </w:r>
          </w:p>
        </w:tc>
        <w:tc>
          <w:tcPr>
            <w:tcW w:w="80" w:type="dxa"/>
            <w:tcBorders/>
            <w:shd w:fill="CCEE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undiscounted cash flows</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ind w:left="0" w:right="0" w:hanging="0"/>
              <w:rPr/>
            </w:pPr>
            <w:r>
              <w:rPr/>
              <w:t> </w:t>
            </w:r>
          </w:p>
        </w:tc>
        <w:tc>
          <w:tcPr>
            <w:tcW w:w="68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1,867</w:t>
            </w:r>
          </w:p>
        </w:tc>
        <w:tc>
          <w:tcPr>
            <w:tcW w:w="8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CCEEFF" w:val="clear"/>
            <w:vAlign w:val="center"/>
          </w:tcPr>
          <w:p>
            <w:pPr>
              <w:pStyle w:val="TableContents"/>
              <w:spacing w:before="0" w:after="283"/>
              <w:rPr/>
            </w:pPr>
            <w:r>
              <w:rPr/>
              <w:t> </w:t>
            </w:r>
          </w:p>
        </w:tc>
        <w:tc>
          <w:tcPr>
            <w:tcW w:w="17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8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Present value of lease liabilities</w:t>
            </w:r>
          </w:p>
        </w:tc>
        <w:tc>
          <w:tcPr>
            <w:tcW w:w="60" w:type="dxa"/>
            <w:tcBorders/>
            <w:shd w:fill="FFFFFF" w:val="clear"/>
            <w:vAlign w:val="center"/>
          </w:tcPr>
          <w:p>
            <w:pPr>
              <w:pStyle w:val="TableContents"/>
              <w:spacing w:before="0" w:after="283"/>
              <w:rPr/>
            </w:pPr>
            <w:r>
              <w:rPr/>
              <w:t> </w:t>
            </w:r>
          </w:p>
        </w:tc>
        <w:tc>
          <w:tcPr>
            <w:tcW w:w="176"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8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1,584</w:t>
            </w:r>
          </w:p>
        </w:tc>
        <w:tc>
          <w:tcPr>
            <w:tcW w:w="8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684"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 maturities of operating leases</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ind w:left="0" w:right="0" w:hanging="0"/>
              <w:rPr/>
            </w:pPr>
            <w:r>
              <w:rPr/>
              <w:t> </w:t>
            </w:r>
          </w:p>
        </w:tc>
        <w:tc>
          <w:tcPr>
            <w:tcW w:w="68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711</w:t>
            </w:r>
          </w:p>
        </w:tc>
        <w:tc>
          <w:tcPr>
            <w:tcW w:w="8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Long-term obligations under operating leases</w:t>
            </w:r>
          </w:p>
        </w:tc>
        <w:tc>
          <w:tcPr>
            <w:tcW w:w="60" w:type="dxa"/>
            <w:tcBorders/>
            <w:shd w:fill="CCEEFF" w:val="clear"/>
            <w:vAlign w:val="center"/>
          </w:tcPr>
          <w:p>
            <w:pPr>
              <w:pStyle w:val="TableContents"/>
              <w:spacing w:before="0" w:after="283"/>
              <w:rPr/>
            </w:pPr>
            <w:r>
              <w:rPr/>
              <w:t> </w:t>
            </w:r>
          </w:p>
        </w:tc>
        <w:tc>
          <w:tcPr>
            <w:tcW w:w="17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8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873</w:t>
            </w:r>
          </w:p>
        </w:tc>
        <w:tc>
          <w:tcPr>
            <w:tcW w:w="80" w:type="dxa"/>
            <w:tcBorders/>
            <w:shd w:fill="CCEE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Present value of lease liabilities</w:t>
            </w:r>
          </w:p>
        </w:tc>
        <w:tc>
          <w:tcPr>
            <w:tcW w:w="60" w:type="dxa"/>
            <w:tcBorders/>
            <w:shd w:fill="FFFFFF" w:val="clear"/>
            <w:vAlign w:val="center"/>
          </w:tcPr>
          <w:p>
            <w:pPr>
              <w:pStyle w:val="TableContents"/>
              <w:spacing w:before="0" w:after="283"/>
              <w:ind w:left="0" w:right="0" w:hanging="0"/>
              <w:rPr/>
            </w:pPr>
            <w:r>
              <w:rPr/>
              <w:t> </w:t>
            </w:r>
          </w:p>
        </w:tc>
        <w:tc>
          <w:tcPr>
            <w:tcW w:w="17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1,584</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Fonts w:ascii="Times New Roman" w:hAnsi="Times New Roman"/>
          <w:sz w:val="20"/>
        </w:rPr>
        <w:t xml:space="preserve">F- </w:t>
      </w:r>
      <w:r>
        <w:rPr>
          <w:rStyle w:val="Emphasis"/>
          <w:rFonts w:ascii="Times New Roman" w:hAnsi="Times New Roman"/>
          <w:sz w:val="20"/>
        </w:rPr>
        <w:t>38</w:t>
      </w:r>
      <w:r>
        <w:rPr>
          <w:rFonts w:ascii="Times New Roman" w:hAnsi="Times New Roman"/>
          <w:sz w:val="20"/>
        </w:rPr>
        <w:t xml:space="preserve">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720"/>
        <w:rPr/>
      </w:pPr>
      <w:r>
        <w:rPr>
          <w:rFonts w:ascii="Times New Roman" w:hAnsi="Times New Roman"/>
          <w:caps w:val="false"/>
          <w:smallCaps w:val="false"/>
          <w:sz w:val="20"/>
        </w:rPr>
        <w:t xml:space="preserve">The following table provides supplemental information related to the Company's Consolidated Statements of Cash Flows for the years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p>
    <w:p>
      <w:pPr>
        <w:pStyle w:val="TextBody"/>
        <w:spacing w:before="0" w:after="0"/>
        <w:ind w:left="0" w:right="0" w:hanging="0"/>
        <w:jc w:val="left"/>
        <w:rPr/>
      </w:pPr>
      <w:r>
        <w:rPr/>
        <w:t> </w:t>
      </w:r>
    </w:p>
    <w:tbl>
      <w:tblPr>
        <w:tblW w:w="8293" w:type="dxa"/>
        <w:jc w:val="left"/>
        <w:tblInd w:w="0" w:type="dxa"/>
        <w:tblCellMar>
          <w:top w:w="0" w:type="dxa"/>
          <w:left w:w="0" w:type="dxa"/>
          <w:bottom w:w="0" w:type="dxa"/>
          <w:right w:w="0" w:type="dxa"/>
        </w:tblCellMar>
      </w:tblPr>
      <w:tblGrid>
        <w:gridCol w:w="5765"/>
        <w:gridCol w:w="60"/>
        <w:gridCol w:w="311"/>
        <w:gridCol w:w="833"/>
        <w:gridCol w:w="60"/>
        <w:gridCol w:w="60"/>
        <w:gridCol w:w="311"/>
        <w:gridCol w:w="833"/>
        <w:gridCol w:w="60"/>
      </w:tblGrid>
      <w:tr>
        <w:trPr/>
        <w:tc>
          <w:tcPr>
            <w:tcW w:w="57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w:t>
            </w:r>
          </w:p>
        </w:tc>
        <w:tc>
          <w:tcPr>
            <w:tcW w:w="60" w:type="dxa"/>
            <w:tcBorders/>
            <w:shd w:fill="FFFFFF" w:val="clear"/>
            <w:vAlign w:val="center"/>
          </w:tcPr>
          <w:p>
            <w:pPr>
              <w:pStyle w:val="TableContents"/>
              <w:spacing w:before="0" w:after="283"/>
              <w:rPr/>
            </w:pPr>
            <w:r>
              <w:rPr/>
              <w:t> </w:t>
            </w:r>
          </w:p>
        </w:tc>
      </w:tr>
      <w:tr>
        <w:trPr/>
        <w:tc>
          <w:tcPr>
            <w:tcW w:w="57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5765"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 thousands)</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r>
      <w:tr>
        <w:trPr/>
        <w:tc>
          <w:tcPr>
            <w:tcW w:w="57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paid for amounts included in the measurement of lease liabilities:</w:t>
            </w:r>
          </w:p>
        </w:tc>
        <w:tc>
          <w:tcPr>
            <w:tcW w:w="60"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283"/>
              <w:rPr/>
            </w:pPr>
            <w:r>
              <w:rPr/>
              <w:t> </w:t>
            </w:r>
          </w:p>
        </w:tc>
        <w:tc>
          <w:tcPr>
            <w:tcW w:w="8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283"/>
              <w:rPr/>
            </w:pPr>
            <w:r>
              <w:rPr/>
              <w:t> </w:t>
            </w:r>
          </w:p>
        </w:tc>
        <w:tc>
          <w:tcPr>
            <w:tcW w:w="83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576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Operating cash flows from operating leases</w:t>
            </w:r>
          </w:p>
        </w:tc>
        <w:tc>
          <w:tcPr>
            <w:tcW w:w="60" w:type="dxa"/>
            <w:tcBorders/>
            <w:shd w:fill="CCEEFF" w:val="clear"/>
            <w:vAlign w:val="center"/>
          </w:tcPr>
          <w:p>
            <w:pPr>
              <w:pStyle w:val="TableContents"/>
              <w:spacing w:before="0" w:after="283"/>
              <w:ind w:left="0" w:right="0" w:hanging="0"/>
              <w:rPr/>
            </w:pPr>
            <w:r>
              <w:rPr/>
              <w:t> </w:t>
            </w:r>
          </w:p>
        </w:tc>
        <w:tc>
          <w:tcPr>
            <w:tcW w:w="31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1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383</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bookmarkStart w:id="53" w:name="note15"/>
      <w:bookmarkEnd w:id="53"/>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15:</w:t>
      </w:r>
      <w:r>
        <w:rPr>
          <w:rFonts w:ascii="Times New Roman" w:hAnsi="Times New Roman"/>
          <w:b/>
          <w:caps w:val="false"/>
          <w:smallCaps w:val="false"/>
          <w:sz w:val="20"/>
          <w:u w:val="single"/>
        </w:rPr>
        <w:t xml:space="preserve"> PROFIT-SHARING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We have a defined contribution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retirement plans for eligible associates in the United States. Associates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contribute up to 15% of their pretax compensation to the plan subject to IRS limitations. Beginning on </w:t>
      </w:r>
      <w:r>
        <w:rPr>
          <w:rStyle w:val="Emphasis"/>
          <w:rFonts w:ascii="Times New Roman" w:hAnsi="Times New Roman"/>
          <w:caps w:val="false"/>
          <w:smallCaps w:val="false"/>
          <w:sz w:val="20"/>
        </w:rPr>
        <w:t xml:space="preserve">April 1, 2018, </w:t>
      </w:r>
      <w:r>
        <w:rPr>
          <w:rFonts w:ascii="Times New Roman" w:hAnsi="Times New Roman"/>
          <w:caps w:val="false"/>
          <w:smallCaps w:val="false"/>
          <w:sz w:val="20"/>
        </w:rPr>
        <w:t xml:space="preserve">the Company began contributing an employer contribution match of 50% of employee wages up to 6%, for an effective match of 3%. The Company indefinitely suspended the employer match at the end of </w:t>
      </w:r>
      <w:r>
        <w:rPr>
          <w:rStyle w:val="Emphasis"/>
          <w:rFonts w:ascii="Times New Roman" w:hAnsi="Times New Roman"/>
          <w:caps w:val="false"/>
          <w:smallCaps w:val="false"/>
          <w:sz w:val="20"/>
        </w:rPr>
        <w:t xml:space="preserve">March 2020 </w:t>
      </w:r>
      <w:r>
        <w:rPr>
          <w:rFonts w:ascii="Times New Roman" w:hAnsi="Times New Roman"/>
          <w:caps w:val="false"/>
          <w:smallCaps w:val="false"/>
          <w:sz w:val="20"/>
        </w:rPr>
        <w:t>in response to the uncertainty of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pandemic and reinstated the employer match in </w:t>
      </w:r>
      <w:r>
        <w:rPr>
          <w:rStyle w:val="Emphasis"/>
          <w:rFonts w:ascii="Times New Roman" w:hAnsi="Times New Roman"/>
          <w:caps w:val="false"/>
          <w:smallCaps w:val="false"/>
          <w:sz w:val="20"/>
        </w:rPr>
        <w:t>October 2021.</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We have a Registered Retirement Savings Plan for eligible associates in Canada. Associates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contribute up to 18% of earned income reported on their tax return in the previous year, subject to legal contribution limits. Beginning on </w:t>
      </w:r>
      <w:r>
        <w:rPr>
          <w:rStyle w:val="Emphasis"/>
          <w:rFonts w:ascii="Times New Roman" w:hAnsi="Times New Roman"/>
          <w:caps w:val="false"/>
          <w:smallCaps w:val="false"/>
          <w:sz w:val="20"/>
        </w:rPr>
        <w:t xml:space="preserve">April 1, 2018, </w:t>
      </w:r>
      <w:r>
        <w:rPr>
          <w:rFonts w:ascii="Times New Roman" w:hAnsi="Times New Roman"/>
          <w:caps w:val="false"/>
          <w:smallCaps w:val="false"/>
          <w:sz w:val="20"/>
        </w:rPr>
        <w:t xml:space="preserve">the Company began contributing an employer contribution match of 50% of employee wages up to 6%, for an effective match of 3%. The Company indefinitely suspended the employer match at the end of </w:t>
      </w:r>
      <w:r>
        <w:rPr>
          <w:rStyle w:val="Emphasis"/>
          <w:rFonts w:ascii="Times New Roman" w:hAnsi="Times New Roman"/>
          <w:caps w:val="false"/>
          <w:smallCaps w:val="false"/>
          <w:sz w:val="20"/>
        </w:rPr>
        <w:t xml:space="preserve">March 2020 </w:t>
      </w:r>
      <w:r>
        <w:rPr>
          <w:rFonts w:ascii="Times New Roman" w:hAnsi="Times New Roman"/>
          <w:caps w:val="false"/>
          <w:smallCaps w:val="false"/>
          <w:sz w:val="20"/>
        </w:rPr>
        <w:t>in response to the uncertainty of the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pandemic and reinstated the employer match in </w:t>
      </w:r>
      <w:r>
        <w:rPr>
          <w:rStyle w:val="Emphasis"/>
          <w:rFonts w:ascii="Times New Roman" w:hAnsi="Times New Roman"/>
          <w:caps w:val="false"/>
          <w:smallCaps w:val="false"/>
          <w:sz w:val="20"/>
        </w:rPr>
        <w:t>October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Company contributed $142 and $19 to employee retirement plans for the year-ended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spacing w:before="0" w:after="0"/>
        <w:ind w:left="0" w:right="0" w:firstLine="72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bookmarkStart w:id="54" w:name="note16"/>
      <w:bookmarkEnd w:id="54"/>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16:</w:t>
      </w:r>
      <w:r>
        <w:rPr>
          <w:rFonts w:ascii="Times New Roman" w:hAnsi="Times New Roman"/>
          <w:b/>
          <w:caps w:val="false"/>
          <w:smallCaps w:val="false"/>
          <w:sz w:val="20"/>
          <w:u w:val="single"/>
        </w:rPr>
        <w:t xml:space="preserve"> SEGMENT INFORMATION AND SIGNIFICANT CUSTOMERS/VENDORS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Segment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We currently operate in one reportable segment, marketing technology solutions. Substantially all property and equipment is located at our offices in the United States, and a data center located in the United States. All material sales for the years ended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were in the United States and Canada.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 xml:space="preserve">Significant Customers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We had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(3) and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(2) customers that accounted for 44.0% and 41.1% of revenue for the years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We had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(3) and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(2) customers that in the aggregate accounted for 49.2% and 56.6% of accounts receivable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 xml:space="preserve">Significant Vendors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We had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(1)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(3) vendors that accounted for 30.1% and 69.1% of outstanding accounts payable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respectively.</w:t>
      </w:r>
    </w:p>
    <w:p>
      <w:pPr>
        <w:pStyle w:val="TextBody"/>
        <w:spacing w:before="0" w:after="0"/>
        <w:ind w:left="0" w:right="0" w:hanging="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F-39 </w:t>
      </w:r>
    </w:p>
    <w:p>
      <w:pPr>
        <w:pStyle w:val="HorizontalLine"/>
        <w:rPr/>
      </w:pPr>
      <w:r>
        <w:rPr/>
      </w:r>
    </w:p>
    <w:p>
      <w:pPr>
        <w:pStyle w:val="TextBody"/>
        <w:spacing w:before="0" w:after="0"/>
        <w:rPr/>
      </w:pPr>
      <w:r>
        <w:rPr/>
        <w:t xml:space="preserve">  </w:t>
      </w:r>
    </w:p>
    <w:p>
      <w:pPr>
        <w:pStyle w:val="TextBody"/>
        <w:spacing w:before="0" w:after="0"/>
        <w:rPr/>
      </w:pPr>
      <w:r>
        <w:rPr/>
        <w:t xml:space="preserve">  </w:t>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pPr>
      <w:bookmarkStart w:id="55" w:name="note17"/>
      <w:bookmarkEnd w:id="55"/>
      <w:r>
        <w:rPr>
          <w:rFonts w:ascii="Times New Roman" w:hAnsi="Times New Roman"/>
          <w:b/>
          <w:caps w:val="false"/>
          <w:smallCaps w:val="false"/>
          <w:sz w:val="20"/>
          <w:u w:val="single"/>
        </w:rPr>
        <w:t xml:space="preserve">NOTE </w:t>
      </w:r>
      <w:r>
        <w:rPr>
          <w:rStyle w:val="Emphasis"/>
          <w:rFonts w:ascii="Times New Roman" w:hAnsi="Times New Roman"/>
          <w:b/>
          <w:caps w:val="false"/>
          <w:smallCaps w:val="false"/>
          <w:sz w:val="20"/>
          <w:u w:val="single"/>
        </w:rPr>
        <w:t>17:</w:t>
      </w:r>
      <w:r>
        <w:rPr>
          <w:rFonts w:ascii="Times New Roman" w:hAnsi="Times New Roman"/>
          <w:b/>
          <w:caps w:val="false"/>
          <w:smallCaps w:val="false"/>
          <w:sz w:val="20"/>
          <w:u w:val="single"/>
        </w:rPr>
        <w:t xml:space="preserve"> SUBSEQUENT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Second Amendment to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11, 2023, </w:t>
      </w:r>
      <w:r>
        <w:rPr>
          <w:rFonts w:ascii="Times New Roman" w:hAnsi="Times New Roman"/>
          <w:caps w:val="false"/>
          <w:smallCaps w:val="false"/>
          <w:sz w:val="20"/>
        </w:rPr>
        <w:t>the Company, Reflect and the Stockholders’ Representative, executed a Second Amendment to the Merger Agreement. The Second Amendment to the Merger Agreement provides that, among other things, the cash merger consideration payable in the Merger should be reduced by $242, or the “Claim Amount,” subject to a reduction in the Claim Amount to the extent that Reflect or Creative Realities receive payments of certain accounts receivable of Reflect, up to $27. An employer retention credit of $242 (the “ERC”) based on the operations of Reflect pre-Merger remains outstanding and will be paid to the Stockholders’ Representative for the benefit of former Reflect stockholders upon receipt, subject to the offset rights of Creative Realities described below.</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Secured Promissory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11, 2023, </w:t>
      </w:r>
      <w:r>
        <w:rPr>
          <w:rFonts w:ascii="Times New Roman" w:hAnsi="Times New Roman"/>
          <w:caps w:val="false"/>
          <w:smallCaps w:val="false"/>
          <w:sz w:val="20"/>
        </w:rPr>
        <w:t xml:space="preserve">the Company and the Stockholders’ Representative executed an amendment, or the “Note Amendment,” to the Secured Promissory Note. The Secured Promissory Note required Creative Realities to pay to the Stockholders’ Representative a balloon payment of $1,250, plus all accrued and unpaid interest, on its stated maturity date, </w:t>
      </w:r>
      <w:r>
        <w:rPr>
          <w:rStyle w:val="Emphasis"/>
          <w:rFonts w:ascii="Times New Roman" w:hAnsi="Times New Roman"/>
          <w:caps w:val="false"/>
          <w:smallCaps w:val="false"/>
          <w:sz w:val="20"/>
        </w:rPr>
        <w:t xml:space="preserve">February 17, 2023. </w:t>
      </w:r>
      <w:r>
        <w:rPr>
          <w:rFonts w:ascii="Times New Roman" w:hAnsi="Times New Roman"/>
          <w:caps w:val="false"/>
          <w:smallCaps w:val="false"/>
          <w:sz w:val="20"/>
        </w:rPr>
        <w:t xml:space="preserve">The Note Amendment eliminates the balloon payment, extending the maturity date for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period, to </w:t>
      </w:r>
      <w:r>
        <w:rPr>
          <w:rStyle w:val="Emphasis"/>
          <w:rFonts w:ascii="Times New Roman" w:hAnsi="Times New Roman"/>
          <w:caps w:val="false"/>
          <w:smallCaps w:val="false"/>
          <w:sz w:val="20"/>
        </w:rPr>
        <w:t xml:space="preserve">February 17, 2024. </w:t>
      </w:r>
      <w:r>
        <w:rPr>
          <w:rFonts w:ascii="Times New Roman" w:hAnsi="Times New Roman"/>
          <w:caps w:val="false"/>
          <w:smallCaps w:val="false"/>
          <w:sz w:val="20"/>
        </w:rPr>
        <w:t>During the extended period, Creative Realities will continue to make monthly principal payments of $104, and the annual interest rate on the outstanding principal increased from 0.59% to 4.60%, which will accrue and is payable in full on the new maturity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Offset Rights; Payment of Claim Amount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In light of the possible collection of the ERC and the Note Amendment, the parties agreed that the Claim Amount would be reduced by the amount of any ERC received by Creative Realities or Reflect prior to the maturity date of the Secured Promissory Note. If the Claim Amount exceeds the remaining amounts payable under the Secured Promissory Note on any payment date, Creative Realities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reduce the amount of the Secured Promissory Note, and the Claim Amount will be reduced on a dollar-for-dollar basis.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Escrow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 light of the resolution of the Claim Amount, the parties agreed to release the $250 escrow funds, plus interest, to the Stockholders’ Representative, which was placed in escrow at the closing of the Merger to be released once the Claim Amount was paid.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The parties also amended the Escrow Agreement executed at the closing of the Merger (the “Escrow Amendment”) to extend the period for which the escrow agent therein would accept monthly payments of the Secured Promissory Note until the extended maturity date, </w:t>
      </w:r>
      <w:r>
        <w:rPr>
          <w:rStyle w:val="Emphasis"/>
          <w:rFonts w:ascii="Times New Roman" w:hAnsi="Times New Roman"/>
          <w:caps w:val="false"/>
          <w:smallCaps w:val="false"/>
          <w:sz w:val="20"/>
        </w:rPr>
        <w:t>February 17, 2024.</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Reverse stock split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23, 2023, </w:t>
      </w:r>
      <w:r>
        <w:rPr>
          <w:rFonts w:ascii="Times New Roman" w:hAnsi="Times New Roman"/>
          <w:caps w:val="false"/>
          <w:smallCaps w:val="false"/>
          <w:sz w:val="20"/>
        </w:rPr>
        <w:t xml:space="preserve">the Company filed Articles of Amendment with the Secretary of State of the State of Minnesota to effectuate, effective </w:t>
      </w:r>
      <w:r>
        <w:rPr>
          <w:rStyle w:val="Emphasis"/>
          <w:rFonts w:ascii="Times New Roman" w:hAnsi="Times New Roman"/>
          <w:caps w:val="false"/>
          <w:smallCaps w:val="false"/>
          <w:sz w:val="20"/>
        </w:rPr>
        <w:t xml:space="preserve">March 27, 2023, </w:t>
      </w:r>
      <w:r>
        <w:rPr>
          <w:rFonts w:ascii="Times New Roman" w:hAnsi="Times New Roman"/>
          <w:caps w:val="false"/>
          <w:smallCaps w:val="false"/>
          <w:sz w:val="20"/>
        </w:rPr>
        <w:t xml:space="preserve">a </w:t>
      </w:r>
      <w:r>
        <w:rPr>
          <w:rStyle w:val="Emphasis"/>
          <w:rFonts w:ascii="Times New Roman" w:hAnsi="Times New Roman"/>
          <w:caps w:val="false"/>
          <w:smallCaps w:val="false"/>
          <w:sz w:val="20"/>
        </w:rPr>
        <w:t>one</w:t>
      </w:r>
      <w:r>
        <w:rPr>
          <w:rFonts w:ascii="Times New Roman" w:hAnsi="Times New Roman"/>
          <w:caps w:val="false"/>
          <w:smallCaps w:val="false"/>
          <w:sz w:val="20"/>
        </w:rPr>
        <w:t>-for-three stock split of the shares of the Company's common stock, par value $0.01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As a result of the reverse stock split, effective </w:t>
      </w:r>
      <w:r>
        <w:rPr>
          <w:rStyle w:val="Emphasis"/>
          <w:rFonts w:ascii="Times New Roman" w:hAnsi="Times New Roman"/>
          <w:caps w:val="false"/>
          <w:smallCaps w:val="false"/>
          <w:sz w:val="20"/>
        </w:rPr>
        <w:t>12:01</w:t>
      </w:r>
      <w:r>
        <w:rPr>
          <w:rFonts w:ascii="Times New Roman" w:hAnsi="Times New Roman"/>
          <w:caps w:val="false"/>
          <w:smallCaps w:val="false"/>
          <w:sz w:val="20"/>
        </w:rPr>
        <w:t xml:space="preserve"> am on </w:t>
      </w:r>
      <w:r>
        <w:rPr>
          <w:rStyle w:val="Emphasis"/>
          <w:rFonts w:ascii="Times New Roman" w:hAnsi="Times New Roman"/>
          <w:caps w:val="false"/>
          <w:smallCaps w:val="false"/>
          <w:sz w:val="20"/>
        </w:rPr>
        <w:t xml:space="preserve">March 27, 2023, </w:t>
      </w:r>
      <w:r>
        <w:rPr>
          <w:rFonts w:ascii="Times New Roman" w:hAnsi="Times New Roman"/>
          <w:caps w:val="false"/>
          <w:smallCaps w:val="false"/>
          <w:sz w:val="20"/>
        </w:rPr>
        <w:t xml:space="preserve">every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shares of common stock then-issued and outstanding automatically combined into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common stock,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 in par value per share.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fractional shares were outstanding following the reverse stock split and any fractional shares resulting from the reverse split were rounded up to the nearest whole share of common stock.  In connection with the reverse stock split, the total number of shares of common stock authorized for issuance was reduced from 200,000,000 shares to 66,666,666 shares in proportion to the reverse stock split.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Effective as of the same time as the reverse stock split, the number of shares of common stock available for issuance under the Company's equity compensation plans were reduced in proportion to the reverse stock split.  The reverse stock split also resulted in the number of shares of shares of common stock issuable upon exercise of outstanding warrants, or the exercise or vesting of equity awards, in proportion to the reverse stock split and caused a proportionate increase in exercise price or share-based performance criteria, where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jc w:val="center"/>
        <w:rPr>
          <w:rFonts w:ascii="Times New Roman" w:hAnsi="Times New Roman"/>
          <w:sz w:val="20"/>
        </w:rPr>
      </w:pPr>
      <w:r>
        <w:rPr>
          <w:rFonts w:ascii="Times New Roman" w:hAnsi="Times New Roman"/>
          <w:sz w:val="20"/>
        </w:rPr>
        <w:t xml:space="preserve">F-40 </w:t>
      </w:r>
      <w:r>
        <w:br w:type="page"/>
      </w:r>
    </w:p>
    <w:p>
      <w:pPr>
        <w:pStyle w:val="TextBody"/>
        <w:spacing w:before="0" w:after="0"/>
        <w:ind w:left="0" w:right="0" w:hanging="0"/>
        <w:jc w:val="right"/>
        <w:rPr>
          <w:rFonts w:ascii="Times New Roman;Times;serif" w:hAnsi="Times New Roman;Times;serif"/>
          <w:b/>
          <w:sz w:val="20"/>
        </w:rPr>
      </w:pPr>
      <w:bookmarkStart w:id="56" w:name="ex_459576.htm"/>
      <w:bookmarkStart w:id="57" w:name="ksex_459576"/>
      <w:bookmarkEnd w:id="56"/>
      <w:bookmarkEnd w:id="57"/>
      <w:r>
        <w:rPr>
          <w:rFonts w:ascii="Times New Roman;Times;serif" w:hAnsi="Times New Roman;Times;serif"/>
          <w:b/>
          <w:sz w:val="20"/>
        </w:rPr>
        <w:t>Exhibit 21.1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corporate structure, including our principal operating subsidiaries, is as follows:</w:t>
      </w:r>
    </w:p>
    <w:p>
      <w:pPr>
        <w:pStyle w:val="TextBody"/>
        <w:spacing w:before="0" w:after="0"/>
        <w:ind w:left="0" w:right="0" w:hanging="0"/>
        <w:rPr>
          <w:caps w:val="false"/>
          <w:smallCaps w:val="false"/>
        </w:rPr>
      </w:pPr>
      <w:r>
        <w:rPr>
          <w:caps w:val="false"/>
          <w:smallCaps w:val="false"/>
        </w:rPr>
        <w:t> </w:t>
      </w:r>
    </w:p>
    <w:tbl>
      <w:tblPr>
        <w:tblW w:w="7390" w:type="dxa"/>
        <w:jc w:val="left"/>
        <w:tblInd w:w="0" w:type="dxa"/>
        <w:tblCellMar>
          <w:top w:w="0" w:type="dxa"/>
          <w:left w:w="0" w:type="dxa"/>
          <w:bottom w:w="28" w:type="dxa"/>
          <w:right w:w="0" w:type="dxa"/>
        </w:tblCellMar>
      </w:tblPr>
      <w:tblGrid>
        <w:gridCol w:w="3470"/>
        <w:gridCol w:w="60"/>
        <w:gridCol w:w="3860"/>
      </w:tblGrid>
      <w:tr>
        <w:trPr/>
        <w:tc>
          <w:tcPr>
            <w:tcW w:w="3470" w:type="dxa"/>
            <w:tcBorders>
              <w:bottom w:val="single" w:sz="2" w:space="0" w:color="000000"/>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Name of subsidiary</w:t>
            </w:r>
          </w:p>
        </w:tc>
        <w:tc>
          <w:tcPr>
            <w:tcW w:w="60" w:type="dxa"/>
            <w:tcBorders/>
            <w:shd w:fill="auto" w:val="clear"/>
            <w:tcMar>
              <w:bottom w:w="0" w:type="dxa"/>
            </w:tcMar>
            <w:vAlign w:val="center"/>
          </w:tcPr>
          <w:p>
            <w:pPr>
              <w:pStyle w:val="TableContents"/>
              <w:spacing w:before="0" w:after="283"/>
              <w:rPr/>
            </w:pPr>
            <w:r>
              <w:rPr/>
              <w:t> </w:t>
            </w:r>
          </w:p>
        </w:tc>
        <w:tc>
          <w:tcPr>
            <w:tcW w:w="3860" w:type="dxa"/>
            <w:tcBorders>
              <w:bottom w:val="single" w:sz="2" w:space="0" w:color="000000"/>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Jurisdiction of incorporation or organization</w:t>
            </w:r>
          </w:p>
        </w:tc>
      </w:tr>
      <w:tr>
        <w:trPr/>
        <w:tc>
          <w:tcPr>
            <w:tcW w:w="347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Allure Global Solutions, Inc.</w:t>
            </w:r>
          </w:p>
        </w:tc>
        <w:tc>
          <w:tcPr>
            <w:tcW w:w="60" w:type="dxa"/>
            <w:tcBorders/>
            <w:shd w:fill="CCEEFF" w:val="clear"/>
            <w:tcMar>
              <w:bottom w:w="0" w:type="dxa"/>
            </w:tcMar>
            <w:vAlign w:val="center"/>
          </w:tcPr>
          <w:p>
            <w:pPr>
              <w:pStyle w:val="TableContents"/>
              <w:spacing w:before="0" w:after="283"/>
              <w:rPr/>
            </w:pPr>
            <w:r>
              <w:rPr/>
              <w:t> </w:t>
            </w:r>
          </w:p>
        </w:tc>
        <w:tc>
          <w:tcPr>
            <w:tcW w:w="386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Georgia</w:t>
            </w:r>
          </w:p>
        </w:tc>
      </w:tr>
      <w:tr>
        <w:trPr/>
        <w:tc>
          <w:tcPr>
            <w:tcW w:w="347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Reflect Systems, Inc.</w:t>
            </w:r>
          </w:p>
        </w:tc>
        <w:tc>
          <w:tcPr>
            <w:tcW w:w="60" w:type="dxa"/>
            <w:tcBorders/>
            <w:shd w:fill="FFFFFF" w:val="clear"/>
            <w:tcMar>
              <w:bottom w:w="0" w:type="dxa"/>
            </w:tcMar>
            <w:vAlign w:val="center"/>
          </w:tcPr>
          <w:p>
            <w:pPr>
              <w:pStyle w:val="TableContents"/>
              <w:spacing w:before="0" w:after="283"/>
              <w:rPr/>
            </w:pPr>
            <w:r>
              <w:rPr/>
              <w:t> </w:t>
            </w:r>
          </w:p>
        </w:tc>
        <w:tc>
          <w:tcPr>
            <w:tcW w:w="386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347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Wireless Ronin Technologies Canada, Inc.</w:t>
            </w:r>
          </w:p>
        </w:tc>
        <w:tc>
          <w:tcPr>
            <w:tcW w:w="60" w:type="dxa"/>
            <w:tcBorders/>
            <w:shd w:fill="CCEEFF" w:val="clear"/>
            <w:tcMar>
              <w:bottom w:w="0" w:type="dxa"/>
            </w:tcMar>
            <w:vAlign w:val="center"/>
          </w:tcPr>
          <w:p>
            <w:pPr>
              <w:pStyle w:val="TableContents"/>
              <w:spacing w:before="0" w:after="283"/>
              <w:rPr/>
            </w:pPr>
            <w:r>
              <w:rPr/>
              <w:t> </w:t>
            </w:r>
          </w:p>
        </w:tc>
        <w:tc>
          <w:tcPr>
            <w:tcW w:w="386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Canada</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Times;serif" w:hAnsi="Times New Roman;Times;serif"/>
          <w:b/>
          <w:sz w:val="20"/>
        </w:rPr>
      </w:pPr>
      <w:bookmarkStart w:id="58" w:name="ex_459577.htm"/>
      <w:bookmarkStart w:id="59" w:name="ksex_459577"/>
      <w:bookmarkEnd w:id="58"/>
      <w:bookmarkEnd w:id="59"/>
      <w:r>
        <w:rPr>
          <w:rFonts w:ascii="Times New Roman;Times;serif" w:hAnsi="Times New Roman;Times;serif"/>
          <w:b/>
          <w:sz w:val="20"/>
        </w:rPr>
        <w:t>Exhibit 23.1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consent to the incorporation by reference in Registration Statement Nos. 333-262516, 333-239108, 333-238275, and 333-255001 on Form S-3, Nos. 333-225876 and 333-209847 on Form S-1, No. 333-261048 on Form S-4 and Nos. 333-189318, 333-181999, 333-174861, 333-167454, 333-159927, 333-147458, 333-145795 and 333-265699 on Form S-8 of our report dated </w:t>
      </w:r>
      <w:bookmarkStart w:id="60" w:name="led338177F20230101673387469385"/>
      <w:bookmarkEnd w:id="60"/>
      <w:r>
        <w:rPr>
          <w:rFonts w:ascii="Times New Roman" w:hAnsi="Times New Roman"/>
          <w:caps w:val="false"/>
          <w:smallCaps w:val="false"/>
          <w:sz w:val="20"/>
        </w:rPr>
        <w:t xml:space="preserve">March 30, 2023, relating to the consolidated financial statements of Creative Realities, Inc. appearing in this Annual Report on Form 10-K for the year ended </w:t>
      </w:r>
      <w:bookmarkStart w:id="61" w:name="led338177F20230101673387490609"/>
      <w:bookmarkEnd w:id="61"/>
      <w:r>
        <w:rPr>
          <w:rFonts w:ascii="Times New Roman" w:hAnsi="Times New Roman"/>
          <w:caps w:val="false"/>
          <w:smallCaps w:val="false"/>
          <w:sz w:val="20"/>
        </w:rPr>
        <w:t>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/s/ </w:t>
      </w:r>
      <w:r>
        <w:rPr>
          <w:rFonts w:ascii="Times New Roman" w:hAnsi="Times New Roman"/>
          <w:caps w:val="false"/>
          <w:smallCaps w:val="false"/>
          <w:sz w:val="20"/>
        </w:rPr>
        <w:t>Deloitte and Touche 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Louisville, Kentucky</w:t>
      </w:r>
    </w:p>
    <w:p>
      <w:pPr>
        <w:pStyle w:val="TextBody"/>
        <w:spacing w:before="0" w:after="0"/>
        <w:ind w:left="0" w:right="0" w:hanging="0"/>
        <w:jc w:val="both"/>
        <w:rPr>
          <w:rFonts w:ascii="Times New Roman" w:hAnsi="Times New Roman"/>
          <w:caps w:val="false"/>
          <w:smallCaps w:val="false"/>
          <w:sz w:val="20"/>
        </w:rPr>
      </w:pPr>
      <w:bookmarkStart w:id="62" w:name="led338177F202301016733874693851"/>
      <w:bookmarkEnd w:id="62"/>
      <w:r>
        <w:rPr>
          <w:rFonts w:ascii="Times New Roman" w:hAnsi="Times New Roman"/>
          <w:caps w:val="false"/>
          <w:smallCaps w:val="false"/>
          <w:sz w:val="20"/>
        </w:rPr>
        <w:t>March 30, 2023</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Times;serif" w:hAnsi="Times New Roman;Times;serif"/>
          <w:b/>
          <w:sz w:val="20"/>
        </w:rPr>
      </w:pPr>
      <w:bookmarkStart w:id="63" w:name="ex_459578.htm"/>
      <w:bookmarkStart w:id="64" w:name="ksex_459578"/>
      <w:bookmarkEnd w:id="63"/>
      <w:bookmarkEnd w:id="64"/>
      <w:r>
        <w:rPr>
          <w:rFonts w:ascii="Times New Roman;Times;serif" w:hAnsi="Times New Roman;Times;serif"/>
          <w:b/>
          <w:sz w:val="20"/>
        </w:rPr>
        <w:t>EXHIBIT 31.1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CHIEF EXECUTIVE OFFICER CERTIFICATION</w:t>
      </w:r>
      <w:r>
        <w:rPr>
          <w:rFonts w:ascii="Times New Roman" w:hAnsi="Times New Roman"/>
          <w:caps w:val="false"/>
          <w:smallCaps w:val="false"/>
          <w:sz w:val="20"/>
        </w:rPr>
        <w:br/>
      </w:r>
      <w:r>
        <w:rPr>
          <w:rFonts w:ascii="Times New Roman" w:hAnsi="Times New Roman"/>
          <w:b/>
          <w:caps w:val="false"/>
          <w:smallCaps w:val="false"/>
          <w:sz w:val="20"/>
        </w:rPr>
        <w:t>PURSUANT TO EXCHANGE ACT RULE 13a-14(a)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Richard Mills, certify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 xml:space="preserve">1. I have reviewed this annual report on Form 10-K for the year ended </w:t>
      </w:r>
      <w:bookmarkStart w:id="65" w:name="led338177F20230101673387534594"/>
      <w:bookmarkEnd w:id="65"/>
      <w:r>
        <w:rPr>
          <w:rFonts w:ascii="Times New Roman" w:hAnsi="Times New Roman"/>
          <w:caps w:val="false"/>
          <w:smallCaps w:val="false"/>
          <w:sz w:val="20"/>
        </w:rPr>
        <w:t>December 31, 2022, of Creative Realities,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Dated: </w:t>
      </w:r>
      <w:bookmarkStart w:id="66" w:name="led338177F20230101673387545216"/>
      <w:bookmarkEnd w:id="66"/>
      <w:r>
        <w:rPr>
          <w:rFonts w:ascii="Times New Roman" w:hAnsi="Times New Roman"/>
          <w:caps w:val="false"/>
          <w:smallCaps w:val="false"/>
          <w:sz w:val="20"/>
        </w:rPr>
        <w:t>March 30, 2023</w:t>
      </w:r>
    </w:p>
    <w:p>
      <w:pPr>
        <w:pStyle w:val="TextBody"/>
        <w:spacing w:before="0" w:after="0"/>
        <w:ind w:left="0" w:right="0" w:hanging="0"/>
        <w:rPr>
          <w:caps w:val="false"/>
          <w:smallCaps w:val="false"/>
        </w:rPr>
      </w:pPr>
      <w:r>
        <w:rPr>
          <w:caps w:val="false"/>
          <w:smallCaps w:val="false"/>
        </w:rPr>
        <w:t> </w:t>
      </w:r>
    </w:p>
    <w:tbl>
      <w:tblPr>
        <w:tblW w:w="2320" w:type="dxa"/>
        <w:jc w:val="left"/>
        <w:tblInd w:w="0" w:type="dxa"/>
        <w:tblCellMar>
          <w:top w:w="0" w:type="dxa"/>
          <w:left w:w="0" w:type="dxa"/>
          <w:bottom w:w="0" w:type="dxa"/>
          <w:right w:w="0" w:type="dxa"/>
        </w:tblCellMar>
      </w:tblPr>
      <w:tblGrid>
        <w:gridCol w:w="320"/>
        <w:gridCol w:w="1940"/>
        <w:gridCol w:w="60"/>
      </w:tblGrid>
      <w:tr>
        <w:trPr/>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Richard Mills</w:t>
            </w:r>
          </w:p>
        </w:tc>
        <w:tc>
          <w:tcPr>
            <w:tcW w:w="60"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Richard Mills</w:t>
            </w:r>
          </w:p>
        </w:tc>
        <w:tc>
          <w:tcPr>
            <w:tcW w:w="60"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Times;serif" w:hAnsi="Times New Roman;Times;serif"/>
          <w:b/>
          <w:sz w:val="20"/>
        </w:rPr>
      </w:pPr>
      <w:bookmarkStart w:id="67" w:name="ex_459579.htm"/>
      <w:bookmarkStart w:id="68" w:name="ksex_459579"/>
      <w:bookmarkEnd w:id="67"/>
      <w:bookmarkEnd w:id="68"/>
      <w:r>
        <w:rPr>
          <w:rFonts w:ascii="Times New Roman;Times;serif" w:hAnsi="Times New Roman;Times;serif"/>
          <w:b/>
          <w:sz w:val="20"/>
        </w:rPr>
        <w:t>EXHIBIT 31.2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CHIEF FINANCIAL OFFICER CERTIFICATION</w:t>
      </w:r>
      <w:r>
        <w:rPr>
          <w:rFonts w:ascii="Times New Roman" w:hAnsi="Times New Roman"/>
          <w:caps w:val="false"/>
          <w:smallCaps w:val="false"/>
          <w:sz w:val="20"/>
        </w:rPr>
        <w:br/>
      </w:r>
      <w:r>
        <w:rPr>
          <w:rFonts w:ascii="Times New Roman" w:hAnsi="Times New Roman"/>
          <w:b/>
          <w:caps w:val="false"/>
          <w:smallCaps w:val="false"/>
          <w:sz w:val="20"/>
        </w:rPr>
        <w:t>PURSUANT TO EXCHANGE ACT RULE 13a-14(a)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Will Logan, certify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 xml:space="preserve">1. I have reviewed this annual report on Form 10-K for the year ended </w:t>
      </w:r>
      <w:bookmarkStart w:id="69" w:name="led338177F20230101673387566167"/>
      <w:bookmarkEnd w:id="69"/>
      <w:r>
        <w:rPr>
          <w:rFonts w:ascii="Times New Roman" w:hAnsi="Times New Roman"/>
          <w:caps w:val="false"/>
          <w:smallCaps w:val="false"/>
          <w:sz w:val="20"/>
        </w:rPr>
        <w:t>December 31, 2022, of Creative Realities,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Dated: </w:t>
      </w:r>
      <w:bookmarkStart w:id="70" w:name="led338177F20230101673387573640"/>
      <w:bookmarkEnd w:id="70"/>
      <w:r>
        <w:rPr>
          <w:rFonts w:ascii="Times New Roman" w:hAnsi="Times New Roman"/>
          <w:caps w:val="false"/>
          <w:smallCaps w:val="false"/>
          <w:sz w:val="20"/>
        </w:rPr>
        <w:t>March 30, 2023</w:t>
      </w:r>
    </w:p>
    <w:p>
      <w:pPr>
        <w:pStyle w:val="TextBody"/>
        <w:spacing w:before="0" w:after="0"/>
        <w:ind w:left="0" w:right="0" w:hanging="0"/>
        <w:rPr>
          <w:caps w:val="false"/>
          <w:smallCaps w:val="false"/>
        </w:rPr>
      </w:pPr>
      <w:r>
        <w:rPr>
          <w:caps w:val="false"/>
          <w:smallCaps w:val="false"/>
        </w:rPr>
        <w:t> </w:t>
      </w:r>
    </w:p>
    <w:tbl>
      <w:tblPr>
        <w:tblW w:w="2260" w:type="dxa"/>
        <w:jc w:val="left"/>
        <w:tblInd w:w="0" w:type="dxa"/>
        <w:tblCellMar>
          <w:top w:w="0" w:type="dxa"/>
          <w:left w:w="0" w:type="dxa"/>
          <w:bottom w:w="0" w:type="dxa"/>
          <w:right w:w="0" w:type="dxa"/>
        </w:tblCellMar>
      </w:tblPr>
      <w:tblGrid>
        <w:gridCol w:w="320"/>
        <w:gridCol w:w="1880"/>
        <w:gridCol w:w="60"/>
      </w:tblGrid>
      <w:tr>
        <w:trPr/>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188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Will Logan</w:t>
            </w:r>
          </w:p>
        </w:tc>
        <w:tc>
          <w:tcPr>
            <w:tcW w:w="60"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Will Logan</w:t>
            </w:r>
          </w:p>
        </w:tc>
        <w:tc>
          <w:tcPr>
            <w:tcW w:w="60"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Times;serif" w:hAnsi="Times New Roman;Times;serif"/>
          <w:b/>
          <w:sz w:val="20"/>
        </w:rPr>
      </w:pPr>
      <w:bookmarkStart w:id="71" w:name="ex_459580.htm"/>
      <w:bookmarkStart w:id="72" w:name="ksex_459580"/>
      <w:bookmarkEnd w:id="71"/>
      <w:bookmarkEnd w:id="72"/>
      <w:r>
        <w:rPr>
          <w:rFonts w:ascii="Times New Roman;Times;serif" w:hAnsi="Times New Roman;Times;serif"/>
          <w:b/>
          <w:sz w:val="20"/>
        </w:rPr>
        <w:t>EXHIBIT 32.1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00"/>
        <w:jc w:val="center"/>
        <w:rPr>
          <w:rFonts w:ascii="Times New Roman" w:hAnsi="Times New Roman"/>
          <w:caps w:val="false"/>
          <w:smallCaps w:val="false"/>
          <w:sz w:val="20"/>
        </w:rPr>
      </w:pPr>
      <w:r>
        <w:rPr>
          <w:rFonts w:ascii="Times New Roman" w:hAnsi="Times New Roman"/>
          <w:b/>
          <w:caps w:val="false"/>
          <w:smallCaps w:val="false"/>
          <w:sz w:val="20"/>
        </w:rPr>
        <w:t>CHIEF EXECUTIVE OFFICER CERTIFICATION</w:t>
      </w:r>
      <w:r>
        <w:rPr>
          <w:rFonts w:ascii="Times New Roman" w:hAnsi="Times New Roman"/>
          <w:caps w:val="false"/>
          <w:smallCaps w:val="false"/>
          <w:sz w:val="20"/>
        </w:rPr>
        <w:br/>
      </w:r>
      <w:r>
        <w:rPr>
          <w:rFonts w:ascii="Times New Roman" w:hAnsi="Times New Roman"/>
          <w:b/>
          <w:caps w:val="false"/>
          <w:smallCaps w:val="false"/>
          <w:sz w:val="20"/>
        </w:rPr>
        <w:t>PURSUANT TO 18 U.S.C. SECTION 1350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xml:space="preserve">In connection with the Annual Report of Creative Realities, Inc. (the “Company”) on Form 10-K for the year ended </w:t>
      </w:r>
      <w:bookmarkStart w:id="73" w:name="led338177F20230101673387608624"/>
      <w:bookmarkEnd w:id="73"/>
      <w:r>
        <w:rPr>
          <w:rFonts w:ascii="Times New Roman" w:hAnsi="Times New Roman"/>
          <w:caps w:val="false"/>
          <w:smallCaps w:val="false"/>
          <w:sz w:val="20"/>
        </w:rPr>
        <w:t>December 31, 2022, as filed with the Securities and Exchange Commission on the date hereof (the “Report”), I, Richard Mills, certify, pursuant to 18 U.S.C. Section 1350, as adopted pursuant to Section 906 of the Sarbanes-Oxley Act of 2002,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Dated: </w:t>
      </w:r>
      <w:bookmarkStart w:id="74" w:name="led338177F20230101673387598817"/>
      <w:bookmarkEnd w:id="74"/>
      <w:r>
        <w:rPr>
          <w:rFonts w:ascii="Times New Roman" w:hAnsi="Times New Roman"/>
          <w:caps w:val="false"/>
          <w:smallCaps w:val="false"/>
          <w:sz w:val="20"/>
        </w:rPr>
        <w:t>March 30, 2023</w:t>
      </w:r>
    </w:p>
    <w:p>
      <w:pPr>
        <w:pStyle w:val="TextBody"/>
        <w:spacing w:before="0" w:after="0"/>
        <w:ind w:left="0" w:right="0" w:hanging="0"/>
        <w:rPr>
          <w:caps w:val="false"/>
          <w:smallCaps w:val="false"/>
        </w:rPr>
      </w:pPr>
      <w:r>
        <w:rPr>
          <w:caps w:val="false"/>
          <w:smallCaps w:val="false"/>
        </w:rPr>
        <w:t> </w:t>
      </w:r>
    </w:p>
    <w:tbl>
      <w:tblPr>
        <w:tblW w:w="2320" w:type="dxa"/>
        <w:jc w:val="left"/>
        <w:tblInd w:w="0" w:type="dxa"/>
        <w:tblCellMar>
          <w:top w:w="0" w:type="dxa"/>
          <w:left w:w="0" w:type="dxa"/>
          <w:bottom w:w="0" w:type="dxa"/>
          <w:right w:w="0" w:type="dxa"/>
        </w:tblCellMar>
      </w:tblPr>
      <w:tblGrid>
        <w:gridCol w:w="320"/>
        <w:gridCol w:w="1940"/>
        <w:gridCol w:w="60"/>
      </w:tblGrid>
      <w:tr>
        <w:trPr/>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Richard Mills</w:t>
            </w:r>
          </w:p>
        </w:tc>
        <w:tc>
          <w:tcPr>
            <w:tcW w:w="60"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Richard Mills</w:t>
            </w:r>
          </w:p>
        </w:tc>
        <w:tc>
          <w:tcPr>
            <w:tcW w:w="60"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Times;serif" w:hAnsi="Times New Roman;Times;serif"/>
          <w:b/>
          <w:sz w:val="20"/>
        </w:rPr>
      </w:pPr>
      <w:bookmarkStart w:id="75" w:name="ex_459581.htm"/>
      <w:bookmarkStart w:id="76" w:name="ksex_459581"/>
      <w:bookmarkEnd w:id="75"/>
      <w:bookmarkEnd w:id="76"/>
      <w:r>
        <w:rPr>
          <w:rFonts w:ascii="Times New Roman;Times;serif" w:hAnsi="Times New Roman;Times;serif"/>
          <w:b/>
          <w:sz w:val="20"/>
        </w:rPr>
        <w:t>EXHIBIT 32.2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00"/>
        <w:jc w:val="center"/>
        <w:rPr>
          <w:rFonts w:ascii="Times New Roman" w:hAnsi="Times New Roman"/>
          <w:b/>
          <w:caps w:val="false"/>
          <w:smallCaps w:val="false"/>
          <w:sz w:val="20"/>
        </w:rPr>
      </w:pPr>
      <w:r>
        <w:rPr>
          <w:rFonts w:ascii="Times New Roman" w:hAnsi="Times New Roman"/>
          <w:b/>
          <w:caps w:val="false"/>
          <w:smallCaps w:val="false"/>
          <w:sz w:val="20"/>
        </w:rPr>
        <w:t>CHIEF FINANCIAL OFFICER CERTIFICATION PURSUANT TO</w:t>
      </w:r>
    </w:p>
    <w:p>
      <w:pPr>
        <w:pStyle w:val="TextBody"/>
        <w:spacing w:before="0" w:after="0"/>
        <w:ind w:left="0" w:right="0" w:firstLine="30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xml:space="preserve">In connection with the Annual Report of Creative Realities, Inc. (the “Company”) on Form 10-K for the year ended </w:t>
      </w:r>
      <w:bookmarkStart w:id="77" w:name="led338177F20230101673387639501"/>
      <w:bookmarkEnd w:id="77"/>
      <w:r>
        <w:rPr>
          <w:rFonts w:ascii="Times New Roman" w:hAnsi="Times New Roman"/>
          <w:caps w:val="false"/>
          <w:smallCaps w:val="false"/>
          <w:sz w:val="20"/>
        </w:rPr>
        <w:t>December 31, 2022, as filed with the Securities and Exchange Commission on the date hereof (the “Report”), I, Will Logan, certify, pursuant to 18 U.S.C. Section 1350, as adopted pursuant to Section 906 of the Sarbanes-Oxley Act of 2002,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Dated: </w:t>
      </w:r>
      <w:bookmarkStart w:id="78" w:name="led338177F20230101673387649037"/>
      <w:bookmarkEnd w:id="78"/>
      <w:r>
        <w:rPr>
          <w:rFonts w:ascii="Times New Roman" w:hAnsi="Times New Roman"/>
          <w:caps w:val="false"/>
          <w:smallCaps w:val="false"/>
          <w:sz w:val="20"/>
        </w:rPr>
        <w:t>March 30, 2023</w:t>
      </w:r>
    </w:p>
    <w:p>
      <w:pPr>
        <w:pStyle w:val="TextBody"/>
        <w:spacing w:before="0" w:after="0"/>
        <w:ind w:left="0" w:right="0" w:hanging="0"/>
        <w:rPr>
          <w:caps w:val="false"/>
          <w:smallCaps w:val="false"/>
        </w:rPr>
      </w:pPr>
      <w:r>
        <w:rPr>
          <w:caps w:val="false"/>
          <w:smallCaps w:val="false"/>
        </w:rPr>
        <w:t> </w:t>
      </w:r>
    </w:p>
    <w:tbl>
      <w:tblPr>
        <w:tblW w:w="2260" w:type="dxa"/>
        <w:jc w:val="left"/>
        <w:tblInd w:w="0" w:type="dxa"/>
        <w:tblCellMar>
          <w:top w:w="0" w:type="dxa"/>
          <w:left w:w="0" w:type="dxa"/>
          <w:bottom w:w="0" w:type="dxa"/>
          <w:right w:w="0" w:type="dxa"/>
        </w:tblCellMar>
      </w:tblPr>
      <w:tblGrid>
        <w:gridCol w:w="320"/>
        <w:gridCol w:w="1880"/>
        <w:gridCol w:w="60"/>
      </w:tblGrid>
      <w:tr>
        <w:trPr/>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188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Will Logan</w:t>
            </w:r>
          </w:p>
        </w:tc>
        <w:tc>
          <w:tcPr>
            <w:tcW w:w="60"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Will Logan</w:t>
            </w:r>
          </w:p>
        </w:tc>
        <w:tc>
          <w:tcPr>
            <w:tcW w:w="60"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356093/000121390021059463/ea150536ex2-1_creativereal.htm" TargetMode="External"/><Relationship Id="rId4" Type="http://schemas.openxmlformats.org/officeDocument/2006/relationships/hyperlink" Target="http://www.sec.gov/Archives/edgar/data/1356093/000121390022006040/ea155158ex2-1_creativereal.htm" TargetMode="External"/><Relationship Id="rId5" Type="http://schemas.openxmlformats.org/officeDocument/2006/relationships/hyperlink" Target="http://www.sec.gov/Archives/edgar/data/1356093/000143774923003464/ex_475912.htm" TargetMode="External"/><Relationship Id="rId6" Type="http://schemas.openxmlformats.org/officeDocument/2006/relationships/hyperlink" Target="http://www.sec.gov/Archives/edgar/data/1356093/000095013406018951/c04558a1exv3w1.htm" TargetMode="External"/><Relationship Id="rId7" Type="http://schemas.openxmlformats.org/officeDocument/2006/relationships/hyperlink" Target="http://www.sec.gov/Archives/edgar/data/1356093/000121390014006692/f8k091514ex3i_creative.htm" TargetMode="External"/><Relationship Id="rId8" Type="http://schemas.openxmlformats.org/officeDocument/2006/relationships/hyperlink" Target="http://www.sec.gov/Archives/edgar/data/1356093/000121390014007335/f8k081014ex3i_creative.htm" TargetMode="External"/><Relationship Id="rId9" Type="http://schemas.openxmlformats.org/officeDocument/2006/relationships/hyperlink" Target="http://www.sec.gov/Archives/edgar/data/1356093/000121390016010773/fs12016ex4ii_creativereal.htm" TargetMode="External"/><Relationship Id="rId10" Type="http://schemas.openxmlformats.org/officeDocument/2006/relationships/hyperlink" Target="http://www.sec.gov/Archives/edgar/data/1356093/000121390018014233/fs12018a3ex3-3_creativereal.htm" TargetMode="External"/><Relationship Id="rId11" Type="http://schemas.openxmlformats.org/officeDocument/2006/relationships/hyperlink" Target="http://www.sec.gov/Archives/edgar/data/1356093/000121390019004365/f8k031319ex3-1_creative.htm" TargetMode="External"/><Relationship Id="rId12" Type="http://schemas.openxmlformats.org/officeDocument/2006/relationships/hyperlink" Target="http://www.sec.gov/Archives/edgar/data/1356093/000121390019004365/f8k031319ex3-2_creative.htm" TargetMode="External"/><Relationship Id="rId13" Type="http://schemas.openxmlformats.org/officeDocument/2006/relationships/hyperlink" Target="http://www.sec.gov/Archives/edgar/data/1356093/000143774923007818/ex_492125.htm" TargetMode="External"/><Relationship Id="rId14" Type="http://schemas.openxmlformats.org/officeDocument/2006/relationships/hyperlink" Target="http://www.sec.gov/Archives/edgar/data/1356093/000095012311094400/c24019exv3.htm" TargetMode="External"/><Relationship Id="rId15" Type="http://schemas.openxmlformats.org/officeDocument/2006/relationships/hyperlink" Target="http://www.sec.gov/Archives/edgar/data/1356093/000095013406016951/c04558sbexv4w2.htm" TargetMode="External"/><Relationship Id="rId16" Type="http://schemas.openxmlformats.org/officeDocument/2006/relationships/hyperlink" Target="http://www.sec.gov/Archives/edgar/data/1356093/000121390020012355/ea121686ex4-4_creative.htm" TargetMode="External"/><Relationship Id="rId17" Type="http://schemas.openxmlformats.org/officeDocument/2006/relationships/hyperlink" Target="http://www.sec.gov/Archives/edgar/data/1356093/000121390020014738/ea122923ex4-2_creative.htm" TargetMode="External"/><Relationship Id="rId18" Type="http://schemas.openxmlformats.org/officeDocument/2006/relationships/hyperlink" Target="http://www.sec.gov/Archives/edgar/data/1356093/000121390017012068/f10q0917ex10-1_creative.htm" TargetMode="External"/><Relationship Id="rId19" Type="http://schemas.openxmlformats.org/officeDocument/2006/relationships/hyperlink" Target="http://www.sec.gov/Archives/edgar/data/1356093/000121390018008179/fs12018ex10-25_creative.htm" TargetMode="External"/><Relationship Id="rId20" Type="http://schemas.openxmlformats.org/officeDocument/2006/relationships/hyperlink" Target="http://www.sec.gov/Archives/edgar/data/1356093/000121390018008179/fs12018ex10-26_creative.htm" TargetMode="External"/><Relationship Id="rId21" Type="http://schemas.openxmlformats.org/officeDocument/2006/relationships/hyperlink" Target="http://www.sec.gov/Archives/edgar/data/1356093/000121390018008179/fs12018ex10-32_creative.htm" TargetMode="External"/><Relationship Id="rId22" Type="http://schemas.openxmlformats.org/officeDocument/2006/relationships/hyperlink" Target="http://www.sec.gov/Archives/edgar/data/1356093/000121390016018780/f10q0916ex10ii_creative.htm" TargetMode="External"/><Relationship Id="rId23" Type="http://schemas.openxmlformats.org/officeDocument/2006/relationships/hyperlink" Target="http://www.sec.gov/Archives/edgar/data/1356093/000121390018015711/fs12018a5ex4-3_creative.htm" TargetMode="External"/><Relationship Id="rId24" Type="http://schemas.openxmlformats.org/officeDocument/2006/relationships/hyperlink" Target="http://www.sec.gov/Archives/edgar/data/1356093/000121390018014233/fs12018a3ex4-4_creativereal.htm" TargetMode="External"/><Relationship Id="rId25" Type="http://schemas.openxmlformats.org/officeDocument/2006/relationships/hyperlink" Target="http://www.sec.gov/Archives/edgar/data/1356093/000121390020006174/f10k2019ex4-14_creative.htm" TargetMode="External"/><Relationship Id="rId26" Type="http://schemas.openxmlformats.org/officeDocument/2006/relationships/hyperlink" Target="http://www.sec.gov/Archives/edgar/data/1356093/000121390022005397/ea154895ex4-1_creative.htm" TargetMode="External"/><Relationship Id="rId27" Type="http://schemas.openxmlformats.org/officeDocument/2006/relationships/hyperlink" Target="http://www.sec.gov/Archives/edgar/data/1356093/000121390022037700/ea162551ex10-2_creative.htm" TargetMode="External"/><Relationship Id="rId28" Type="http://schemas.openxmlformats.org/officeDocument/2006/relationships/hyperlink" Target="http://www.sec.gov/Archives/edgar/data/1356093/000121390022037700/ea162551ex10-1_creative.htm" TargetMode="External"/><Relationship Id="rId29" Type="http://schemas.openxmlformats.org/officeDocument/2006/relationships/hyperlink" Target="http://www.sec.gov/Archives/edgar/data/1356093/000121390022037700/ea162551ex10-3_creative.htm" TargetMode="External"/><Relationship Id="rId30" Type="http://schemas.openxmlformats.org/officeDocument/2006/relationships/hyperlink" Target="http://www.sec.gov/Archives/edgar/data/1356093/000121390021059463/ea150536ex9-1_creativereal.htm" TargetMode="External"/><Relationship Id="rId31" Type="http://schemas.openxmlformats.org/officeDocument/2006/relationships/hyperlink" Target="http://www.sec.gov/Archives/edgar/data/1356093/000121390021059463/ea150536ex9-2_creativereal.htm" TargetMode="External"/><Relationship Id="rId32" Type="http://schemas.openxmlformats.org/officeDocument/2006/relationships/hyperlink" Target="http://www.sec.gov/Archives/edgar/data/1356093/000121390018014233/fs12018a3ex4-5_creativereal.htm" TargetMode="External"/><Relationship Id="rId33" Type="http://schemas.openxmlformats.org/officeDocument/2006/relationships/hyperlink" Target="http://www.sec.gov/Archives/edgar/data/1356093/000121390020015377/ea123146ex10-1_creative.htm" TargetMode="External"/><Relationship Id="rId34" Type="http://schemas.openxmlformats.org/officeDocument/2006/relationships/hyperlink" Target="http://www.sec.gov/Archives/edgar/data/1356093/000121390021059463/ea150536ex10-1_creativereal.htm" TargetMode="External"/><Relationship Id="rId35" Type="http://schemas.openxmlformats.org/officeDocument/2006/relationships/hyperlink" Target="http://www.sec.gov/Archives/edgar/data/1356093/000121390021059463/ea150536ex10-2_creativereal.htm" TargetMode="External"/><Relationship Id="rId36" Type="http://schemas.openxmlformats.org/officeDocument/2006/relationships/hyperlink" Target="http://www.sec.gov/Archives/edgar/data/1356093/000121390022005397/ea154895ex10-1_creative.htm" TargetMode="External"/><Relationship Id="rId37" Type="http://schemas.openxmlformats.org/officeDocument/2006/relationships/hyperlink" Target="http://www.sec.gov/Archives/edgar/data/1356093/000121390022005397/ea154895ex10-2_creative.htm" TargetMode="External"/><Relationship Id="rId38" Type="http://schemas.openxmlformats.org/officeDocument/2006/relationships/hyperlink" Target="http://www.sec.gov/Archives/edgar/data/1356093/000121390022008352/ea155906ex10-1_creative.htm" TargetMode="External"/><Relationship Id="rId39" Type="http://schemas.openxmlformats.org/officeDocument/2006/relationships/hyperlink" Target="http://www.sec.gov/Archives/edgar/data/1356093/000121390022072337/f10q0922ex10-4_creative.htm" TargetMode="External"/><Relationship Id="rId40" Type="http://schemas.openxmlformats.org/officeDocument/2006/relationships/hyperlink" Target="http://www.sec.gov/Archives/edgar/data/1356093/000121390022008352/ea155906ex10-2_creative.htm" TargetMode="External"/><Relationship Id="rId41" Type="http://schemas.openxmlformats.org/officeDocument/2006/relationships/hyperlink" Target="http://www.sec.gov/Archives/edgar/data/1356093/000121390022008352/ea155906ex10-3_creative.htm" TargetMode="External"/><Relationship Id="rId42" Type="http://schemas.openxmlformats.org/officeDocument/2006/relationships/hyperlink" Target="http://www.sec.gov/Archives/edgar/data/1356093/000121390022072337/f10q0922ex10-5_creative.htm" TargetMode="External"/><Relationship Id="rId43" Type="http://schemas.openxmlformats.org/officeDocument/2006/relationships/hyperlink" Target="http://www.sec.gov/Archives/edgar/data/1356093/000121390022008352/ea155906ex10-4_creative.htm" TargetMode="External"/><Relationship Id="rId44" Type="http://schemas.openxmlformats.org/officeDocument/2006/relationships/hyperlink" Target="http://www.sec.gov/Archives/edgar/data/1356093/000143774923003464/ex_475913.htm" TargetMode="External"/><Relationship Id="rId45" Type="http://schemas.openxmlformats.org/officeDocument/2006/relationships/hyperlink" Target="http://www.sec.gov/Archives/edgar/data/1356093/000121390020014877/def14a0620_creative.htm" TargetMode="External"/><Relationship Id="rId46" Type="http://schemas.openxmlformats.org/officeDocument/2006/relationships/hyperlink" Target="http://www.sec.gov/Archives/edgar/data/1356093/000121390022008352/ea155906ex10-5_creative.htm" TargetMode="External"/><Relationship Id="rId47" Type="http://schemas.openxmlformats.org/officeDocument/2006/relationships/hyperlink" Target="http://www.sec.gov/Archives/edgar/data/1356093/000121390022008352/ea155906ex10-6_creative.htm" TargetMode="External"/><Relationship Id="rId48" Type="http://schemas.openxmlformats.org/officeDocument/2006/relationships/hyperlink" Target="http://www.sec.gov/Archives/edgar/data/1356093/000121390022033599/ea161551ex10-1_creativereal.htm" TargetMode="External"/><Relationship Id="rId49" Type="http://schemas.openxmlformats.org/officeDocument/2006/relationships/hyperlink" Target="http://www.sec.gov/Archives/edgar/data/1356093/000121390022033599/ea161551ex10-2_creativereal.htm" TargetMode="External"/><Relationship Id="rId50" Type="http://schemas.openxmlformats.org/officeDocument/2006/relationships/hyperlink" Target="http://www.sec.gov/Archives/edgar/data/1356093/000121390022033599/ea161551ex10-3_creativereal.htm" TargetMode="External"/><Relationship Id="rId51" Type="http://schemas.openxmlformats.org/officeDocument/2006/relationships/hyperlink" Target="http://www.sec.gov/Archives/edgar/data/1356093/000121390022033599/ea161551ex10-4_creativereal.htm" TargetMode="External"/><Relationship Id="rId52" Type="http://schemas.openxmlformats.org/officeDocument/2006/relationships/hyperlink" Target="http://www.sec.gov/Archives/edgar/data/1356093/000121390019005126/f10k2018ex14-1_creativereal.htm" TargetMode="External"/><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43235</Words>
  <CharactersWithSpaces>285291</CharactersWithSpaces>
  <Paragraphs>9328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