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333-296498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June 16, 2026)</w:t>
      </w: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2,528,571 Shares of Common Stock</w:t>
      </w:r>
    </w:p>
    <w:p>
      <w:pPr>
        <w:spacing w:after="0" w:line="225" w:lineRule="exact"/>
        <w:rPr>
          <w:sz w:val="24"/>
          <w:szCs w:val="24"/>
          <w:color w:val="auto"/>
        </w:rPr>
      </w:pPr>
    </w:p>
    <w:p>
      <w:pPr>
        <w:jc w:val="right"/>
        <w:ind w:left="2840" w:right="2740"/>
        <w:spacing w:after="0" w:line="582" w:lineRule="auto"/>
        <w:rPr>
          <w:sz w:val="20"/>
          <w:szCs w:val="20"/>
          <w:color w:val="auto"/>
        </w:rPr>
      </w:pPr>
      <w:r>
        <w:rPr>
          <w:rFonts w:ascii="Times New Roman" w:cs="Times New Roman" w:eastAsia="Times New Roman" w:hAnsi="Times New Roman"/>
          <w:sz w:val="17"/>
          <w:szCs w:val="17"/>
          <w:b w:val="1"/>
          <w:bCs w:val="1"/>
          <w:color w:val="auto"/>
        </w:rPr>
        <w:t>Pre-funded Warrants to Purchase up to 900,000 Shares of Common Stock 900,000 Shares of Common Stock underlying the Pre-Funded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-38735</wp:posOffset>
            </wp:positionV>
            <wp:extent cx="246888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200" w:lineRule="exact"/>
        <w:rPr>
          <w:sz w:val="24"/>
          <w:szCs w:val="24"/>
          <w:color w:val="auto"/>
        </w:rPr>
      </w:pPr>
    </w:p>
    <w:p>
      <w:pPr>
        <w:spacing w:after="0" w:line="245" w:lineRule="exact"/>
        <w:rPr>
          <w:sz w:val="24"/>
          <w:szCs w:val="24"/>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We are offering 2,528,571 shares of our common stock, par value $0.01 per share (the “common stock”), and pre-funded warrants to purchase 900,000 shares of our common stock, including 900,000 shares of common stock underlying the pre-funded warrants. The public offering price for each share of common stock is $3.50. The public offering price for each pre-funded warrant is $3.49.</w:t>
      </w:r>
    </w:p>
    <w:p>
      <w:pPr>
        <w:spacing w:after="0" w:line="176" w:lineRule="exact"/>
        <w:rPr>
          <w:sz w:val="24"/>
          <w:szCs w:val="24"/>
          <w:color w:val="auto"/>
        </w:rPr>
      </w:pPr>
    </w:p>
    <w:p>
      <w:pPr>
        <w:ind w:right="120" w:firstLine="360"/>
        <w:spacing w:after="0" w:line="261" w:lineRule="auto"/>
        <w:rPr>
          <w:sz w:val="20"/>
          <w:szCs w:val="20"/>
          <w:color w:val="auto"/>
        </w:rPr>
      </w:pPr>
      <w:r>
        <w:rPr>
          <w:rFonts w:ascii="Times New Roman" w:cs="Times New Roman" w:eastAsia="Times New Roman" w:hAnsi="Times New Roman"/>
          <w:sz w:val="18"/>
          <w:szCs w:val="18"/>
          <w:color w:val="auto"/>
        </w:rPr>
        <w:t>Each pre-funded warrant is exercisable for one share of common stock at an exercise price of $0.01, which is equal to the par value per share of common stock being sold in this offering. The pre-funded warrants will be exercisable upon issuance, subject to an ownership limitation, and will not expire. See “Description of Securities we are Offering - Pre-Funded Warrants.” This prospectus supplement also relates to the offering of the shares of our common stock issuable upon the exercise of the pre-funded warrants.</w:t>
      </w:r>
    </w:p>
    <w:p>
      <w:pPr>
        <w:spacing w:after="0" w:line="180" w:lineRule="exact"/>
        <w:rPr>
          <w:sz w:val="24"/>
          <w:szCs w:val="24"/>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“CREX”. On June 26, 2026, the last reported sale price of our common stock on Nasdaq was $4.10 per share. There is no established public trading market for the pre-funded warrants and we do not expect a market to develop. In addition, we do not intend to list the pre-funded warrants on any national securities exchange or any other trading system.</w:t>
      </w:r>
    </w:p>
    <w:p>
      <w:pPr>
        <w:spacing w:after="0" w:line="176" w:lineRule="exact"/>
        <w:rPr>
          <w:sz w:val="24"/>
          <w:szCs w:val="24"/>
          <w:color w:val="auto"/>
        </w:rPr>
      </w:pPr>
    </w:p>
    <w:p>
      <w:pPr>
        <w:ind w:right="80" w:firstLine="360"/>
        <w:spacing w:after="0" w:line="254" w:lineRule="auto"/>
        <w:rPr>
          <w:sz w:val="20"/>
          <w:szCs w:val="20"/>
          <w:color w:val="auto"/>
        </w:rPr>
      </w:pPr>
      <w:r>
        <w:rPr>
          <w:rFonts w:ascii="Times New Roman" w:cs="Times New Roman" w:eastAsia="Times New Roman" w:hAnsi="Times New Roman"/>
          <w:sz w:val="18"/>
          <w:szCs w:val="18"/>
          <w:color w:val="auto"/>
        </w:rPr>
        <w:t>As of June 29, 2026, the aggregate market value of our outstanding common stock held by non-affiliates was approximately $40.5 million, which was calculated based on 9,878,159 shares of common stock that were outstanding and held by non-affiliates as of June 22, 2026 and a price per share of $4.10, the closing price of our common stock on Nasdaq on June 26, 2026. Pursuant to General Instruction I.B.6. of Form S-3, in no event will we sell securities, registered on the registration statement of which this prospectus supplement is a part, in a public primary offering with a value exceeding more than one-third of the aggregate market value of our common stock in any 12 calendar month period so long as the aggregate market value of our outstanding common stock held by non-affiliates remains below $75 million. During the 12 calendar months prior to, and including, the date of this prospectus supplement, we have not sold any securities pursuant to General Instruction I.B.6. of Form S-3. Following the sale of securities in this offering, we will have sold securities with an aggregate gross sale price of $13.5 million pursuant to General Instruction I.B.6 of Form S-3 during the 12 calendar months prior to and including the date of this prospectus supplement.</w:t>
      </w:r>
    </w:p>
    <w:p>
      <w:pPr>
        <w:spacing w:after="0" w:line="184" w:lineRule="exact"/>
        <w:rPr>
          <w:sz w:val="24"/>
          <w:szCs w:val="24"/>
          <w:color w:val="auto"/>
        </w:rPr>
      </w:pPr>
    </w:p>
    <w:p>
      <w:pPr>
        <w:ind w:right="14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beginning on page S-</w:t>
      </w: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b w:val="1"/>
          <w:bCs w:val="1"/>
          <w:color w:val="auto"/>
        </w:rPr>
        <w:t xml:space="preserve"> of this prospectus supplement, page 2 of the accompanying prospectus and under similar headings in the other documents that are incorporated by reference into this prospectus supplement and the accompanying prospectus.</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 Pre-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4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4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11,990,998.50</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5"/>
                <w:szCs w:val="25"/>
                <w:color w:val="auto"/>
                <w:vertAlign w:val="superscript"/>
              </w:rPr>
              <w:t>(1)</w:t>
            </w:r>
          </w:p>
        </w:tc>
        <w:tc>
          <w:tcPr>
            <w:tcW w:w="17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0.2094</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667,859.97(1)</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7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3.2806</w:t>
            </w:r>
          </w:p>
        </w:tc>
        <w:tc>
          <w:tcPr>
            <w:tcW w:w="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11,323,138.53(1)</w:t>
            </w:r>
          </w:p>
        </w:tc>
      </w:tr>
    </w:tbl>
    <w:p>
      <w:pPr>
        <w:spacing w:after="0" w:line="196" w:lineRule="exact"/>
        <w:rPr>
          <w:sz w:val="24"/>
          <w:szCs w:val="24"/>
          <w:color w:val="auto"/>
        </w:rPr>
      </w:pPr>
    </w:p>
    <w:p>
      <w:pPr>
        <w:ind w:left="220" w:right="280" w:hanging="215"/>
        <w:spacing w:after="0" w:line="290" w:lineRule="auto"/>
        <w:rPr>
          <w:sz w:val="20"/>
          <w:szCs w:val="20"/>
          <w:color w:val="auto"/>
        </w:rPr>
      </w:pPr>
      <w:r>
        <w:rPr>
          <w:rFonts w:ascii="Times New Roman" w:cs="Times New Roman" w:eastAsia="Times New Roman" w:hAnsi="Times New Roman"/>
          <w:sz w:val="17"/>
          <w:szCs w:val="17"/>
          <w:color w:val="auto"/>
        </w:rPr>
        <w:t>(1)See the information in the section titled “</w:t>
      </w:r>
      <w:r>
        <w:rPr>
          <w:rFonts w:ascii="Times New Roman" w:cs="Times New Roman" w:eastAsia="Times New Roman" w:hAnsi="Times New Roman"/>
          <w:sz w:val="17"/>
          <w:szCs w:val="17"/>
          <w:i w:val="1"/>
          <w:iCs w:val="1"/>
          <w:color w:val="auto"/>
        </w:rPr>
        <w:t>Underwriting</w:t>
      </w:r>
      <w:r>
        <w:rPr>
          <w:rFonts w:ascii="Times New Roman" w:cs="Times New Roman" w:eastAsia="Times New Roman" w:hAnsi="Times New Roman"/>
          <w:sz w:val="17"/>
          <w:szCs w:val="17"/>
          <w:color w:val="auto"/>
        </w:rPr>
        <w:t>” in this prospectus supplement for a description of the compensation to be received by the underwriter. The total amount of underwriting discounts and commissions set forth in the table above has been reduced to reflect that the underwriter will not receive any discounts or commissions for 245,714 shares sold in this offering that we expect to be purchased by our directors and officers.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We have granted the underwriter a 30-day option to purchase up to an additional 428,614 shares of common stock from us at the public offering price, less underwriting discounts and commissions, and on the same terms and conditions as set forth above.</w:t>
      </w:r>
    </w:p>
    <w:p>
      <w:pPr>
        <w:spacing w:after="0" w:line="162"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Certain of our directors and officers have indicated an interest in purchasing up to $850,000 of shares of our common stock in this offering at the public offering price. However, because indications of interest are not binding agreements or commitments to purchase, the underwriter could determine to sell more, less or no shares to any of these potential investors, and any of these potential investors could determine to purchase more, less or no shares in this offering.</w:t>
      </w:r>
    </w:p>
    <w:p>
      <w:pPr>
        <w:spacing w:after="0" w:line="176" w:lineRule="exact"/>
        <w:rPr>
          <w:sz w:val="20"/>
          <w:szCs w:val="20"/>
          <w:color w:val="auto"/>
        </w:rPr>
      </w:pPr>
    </w:p>
    <w:p>
      <w:pPr>
        <w:ind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The underwriter expects to deliver the shares of common stock and pre-funded warrants against payment therefor on or about June 30, 2026.</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Craig-Hallum</w:t>
      </w: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date of this prospectus supplement is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6640" w:type="dxa"/>
            <w:vAlign w:val="bottom"/>
            <w:gridSpan w:val="2"/>
          </w:tcPr>
          <w:p>
            <w:pPr>
              <w:jc w:val="center"/>
              <w:ind w:right="45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432"/>
        </w:trPr>
        <w:tc>
          <w:tcPr>
            <w:tcW w:w="4600" w:type="dxa"/>
            <w:vAlign w:val="bottom"/>
          </w:tcPr>
          <w:p>
            <w:pPr>
              <w:spacing w:after="0"/>
              <w:rPr>
                <w:sz w:val="24"/>
                <w:szCs w:val="24"/>
                <w:color w:val="auto"/>
              </w:rPr>
            </w:pPr>
          </w:p>
        </w:tc>
        <w:tc>
          <w:tcPr>
            <w:tcW w:w="6640" w:type="dxa"/>
            <w:vAlign w:val="bottom"/>
            <w:gridSpan w:val="2"/>
          </w:tcPr>
          <w:p>
            <w:pPr>
              <w:jc w:val="center"/>
              <w:ind w:right="451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r>
      <w:tr>
        <w:trPr>
          <w:trHeight w:val="432"/>
        </w:trPr>
        <w:tc>
          <w:tcPr>
            <w:tcW w:w="46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r>
              <w:rPr>
                <w:rFonts w:ascii="Times New Roman" w:cs="Times New Roman" w:eastAsia="Times New Roman" w:hAnsi="Times New Roman"/>
                <w:sz w:val="18"/>
                <w:szCs w:val="18"/>
                <w:color w:val="auto"/>
              </w:rPr>
              <w:t>​</w:t>
            </w: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 Supplement</w:t>
            </w:r>
          </w:p>
        </w:tc>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​S-1</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Prospectus Supplement Summary</w:t>
            </w:r>
          </w:p>
        </w:tc>
        <w:tc>
          <w:tcPr>
            <w:tcW w:w="5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S-2</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Offering</w:t>
            </w:r>
          </w:p>
        </w:tc>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S-5</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S-7</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Cautionary Statement Regarding Forward-Looking Statements</w:t>
            </w:r>
          </w:p>
        </w:tc>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S-9</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S-11</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S-12</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Dilution</w:t>
            </w:r>
          </w:p>
        </w:tc>
        <w:tc>
          <w:tcPr>
            <w:tcW w:w="5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S-13</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Securities We Are Offering</w:t>
            </w:r>
          </w:p>
        </w:tc>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S-14</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w:t>
            </w:r>
          </w:p>
        </w:tc>
        <w:tc>
          <w:tcPr>
            <w:tcW w:w="5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S-16</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S-21</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5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S-21</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S-21</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57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S-22</w:t>
            </w:r>
          </w:p>
        </w:tc>
      </w:tr>
      <w:tr>
        <w:trPr>
          <w:trHeight w:val="846"/>
        </w:trPr>
        <w:tc>
          <w:tcPr>
            <w:tcW w:w="4600" w:type="dxa"/>
            <w:vAlign w:val="bottom"/>
          </w:tcPr>
          <w:p>
            <w:pPr>
              <w:spacing w:after="0"/>
              <w:rPr>
                <w:sz w:val="24"/>
                <w:szCs w:val="24"/>
                <w:color w:val="auto"/>
              </w:rPr>
            </w:pPr>
          </w:p>
        </w:tc>
        <w:tc>
          <w:tcPr>
            <w:tcW w:w="6640" w:type="dxa"/>
            <w:vAlign w:val="bottom"/>
            <w:gridSpan w:val="2"/>
          </w:tcPr>
          <w:p>
            <w:pPr>
              <w:jc w:val="center"/>
              <w:ind w:right="451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432"/>
        </w:trPr>
        <w:tc>
          <w:tcPr>
            <w:tcW w:w="46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5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The Company</w:t>
            </w:r>
          </w:p>
        </w:tc>
        <w:tc>
          <w:tcPr>
            <w:tcW w:w="6640" w:type="dxa"/>
            <w:vAlign w:val="bottom"/>
            <w:gridSpan w:val="2"/>
          </w:tcPr>
          <w:p>
            <w:pPr>
              <w:jc w:val="center"/>
              <w:ind w:left="56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640" w:type="dxa"/>
            <w:vAlign w:val="bottom"/>
            <w:gridSpan w:val="2"/>
            <w:shd w:val="clear" w:color="auto" w:fill="CCEEFF"/>
          </w:tcPr>
          <w:p>
            <w:pPr>
              <w:jc w:val="center"/>
              <w:ind w:left="56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6640" w:type="dxa"/>
            <w:vAlign w:val="bottom"/>
            <w:gridSpan w:val="2"/>
          </w:tcPr>
          <w:p>
            <w:pPr>
              <w:jc w:val="center"/>
              <w:ind w:left="565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640" w:type="dxa"/>
            <w:vAlign w:val="bottom"/>
            <w:gridSpan w:val="2"/>
            <w:shd w:val="clear" w:color="auto" w:fill="CCEEFF"/>
          </w:tcPr>
          <w:p>
            <w:pPr>
              <w:jc w:val="center"/>
              <w:ind w:left="565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Dilution</w:t>
            </w:r>
          </w:p>
        </w:tc>
        <w:tc>
          <w:tcPr>
            <w:tcW w:w="6640" w:type="dxa"/>
            <w:vAlign w:val="bottom"/>
            <w:gridSpan w:val="2"/>
          </w:tcPr>
          <w:p>
            <w:pPr>
              <w:jc w:val="center"/>
              <w:ind w:left="56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6640" w:type="dxa"/>
            <w:vAlign w:val="bottom"/>
            <w:gridSpan w:val="2"/>
            <w:shd w:val="clear" w:color="auto" w:fill="CCEEFF"/>
          </w:tcPr>
          <w:p>
            <w:pPr>
              <w:jc w:val="center"/>
              <w:ind w:left="565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6640" w:type="dxa"/>
            <w:vAlign w:val="bottom"/>
            <w:gridSpan w:val="2"/>
          </w:tcPr>
          <w:p>
            <w:pPr>
              <w:jc w:val="center"/>
              <w:ind w:left="565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Warrants</w:t>
            </w:r>
          </w:p>
        </w:tc>
        <w:tc>
          <w:tcPr>
            <w:tcW w:w="6640" w:type="dxa"/>
            <w:vAlign w:val="bottom"/>
            <w:gridSpan w:val="2"/>
            <w:shd w:val="clear" w:color="auto" w:fill="CCEEFF"/>
          </w:tcPr>
          <w:p>
            <w:pPr>
              <w:jc w:val="center"/>
              <w:ind w:left="565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6640" w:type="dxa"/>
            <w:vAlign w:val="bottom"/>
            <w:gridSpan w:val="2"/>
          </w:tcPr>
          <w:p>
            <w:pPr>
              <w:jc w:val="center"/>
              <w:ind w:left="565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6640" w:type="dxa"/>
            <w:vAlign w:val="bottom"/>
            <w:gridSpan w:val="2"/>
            <w:shd w:val="clear" w:color="auto" w:fill="CCEEFF"/>
          </w:tcPr>
          <w:p>
            <w:pPr>
              <w:jc w:val="center"/>
              <w:ind w:left="565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6640" w:type="dxa"/>
            <w:vAlign w:val="bottom"/>
            <w:gridSpan w:val="2"/>
          </w:tcPr>
          <w:p>
            <w:pPr>
              <w:jc w:val="center"/>
              <w:ind w:left="565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6640" w:type="dxa"/>
            <w:vAlign w:val="bottom"/>
            <w:gridSpan w:val="2"/>
            <w:shd w:val="clear" w:color="auto" w:fill="CCEEFF"/>
          </w:tcPr>
          <w:p>
            <w:pPr>
              <w:jc w:val="center"/>
              <w:ind w:left="5650"/>
              <w:spacing w:after="0"/>
              <w:rPr>
                <w:sz w:val="20"/>
                <w:szCs w:val="20"/>
                <w:color w:val="auto"/>
              </w:rPr>
            </w:pPr>
            <w:r>
              <w:rPr>
                <w:rFonts w:ascii="Times New Roman" w:cs="Times New Roman" w:eastAsia="Times New Roman" w:hAnsi="Times New Roman"/>
                <w:sz w:val="18"/>
                <w:szCs w:val="18"/>
                <w:color w:val="auto"/>
                <w:w w:val="99"/>
              </w:rPr>
              <w:t>19</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Important Information Incorporated by Reference</w:t>
            </w:r>
          </w:p>
        </w:tc>
        <w:tc>
          <w:tcPr>
            <w:tcW w:w="6640" w:type="dxa"/>
            <w:vAlign w:val="bottom"/>
            <w:gridSpan w:val="2"/>
          </w:tcPr>
          <w:p>
            <w:pPr>
              <w:jc w:val="center"/>
              <w:ind w:left="5650"/>
              <w:spacing w:after="0"/>
              <w:rPr>
                <w:sz w:val="20"/>
                <w:szCs w:val="20"/>
                <w:color w:val="auto"/>
              </w:rPr>
            </w:pPr>
            <w:r>
              <w:rPr>
                <w:rFonts w:ascii="Times New Roman" w:cs="Times New Roman" w:eastAsia="Times New Roman" w:hAnsi="Times New Roman"/>
                <w:sz w:val="18"/>
                <w:szCs w:val="18"/>
                <w:color w:val="auto"/>
                <w:w w:val="99"/>
              </w:rPr>
              <w:t>20</w:t>
            </w:r>
          </w:p>
        </w:tc>
      </w:tr>
      <w:tr>
        <w:trPr>
          <w:trHeight w:val="772"/>
        </w:trPr>
        <w:tc>
          <w:tcPr>
            <w:tcW w:w="46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 part of a registration statement on Form S-3 that we filed with the Securities and Exchange Commission (the “SEC”) using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This prospectus supplement may add, update or change information contained in the accompanying prospectus. Generally, when we refer to this prospectus, we are referring to both parts of this document combined.</w:t>
      </w:r>
    </w:p>
    <w:p>
      <w:pPr>
        <w:spacing w:after="0" w:line="183"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statements made in the accompanying prospectus and such documents incorporated by reference herein and therein. Before investing in our securities, you should read this prospectus supplement and the accompanying prospectus, including the information incorporated by reference herein and therein, and any related free writing prospectus that we have authorized for use in connection with this offering.</w:t>
      </w:r>
    </w:p>
    <w:p>
      <w:pPr>
        <w:spacing w:after="0" w:line="183"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that we have included or incorporated by reference in this prospectus supplement, the accompanying prospectus and any related free writing prospectus that we may authorize to be provided to you. We have not, and the underwriters have not, authorized anyone to give any information or to make any representation other than those contained or incorporated by reference in this prospectus supplement, the accompanying prospectus or any related free writing prospectus that we may authorize to be provided to you. You must not rely upon any information or representation not contained or incorporated by reference in this prospectus supplement, the accompanying prospectus or any related free writing prospectus. This prospectus supplement, the accompanying prospectus and any related free writing prospectus do not constitute an offer to sell or the solicitation of an offer to buy any securities other than the registered securities to which they relate, nor does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8" w:lineRule="exact"/>
        <w:rPr>
          <w:sz w:val="20"/>
          <w:szCs w:val="20"/>
          <w:color w:val="auto"/>
        </w:rPr>
      </w:pPr>
    </w:p>
    <w:p>
      <w:pPr>
        <w:ind w:right="160" w:firstLine="36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w:t>
      </w:r>
    </w:p>
    <w:p>
      <w:pPr>
        <w:spacing w:after="0" w:line="180"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183"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Unless we state otherwise or the context indicates otherwise, references in this prospectus supplement to “Creative Realities,” the “Company,” “we,” “our,” “us” or similar terms mean Creative Realities, Inc. together with its direct and indirect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96455" cy="7204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6455" cy="7204710"/>
                    </a:xfrm>
                    <a:prstGeom prst="rect">
                      <a:avLst/>
                    </a:prstGeom>
                    <a:noFill/>
                  </pic:spPr>
                </pic:pic>
              </a:graphicData>
            </a:graphic>
          </wp:anchor>
        </w:drawing>
        <w:t>PROSPECTUS SUPPLEMENT SUMMARY</w:t>
      </w:r>
    </w:p>
    <w:p>
      <w:pPr>
        <w:spacing w:after="0" w:line="227" w:lineRule="exact"/>
        <w:rPr>
          <w:sz w:val="20"/>
          <w:szCs w:val="20"/>
          <w:color w:val="auto"/>
        </w:rPr>
      </w:pPr>
    </w:p>
    <w:p>
      <w:pPr>
        <w:ind w:right="2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about us, this offering and information appearing elsewhere in this prospectus supplement, in the accompanying prospectus and in the documents we incorporate by reference. This summary is not complete and does not contain all the information you should consider before investing in our securities. Before investing in our securities, you should carefully read this entire prospectus supplement and the accompanying prospectus, including the information incorporated by reference herein and therein, especially the matters discussed in the information set forth under the sections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prospectus supplement, the accompanying prospectus and in the documents incorporated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Company transforms environments through digital solutions by providing innovative digital signage solutions for key market segments and use cases, including:</w:t>
      </w:r>
    </w:p>
    <w:p>
      <w:pPr>
        <w:spacing w:after="0" w:line="162" w:lineRule="exact"/>
        <w:rPr>
          <w:sz w:val="20"/>
          <w:szCs w:val="20"/>
          <w:color w:val="auto"/>
        </w:rPr>
      </w:pPr>
    </w:p>
    <w:p>
      <w:pPr>
        <w:ind w:left="640" w:hanging="32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2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Quick Service Restaurants</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Lottery</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out of Home Advertising Networks</w:t>
      </w:r>
    </w:p>
    <w:p>
      <w:pPr>
        <w:spacing w:after="0" w:line="207" w:lineRule="exact"/>
        <w:rPr>
          <w:sz w:val="20"/>
          <w:szCs w:val="20"/>
          <w:color w:val="auto"/>
        </w:rPr>
      </w:pPr>
    </w:p>
    <w:p>
      <w:pPr>
        <w:jc w:val="both"/>
        <w:ind w:right="60" w:firstLine="360"/>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76" w:lineRule="exact"/>
        <w:rPr>
          <w:sz w:val="20"/>
          <w:szCs w:val="20"/>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w:t>
      </w:r>
    </w:p>
    <w:p>
      <w:pPr>
        <w:spacing w:after="0" w:line="2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 and</w:t>
      </w:r>
    </w:p>
    <w:p>
      <w:pPr>
        <w:spacing w:after="0" w:line="9"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Traffic content and advertising.</w:t>
      </w:r>
    </w:p>
    <w:p>
      <w:pPr>
        <w:spacing w:after="0" w:line="207"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the Company assists customers to design, deploy, manage, and monetize their digital signage and in-store retail media networks. The Company sources leads and opportunities for its solutions through its digital and content marketing initiatives, close relationships with key industry partners, including equipment manufacturers and a media sales agent,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Market Opportunity</w:t>
      </w:r>
    </w:p>
    <w:p>
      <w:pPr>
        <w:spacing w:after="0" w:line="227"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We have been actively deploying a four-screen digital signage system into more than 3,000 store locations since 2018, including all hardware, installation, and software. As of the date of this prospectus supplement, we have deployed over 17,000 displays, and we are aiming to reach more than 40,000 displays.</w:t>
      </w:r>
    </w:p>
    <w:p>
      <w:pPr>
        <w:spacing w:after="0" w:line="3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00" w:top="738" w:right="399" w:bottom="1440" w:gutter="0" w:footer="0" w:header="0"/>
        </w:sectPr>
      </w:pPr>
    </w:p>
    <w:bookmarkStart w:id="5" w:name="page6"/>
    <w:bookmarkEnd w:id="5"/>
    <w:p>
      <w:pPr>
        <w:ind w:right="220" w:firstLine="3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96455" cy="6656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6455" cy="6656070"/>
                    </a:xfrm>
                    <a:prstGeom prst="rect">
                      <a:avLst/>
                    </a:prstGeom>
                    <a:noFill/>
                  </pic:spPr>
                </pic:pic>
              </a:graphicData>
            </a:graphic>
          </wp:anchor>
        </w:drawing>
        <w:t>Recently, one of our leading competitors has faced significant service and execution challenges, leading to a significant near-term revenue opportunity in the industry. Management estimates that this disruption has created a revenue opportunity within the industry of approximately $40.0 million, including approximately $20.0 million of near-term SaaS revenue and approximately $20.0 million of annual hardware and services revenue.</w:t>
      </w:r>
    </w:p>
    <w:p>
      <w:pPr>
        <w:spacing w:after="0" w:line="158" w:lineRule="exact"/>
        <w:rPr>
          <w:sz w:val="20"/>
          <w:szCs w:val="20"/>
          <w:color w:val="auto"/>
        </w:rPr>
      </w:pPr>
    </w:p>
    <w:p>
      <w:pPr>
        <w:ind w:right="280" w:firstLine="360"/>
        <w:spacing w:after="0" w:line="282" w:lineRule="auto"/>
        <w:rPr>
          <w:sz w:val="20"/>
          <w:szCs w:val="20"/>
          <w:color w:val="auto"/>
        </w:rPr>
      </w:pPr>
      <w:r>
        <w:rPr>
          <w:rFonts w:ascii="Times New Roman" w:cs="Times New Roman" w:eastAsia="Times New Roman" w:hAnsi="Times New Roman"/>
          <w:sz w:val="18"/>
          <w:szCs w:val="18"/>
          <w:color w:val="auto"/>
        </w:rPr>
        <w:t>We believe these circumstances provide an opportunity for us to expand our growth strategy. To the extent our growth strategy drives additional revenue, we anticipate that our margins will grow as our revenue increases.</w:t>
      </w:r>
    </w:p>
    <w:p>
      <w:pPr>
        <w:spacing w:after="0" w:line="162"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Although we believe that we are well positioned to capitalize on these market opportunities, including those arising from the financial distress of certain competitors, there can be no assurance that we will be successful in doing so or that such opportunities will materialize to the extent we currently anticipate.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the CDM Business</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November 7, 2025, we completed an acquisition of DDC Group International, Inc. (“DDC”), a wholly owned subsidiary of Cineplex Entertainment Limited Partnership. DDC was the parent company of its wholly owned subsidiary, Cineplex Digital Media Inc. (“CDM”) and CDM’s wholly owned subsidiary, Cineplex Digital Media U.S. Inc. (“CDMUS”), which we collectively refer to as the “CDM Business.” The acquisition combined two highly complementary market leaders with significant revenue bases. At the time of the acquisition, we expected that the operation of the CDM Business within our combined company would lead to significant cost savings as a result of synergies. As of the date of this prospectus supplement, we believe that the CDM Business has already captured more than $6.0 million of annualized cost savings from such synergies.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Preliminary Fiscal 2026 Second Quarter Unaudited Financial Results</w:t>
      </w:r>
    </w:p>
    <w:p>
      <w:pPr>
        <w:spacing w:after="0" w:line="22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expect unaudited revenue for the three months ended June 30, 2026 in a range between $21.0 million and $23.0 million. For the three months ended June 30, 2026, we expect Adjusted EBITDA in a range between $2.0 million and $2.2 million, reflecting an Adjusted EBITDA margin of approximately 10.0%.</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2026 second quarter will not be completed until after the completion of this offering and, as a result, the anticipated ranges of unaudited revenue and Adjusted EBITDA for the three months ended June 30, 2026 presented above are preliminary results only. These preliminary results reflect our preliminary estimates with respect to such results based on currently available information and are inherently uncertain and subject to change. After completion of our second quarter, our actual quarterly results will remain subject to the completion of our quarter-end closing process, which includes a final review by our management and audit committee. During the course of the preparation of the financial statements and related notes and our final review, additional items that require material adjustments to the preliminary unaudited revenue and Adjusted EBITDA presented above may be identified. Therefore, you should not place undue reliance upon these preliminary financial results. See the sections entitled “Risk Factors” and “Cautionary Statement Regarding Forward-Looking Statements” for additional information regarding factors that could result in differences between the preliminary estimates of our financial results described above and the actual financial results we will report for the fiscal quarter ended June 30, 2026. We undertake no obligation to update or revise the estimates set forth in this prospectus supplement as a result of new information, future events or otherwise, except as otherwise required by law.</w:t>
      </w:r>
    </w:p>
    <w:p>
      <w:pPr>
        <w:spacing w:after="0" w:line="1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preliminary unaudited financial estimates for the three months ended June 30, 2026 described above have been prepared by, and are the responsibility of, management. Grant Thornton LLP, our independent registered public accounting firm, and PricewaterhouseCoopers LLP (“PwC”), the independent registered public accounting firm for DDC, have not audited, reviewed or performed any procedures with respect to such preliminary unaudited financial information. Accordingly, Grant Thornton LLP and PwC do not express an opinion or any other form of assurance with respect thereto.</w:t>
      </w:r>
    </w:p>
    <w:p>
      <w:pPr>
        <w:spacing w:after="0" w:line="34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00" w:top="742"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96455" cy="446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4461510"/>
                    </a:xfrm>
                    <a:prstGeom prst="rect">
                      <a:avLst/>
                    </a:prstGeom>
                    <a:noFill/>
                  </pic:spPr>
                </pic:pic>
              </a:graphicData>
            </a:graphic>
          </wp:anchor>
        </w:drawing>
        <w:t>Non-GAAP Measures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providing preliminary Adjusted EBITDA results only on a non-GAAP basis, and a reconciliation of this forward-looking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measure to the most directly comparable GAAP measure has not been provided in reliance on Item 10(e)(1)(i)(B) of Regulation S-K because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reconciliation is not available without unreasonable efforts as a result of certain of the adjustments utilized.</w:t>
      </w:r>
    </w:p>
    <w:p>
      <w:pPr>
        <w:spacing w:after="0" w:line="2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define “EBITDA” as earnings before interest, income taxes, depreciation and amortization of intangibles. We define “Adjusted EBITDA” as EBITDA excluding stock-based compensation, fair value adjustments and both cash and non-cash non-recurring gains and charges. Adjusted EBITDA is not a measure of performance defined in accordance with GAAP. We believe Adjusted EBITDA is a useful financial metric because it allows external users of our financial statements, such as industry analysts, investors, lenders and rating agencies, to more effectively evaluate our operating performance, compare the results of our operations from period to period and against our peers without regard to our financing methods, hedging positions or capital structure and because they highlight trends in our business that may not otherwise be apparent when relying solely on GAAP measures. We also present Adjusted EBITDA because we believe Adjusted EBITDA is an important supplemental measure of our performance that is frequently used by others in evaluating companies in its industry. Accordingly, management believes that disclosure of this metric offers industry analysts, investors, lenders, rating agencies and other stakeholders an additional view of our operations that, when coupled with the GAAP results, provides a more complete understanding of our financial results.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our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Organization</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originally incorporated and organized as a Minnesota corporation under the name “Wireless Ronin Technologies, Inc.” in March 2003 and focused on our expertise in digital media marketing solutions, including digital signage, interactive kiosks, mobile, social media, and web-based media solutions. We acquired the interactive marketing technology business that we currently operate in a 2014 merger with Creative Realities, LLC. Shortly after that merger, we changed our corporate name from “Wireless Ronin Technologies, Inc.” to “Creative Realities, Inc.” On October 15, 2015, we acquired the systems integration and marketing technology business of ConeXus World Global, LLC. On November 20, 2018, we acquired Allure, an enterprise software development company. On February 17, 2022, we acquired Reflect Systems, Inc. On November 7, 2025, we acquired the CDM Business.</w:t>
      </w:r>
    </w:p>
    <w:p>
      <w:pPr>
        <w:spacing w:after="0" w:line="3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500" w:top="740" w:right="459" w:bottom="1440" w:gutter="0" w:footer="0" w:header="0"/>
        </w:sectPr>
      </w:pPr>
    </w:p>
    <w:bookmarkStart w:id="7" w:name="page8"/>
    <w:bookmarkEnd w:id="7"/>
    <w:p>
      <w:pPr>
        <w:spacing w:after="0" w:line="200" w:lineRule="exact"/>
        <w:rPr>
          <w:sz w:val="20"/>
          <w:szCs w:val="20"/>
          <w:color w:val="auto"/>
        </w:rPr>
      </w:pPr>
    </w:p>
    <w:p>
      <w:pPr>
        <w:spacing w:after="0" w:line="2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Pre-funded warrants offered by us:</w:t>
      </w:r>
    </w:p>
    <w:p>
      <w:pPr>
        <w:spacing w:after="0" w:line="20" w:lineRule="exact"/>
        <w:rPr>
          <w:sz w:val="20"/>
          <w:szCs w:val="20"/>
          <w:color w:val="auto"/>
        </w:rPr>
      </w:pPr>
      <w:r>
        <w:rPr>
          <w:sz w:val="20"/>
          <w:szCs w:val="20"/>
          <w:color w:val="auto"/>
        </w:rPr>
        <w:br w:type="column"/>
      </w:r>
    </w:p>
    <w:p>
      <w:pPr>
        <w:ind w:left="17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-358775</wp:posOffset>
            </wp:positionV>
            <wp:extent cx="7196455" cy="7067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706755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2,528,571 shares, plus shares of our common stock underlying the pre-funded warrants offered hereby</w:t>
      </w:r>
    </w:p>
    <w:p>
      <w:pPr>
        <w:spacing w:after="0" w:line="225"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Pre-funded warrants to purchase 900,000 shares of common stock at an exercise price of $0.01 per share, which is equal to the par value per share of common stock being sold in this offering. The pre-funded warrants will be exercisable upon issuance, subject to an ownership limitation, and will not expire. See “Description of Securities we are Offering - Pre-Funded Warrants.” This prospectus supplement also relates to the offering of the shares of our common stock issuable upon exercise of the pre-funded warrants.</w:t>
      </w:r>
    </w:p>
    <w:p>
      <w:pPr>
        <w:spacing w:after="0" w:line="187" w:lineRule="exact"/>
        <w:rPr>
          <w:sz w:val="20"/>
          <w:szCs w:val="20"/>
          <w:color w:val="auto"/>
        </w:rPr>
      </w:pPr>
    </w:p>
    <w:p>
      <w:pPr>
        <w:sectPr>
          <w:pgSz w:w="11900" w:h="16838" w:orient="portrait"/>
          <w:cols w:equalWidth="0" w:num="2">
            <w:col w:w="2760" w:space="720"/>
            <w:col w:w="7860"/>
          </w:cols>
          <w:pgMar w:left="320" w:top="738"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to be outstanding</w:t>
            </w: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13,097,892 shares, excluding shares issuable upon exercise of the pre-funded warrants offered hereby</w:t>
            </w:r>
          </w:p>
        </w:tc>
      </w:tr>
      <w:tr>
        <w:trPr>
          <w:trHeight w:val="398"/>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immediately after the offering</w:t>
            </w:r>
            <w:r>
              <w:rPr>
                <w:rFonts w:ascii="Times New Roman" w:cs="Times New Roman" w:eastAsia="Times New Roman" w:hAnsi="Times New Roman"/>
                <w:sz w:val="29"/>
                <w:szCs w:val="29"/>
                <w:color w:val="auto"/>
                <w:vertAlign w:val="superscript"/>
              </w:rPr>
              <w:t>(1)</w:t>
            </w:r>
          </w:p>
        </w:tc>
        <w:tc>
          <w:tcPr>
            <w:tcW w:w="8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price per share of common</w:t>
            </w: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$3.50 per share</w:t>
            </w:r>
          </w:p>
        </w:tc>
      </w:tr>
      <w:tr>
        <w:trPr>
          <w:trHeight w:val="234"/>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8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price per pre-funded warrant</w:t>
            </w: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$3.49 per pre-funded warrant, which is the difference between the offering price per share of common</w:t>
            </w:r>
          </w:p>
        </w:tc>
      </w:tr>
      <w:tr>
        <w:trPr>
          <w:trHeight w:val="234"/>
        </w:trPr>
        <w:tc>
          <w:tcPr>
            <w:tcW w:w="3180" w:type="dxa"/>
            <w:vAlign w:val="bottom"/>
          </w:tcPr>
          <w:p>
            <w:pPr>
              <w:spacing w:after="0"/>
              <w:rPr>
                <w:sz w:val="20"/>
                <w:szCs w:val="20"/>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stock offered hereby and the per share pre-funded warrant exercise price</w:t>
            </w:r>
          </w:p>
        </w:tc>
      </w:tr>
      <w:tr>
        <w:trPr>
          <w:trHeight w:val="41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 to purchase additional shares</w:t>
            </w: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We have granted the underwriter an option for a period of 30 days after the date of this prospectus</w:t>
            </w:r>
          </w:p>
        </w:tc>
      </w:tr>
      <w:tr>
        <w:trPr>
          <w:trHeight w:val="216"/>
        </w:trPr>
        <w:tc>
          <w:tcPr>
            <w:tcW w:w="3180" w:type="dxa"/>
            <w:vAlign w:val="bottom"/>
          </w:tcPr>
          <w:p>
            <w:pPr>
              <w:spacing w:after="0"/>
              <w:rPr>
                <w:sz w:val="18"/>
                <w:szCs w:val="18"/>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supplement to purchase up to an additional 428,614 shares of our common stock at the public offering</w:t>
            </w:r>
          </w:p>
        </w:tc>
      </w:tr>
      <w:tr>
        <w:trPr>
          <w:trHeight w:val="234"/>
        </w:trPr>
        <w:tc>
          <w:tcPr>
            <w:tcW w:w="3180" w:type="dxa"/>
            <w:vAlign w:val="bottom"/>
          </w:tcPr>
          <w:p>
            <w:pPr>
              <w:spacing w:after="0"/>
              <w:rPr>
                <w:sz w:val="20"/>
                <w:szCs w:val="20"/>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price, less underwriting discounts and commissions.</w:t>
            </w:r>
          </w:p>
        </w:tc>
      </w:tr>
      <w:tr>
        <w:trPr>
          <w:trHeight w:val="41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estimated underwriting</w:t>
            </w:r>
          </w:p>
        </w:tc>
      </w:tr>
      <w:tr>
        <w:trPr>
          <w:trHeight w:val="216"/>
        </w:trPr>
        <w:tc>
          <w:tcPr>
            <w:tcW w:w="3180" w:type="dxa"/>
            <w:vAlign w:val="bottom"/>
          </w:tcPr>
          <w:p>
            <w:pPr>
              <w:spacing w:after="0"/>
              <w:rPr>
                <w:sz w:val="18"/>
                <w:szCs w:val="18"/>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discounts and commissions and estimated offering expenses payable by us, will be approximately $10.9</w:t>
            </w:r>
          </w:p>
        </w:tc>
      </w:tr>
      <w:tr>
        <w:trPr>
          <w:trHeight w:val="216"/>
        </w:trPr>
        <w:tc>
          <w:tcPr>
            <w:tcW w:w="3180" w:type="dxa"/>
            <w:vAlign w:val="bottom"/>
          </w:tcPr>
          <w:p>
            <w:pPr>
              <w:spacing w:after="0"/>
              <w:rPr>
                <w:sz w:val="18"/>
                <w:szCs w:val="18"/>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million. We intend to use the net proceeds from this offering to repay approximately $1.0 million of our</w:t>
            </w:r>
          </w:p>
        </w:tc>
      </w:tr>
      <w:tr>
        <w:trPr>
          <w:trHeight w:val="216"/>
        </w:trPr>
        <w:tc>
          <w:tcPr>
            <w:tcW w:w="3180" w:type="dxa"/>
            <w:vAlign w:val="bottom"/>
          </w:tcPr>
          <w:p>
            <w:pPr>
              <w:spacing w:after="0"/>
              <w:rPr>
                <w:sz w:val="18"/>
                <w:szCs w:val="18"/>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outstanding obligations under our term loan facility and the remaining net proceeds to pay down</w:t>
            </w:r>
          </w:p>
        </w:tc>
      </w:tr>
      <w:tr>
        <w:trPr>
          <w:trHeight w:val="216"/>
        </w:trPr>
        <w:tc>
          <w:tcPr>
            <w:tcW w:w="3180" w:type="dxa"/>
            <w:vAlign w:val="bottom"/>
          </w:tcPr>
          <w:p>
            <w:pPr>
              <w:spacing w:after="0"/>
              <w:rPr>
                <w:sz w:val="18"/>
                <w:szCs w:val="18"/>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outstanding obligations under our revolving loan facility, resulting in increased availability under the</w:t>
            </w:r>
          </w:p>
        </w:tc>
      </w:tr>
      <w:tr>
        <w:trPr>
          <w:trHeight w:val="216"/>
        </w:trPr>
        <w:tc>
          <w:tcPr>
            <w:tcW w:w="3180" w:type="dxa"/>
            <w:vAlign w:val="bottom"/>
          </w:tcPr>
          <w:p>
            <w:pPr>
              <w:spacing w:after="0"/>
              <w:rPr>
                <w:sz w:val="18"/>
                <w:szCs w:val="18"/>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revolving facility that may be used for potential acquisitions and for general corporate purposes. See “Use</w:t>
            </w:r>
          </w:p>
        </w:tc>
      </w:tr>
      <w:tr>
        <w:trPr>
          <w:trHeight w:val="234"/>
        </w:trPr>
        <w:tc>
          <w:tcPr>
            <w:tcW w:w="3180" w:type="dxa"/>
            <w:vAlign w:val="bottom"/>
          </w:tcPr>
          <w:p>
            <w:pPr>
              <w:spacing w:after="0"/>
              <w:rPr>
                <w:sz w:val="20"/>
                <w:szCs w:val="20"/>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of Proceeds” on page S-11 of this prospectus supplement.</w:t>
            </w:r>
          </w:p>
        </w:tc>
      </w:tr>
      <w:tr>
        <w:trPr>
          <w:trHeight w:val="41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Indications of Interest</w:t>
            </w: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Certain of our directors and officers have indicated an interest in purchasing up to $850,000 of shares of</w:t>
            </w:r>
          </w:p>
        </w:tc>
      </w:tr>
      <w:tr>
        <w:trPr>
          <w:trHeight w:val="216"/>
        </w:trPr>
        <w:tc>
          <w:tcPr>
            <w:tcW w:w="3180" w:type="dxa"/>
            <w:vAlign w:val="bottom"/>
          </w:tcPr>
          <w:p>
            <w:pPr>
              <w:spacing w:after="0"/>
              <w:rPr>
                <w:sz w:val="18"/>
                <w:szCs w:val="18"/>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our common stock in this offering at the public offering price. However, because indications of interest are</w:t>
            </w:r>
          </w:p>
        </w:tc>
      </w:tr>
      <w:tr>
        <w:trPr>
          <w:trHeight w:val="216"/>
        </w:trPr>
        <w:tc>
          <w:tcPr>
            <w:tcW w:w="3180" w:type="dxa"/>
            <w:vAlign w:val="bottom"/>
          </w:tcPr>
          <w:p>
            <w:pPr>
              <w:spacing w:after="0"/>
              <w:rPr>
                <w:sz w:val="18"/>
                <w:szCs w:val="18"/>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not binding agreements or commitments to purchase, the underwriter could determine to sell more, less or</w:t>
            </w:r>
          </w:p>
        </w:tc>
      </w:tr>
      <w:tr>
        <w:trPr>
          <w:trHeight w:val="216"/>
        </w:trPr>
        <w:tc>
          <w:tcPr>
            <w:tcW w:w="3180" w:type="dxa"/>
            <w:vAlign w:val="bottom"/>
          </w:tcPr>
          <w:p>
            <w:pPr>
              <w:spacing w:after="0"/>
              <w:rPr>
                <w:sz w:val="18"/>
                <w:szCs w:val="18"/>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no shares to any of these potential investors, and any of these potential investors could determine to</w:t>
            </w:r>
          </w:p>
        </w:tc>
      </w:tr>
      <w:tr>
        <w:trPr>
          <w:trHeight w:val="234"/>
        </w:trPr>
        <w:tc>
          <w:tcPr>
            <w:tcW w:w="3180" w:type="dxa"/>
            <w:vAlign w:val="bottom"/>
          </w:tcPr>
          <w:p>
            <w:pPr>
              <w:spacing w:after="0"/>
              <w:rPr>
                <w:sz w:val="20"/>
                <w:szCs w:val="20"/>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purchase more, less or no shares in this offering.</w:t>
            </w:r>
          </w:p>
        </w:tc>
      </w:tr>
      <w:tr>
        <w:trPr>
          <w:trHeight w:val="41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An investment in our securities involves a high degree of risk. See “Risk Factors” beginning on page S-7</w:t>
            </w:r>
          </w:p>
        </w:tc>
      </w:tr>
      <w:tr>
        <w:trPr>
          <w:trHeight w:val="216"/>
        </w:trPr>
        <w:tc>
          <w:tcPr>
            <w:tcW w:w="3180" w:type="dxa"/>
            <w:vAlign w:val="bottom"/>
          </w:tcPr>
          <w:p>
            <w:pPr>
              <w:spacing w:after="0"/>
              <w:rPr>
                <w:sz w:val="18"/>
                <w:szCs w:val="18"/>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of this prospectus supplement, page 2 of the accompanying prospectus and the documents incorporated by</w:t>
            </w:r>
          </w:p>
        </w:tc>
      </w:tr>
      <w:tr>
        <w:trPr>
          <w:trHeight w:val="216"/>
        </w:trPr>
        <w:tc>
          <w:tcPr>
            <w:tcW w:w="3180" w:type="dxa"/>
            <w:vAlign w:val="bottom"/>
          </w:tcPr>
          <w:p>
            <w:pPr>
              <w:spacing w:after="0"/>
              <w:rPr>
                <w:sz w:val="18"/>
                <w:szCs w:val="18"/>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reference in this prospectus supplement and the accompanying prospectus for a discussion of certain</w:t>
            </w:r>
          </w:p>
        </w:tc>
      </w:tr>
      <w:tr>
        <w:trPr>
          <w:trHeight w:val="234"/>
        </w:trPr>
        <w:tc>
          <w:tcPr>
            <w:tcW w:w="3180" w:type="dxa"/>
            <w:vAlign w:val="bottom"/>
          </w:tcPr>
          <w:p>
            <w:pPr>
              <w:spacing w:after="0"/>
              <w:rPr>
                <w:sz w:val="20"/>
                <w:szCs w:val="20"/>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factors that you should consider when evaluating an investment in our securities.</w:t>
            </w:r>
          </w:p>
        </w:tc>
      </w:tr>
      <w:tr>
        <w:trPr>
          <w:trHeight w:val="41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Nasdaq trading symbol</w:t>
            </w: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Our common stock is listed on Nasdaq under the symbol “CREX.” There is no established public trading</w:t>
            </w:r>
          </w:p>
        </w:tc>
      </w:tr>
      <w:tr>
        <w:trPr>
          <w:trHeight w:val="216"/>
        </w:trPr>
        <w:tc>
          <w:tcPr>
            <w:tcW w:w="3180" w:type="dxa"/>
            <w:vAlign w:val="bottom"/>
          </w:tcPr>
          <w:p>
            <w:pPr>
              <w:spacing w:after="0"/>
              <w:rPr>
                <w:sz w:val="18"/>
                <w:szCs w:val="18"/>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market for the pre-funded warrants and we do not expect a market to develop. In addition, we do not</w:t>
            </w:r>
          </w:p>
        </w:tc>
      </w:tr>
      <w:tr>
        <w:trPr>
          <w:trHeight w:val="234"/>
        </w:trPr>
        <w:tc>
          <w:tcPr>
            <w:tcW w:w="3180" w:type="dxa"/>
            <w:vAlign w:val="bottom"/>
          </w:tcPr>
          <w:p>
            <w:pPr>
              <w:spacing w:after="0"/>
              <w:rPr>
                <w:sz w:val="20"/>
                <w:szCs w:val="20"/>
                <w:color w:val="auto"/>
              </w:rPr>
            </w:pPr>
          </w:p>
        </w:tc>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intend to list the pre-funded warrants on any national securities exchange or any other trading system.</w:t>
            </w:r>
          </w:p>
        </w:tc>
      </w:tr>
      <w:tr>
        <w:trPr>
          <w:trHeight w:val="361"/>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4"/>
        </w:trPr>
        <w:tc>
          <w:tcPr>
            <w:tcW w:w="3180" w:type="dxa"/>
            <w:vAlign w:val="bottom"/>
          </w:tcPr>
          <w:p>
            <w:pPr>
              <w:spacing w:after="0"/>
              <w:rPr>
                <w:sz w:val="20"/>
                <w:szCs w:val="20"/>
                <w:color w:val="auto"/>
              </w:rPr>
            </w:pPr>
          </w:p>
        </w:tc>
        <w:tc>
          <w:tcPr>
            <w:tcW w:w="816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S-5</w:t>
            </w:r>
          </w:p>
        </w:tc>
      </w:tr>
      <w:tr>
        <w:trPr>
          <w:trHeight w:val="93"/>
        </w:trPr>
        <w:tc>
          <w:tcPr>
            <w:tcW w:w="3180" w:type="dxa"/>
            <w:vAlign w:val="bottom"/>
            <w:tcBorders>
              <w:bottom w:val="single" w:sz="8" w:color="auto"/>
            </w:tcBorders>
          </w:tcPr>
          <w:p>
            <w:pPr>
              <w:spacing w:after="0"/>
              <w:rPr>
                <w:sz w:val="8"/>
                <w:szCs w:val="8"/>
                <w:color w:val="auto"/>
              </w:rPr>
            </w:pPr>
          </w:p>
        </w:tc>
        <w:tc>
          <w:tcPr>
            <w:tcW w:w="8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bl>
    <w:p>
      <w:pPr>
        <w:sectPr>
          <w:pgSz w:w="11900" w:h="16838" w:orient="portrait"/>
          <w:cols w:equalWidth="0" w:num="1">
            <w:col w:w="11340"/>
          </w:cols>
          <w:pgMar w:left="320" w:top="738" w:right="239" w:bottom="1440" w:gutter="0" w:footer="0" w:header="0"/>
          <w:type w:val="continuous"/>
        </w:sectPr>
      </w:pPr>
    </w:p>
    <w:bookmarkStart w:id="8" w:name="page9"/>
    <w:bookmarkEnd w:id="8"/>
    <w:p>
      <w:pPr>
        <w:ind w:left="10" w:right="40" w:hanging="10"/>
        <w:spacing w:after="0" w:line="282"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96455" cy="2832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2832735"/>
                    </a:xfrm>
                    <a:prstGeom prst="rect">
                      <a:avLst/>
                    </a:prstGeom>
                    <a:noFill/>
                  </pic:spPr>
                </pic:pic>
              </a:graphicData>
            </a:graphic>
          </wp:anchor>
        </w:drawing>
        <w:t>The number of shares of our common stock to be outstanding after this offering is based on 10,569,321 shares of our common stock outstanding as of June 22, 2026, and excludes, in each case, as of such date:</w:t>
      </w:r>
    </w:p>
    <w:p>
      <w:pPr>
        <w:spacing w:after="0" w:line="161" w:lineRule="exact"/>
        <w:rPr>
          <w:rFonts w:ascii="Times New Roman" w:cs="Times New Roman" w:eastAsia="Times New Roman" w:hAnsi="Times New Roman"/>
          <w:sz w:val="18"/>
          <w:szCs w:val="18"/>
          <w:color w:val="auto"/>
        </w:rPr>
      </w:pPr>
    </w:p>
    <w:p>
      <w:pPr>
        <w:ind w:left="810" w:hanging="486"/>
        <w:spacing w:after="0" w:line="282" w:lineRule="auto"/>
        <w:tabs>
          <w:tab w:leader="none" w:pos="81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3,633,303 shares of our common stock reserved for issuance upon the exercise of warrants outstanding at a weighted average exercise price of $4.02 per share;</w:t>
      </w:r>
    </w:p>
    <w:p>
      <w:pPr>
        <w:spacing w:after="0" w:line="161" w:lineRule="exact"/>
        <w:rPr>
          <w:rFonts w:ascii="Times New Roman" w:cs="Times New Roman" w:eastAsia="Times New Roman" w:hAnsi="Times New Roman"/>
          <w:sz w:val="18"/>
          <w:szCs w:val="18"/>
          <w:color w:val="auto"/>
        </w:rPr>
      </w:pPr>
    </w:p>
    <w:p>
      <w:pPr>
        <w:ind w:left="810" w:right="80" w:hanging="486"/>
        <w:spacing w:after="0" w:line="282" w:lineRule="auto"/>
        <w:tabs>
          <w:tab w:leader="none" w:pos="81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2,893,451 shares of our common stock reserved for issuance upon the exercise of stock options outstanding at a weighted average exercise price of $3.82 per share;</w:t>
      </w:r>
    </w:p>
    <w:p>
      <w:pPr>
        <w:spacing w:after="0" w:line="161" w:lineRule="exact"/>
        <w:rPr>
          <w:rFonts w:ascii="Times New Roman" w:cs="Times New Roman" w:eastAsia="Times New Roman" w:hAnsi="Times New Roman"/>
          <w:sz w:val="18"/>
          <w:szCs w:val="18"/>
          <w:color w:val="auto"/>
        </w:rPr>
      </w:pPr>
    </w:p>
    <w:p>
      <w:pPr>
        <w:ind w:left="810" w:right="140" w:hanging="486"/>
        <w:spacing w:after="0" w:line="282" w:lineRule="auto"/>
        <w:tabs>
          <w:tab w:leader="none" w:pos="81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525,000 shares of our common stock reserved for issuance upon the vesting and settlement of restricted stock units issued under our 2023 Stock Incentive Plan, as amended (the “Incentive Plan”);</w:t>
      </w:r>
    </w:p>
    <w:p>
      <w:pPr>
        <w:spacing w:after="0" w:line="161" w:lineRule="exact"/>
        <w:rPr>
          <w:rFonts w:ascii="Times New Roman" w:cs="Times New Roman" w:eastAsia="Times New Roman" w:hAnsi="Times New Roman"/>
          <w:sz w:val="18"/>
          <w:szCs w:val="18"/>
          <w:color w:val="auto"/>
        </w:rPr>
      </w:pPr>
    </w:p>
    <w:p>
      <w:pPr>
        <w:ind w:left="810" w:hanging="486"/>
        <w:spacing w:after="0"/>
        <w:tabs>
          <w:tab w:leader="none" w:pos="81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368,500 shares of common stock reserved for issuance under the Incentive Plan; and</w:t>
      </w:r>
    </w:p>
    <w:p>
      <w:pPr>
        <w:spacing w:after="0" w:line="252" w:lineRule="exact"/>
        <w:rPr>
          <w:rFonts w:ascii="Times New Roman" w:cs="Times New Roman" w:eastAsia="Times New Roman" w:hAnsi="Times New Roman"/>
          <w:sz w:val="18"/>
          <w:szCs w:val="18"/>
          <w:color w:val="auto"/>
        </w:rPr>
      </w:pPr>
    </w:p>
    <w:p>
      <w:pPr>
        <w:ind w:left="810" w:hanging="486"/>
        <w:spacing w:after="0" w:line="266" w:lineRule="auto"/>
        <w:tabs>
          <w:tab w:leader="none" w:pos="81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12,979,579 shares of common stock that may be issued upon conversion of 30,000 shares of our Series A Convertible Preferred Stock (taking into account dividends accruing on shares of our Series A Convertible Preferred Stock through the expiration of the five year “Guaranteed Term” thereof).</w:t>
      </w:r>
    </w:p>
    <w:p>
      <w:pPr>
        <w:spacing w:after="0" w:line="338"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70"/>
          </w:cols>
          <w:pgMar w:left="490" w:top="742" w:right="539" w:bottom="1440" w:gutter="0" w:footer="0" w:header="0"/>
        </w:sectPr>
      </w:pPr>
    </w:p>
    <w:bookmarkStart w:id="9" w:name="page10"/>
    <w:bookmarkEnd w:id="9"/>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making an investment decision, you should carefully consider the risks described below and in our Annual Report on Form 10-K for the year ended December 31, 2025, (as supplemented by any subsequently filed Quarterly Reports on Form 10-Q), incorporated by reference in this prospectus supplement, the accompanying prospectus and in any free writing prospectus that we have authorized for use in connection with this offering, any amendment or update thereto reflected in our subsequent filings with the SEC, and all of the other information in this prospectus supplement and the accompanying prospectus, including our consolidated financial statements and related notes incorporated by reference in this prospectus supplement and the accompanying prospectus.</w:t>
      </w:r>
    </w:p>
    <w:p>
      <w:pPr>
        <w:spacing w:after="0" w:line="18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There may be additional risks that we do not presently know of or that we currently believe are immaterial, which could also impair our business and financial position. If any of the events described below or in documents that are incorporated by reference into this prospectus supplement and the accompanying prospectus were to occur, our financial condition, our ability to access capital resources, our results of operations and/or our future growth prospects could be materially and adversely affected and the market price of our common stock could decline. As a result, you could lose some or all of any investment you may make in our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w:t>
      </w:r>
    </w:p>
    <w:p>
      <w:pPr>
        <w:spacing w:after="0" w:line="229" w:lineRule="exact"/>
        <w:rPr>
          <w:sz w:val="20"/>
          <w:szCs w:val="20"/>
          <w:color w:val="auto"/>
        </w:rPr>
      </w:pPr>
    </w:p>
    <w:p>
      <w:pPr>
        <w:ind w:firstLine="414"/>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may fluctuate substantially. For example, in the 52 weeks before the date of this prospectus supplement, the highest closing price quoted on Nasdaq $4.42 was more than double the lowest closing price $2.19. The price of our common stock that will prevail in the market after this offering may be higher or lower than the price that you have paid, depending on many factors, some of which are beyond our control and may not be related to our operating performance. Stock market volatility may also adversely affect the trading price of our common stock. 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229" w:lineRule="exact"/>
        <w:rPr>
          <w:sz w:val="20"/>
          <w:szCs w:val="20"/>
          <w:color w:val="auto"/>
        </w:rPr>
      </w:pPr>
    </w:p>
    <w:p>
      <w:pPr>
        <w:ind w:right="100" w:firstLine="414"/>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and could spend the net proceeds in ways that do not necessarily improve our results of operations or enhance the value of our common stock. Investors will not have the opportunity, as part of their investment decision, to assess whether the proceeds are being used appropriately. Our failure to apply the proceeds from this offering effectively could harm our business and cause the price of our common stock to decline. The results and effectiveness of the use of proceeds are uncertain, and our failure to apply these funds effectively could have a material adverse effect on our business, financial condition, operating results and cash flow, and could cause the price of our common stock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book value of their investment.</w:t>
      </w:r>
    </w:p>
    <w:p>
      <w:pPr>
        <w:spacing w:after="0" w:line="229"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18"/>
          <w:szCs w:val="18"/>
          <w:color w:val="auto"/>
        </w:rPr>
        <w:t>The price per share of common stock and pre-funded warrants sold in this offering is substantially higher than the net tangible book value of our common stock. Therefore, purchasers of securities in this offering will pay an effective price per share of common stock that exceeds our as adjusted net tangible book value per share after giving effect to this offering. Based on the sale of shares of our common stock and pre-funded warrants in this offering, assuming the exercise in full of all pre-funded warrants, and after deducting underwriting discounts and commissions and estimated offering expenses payable by us, and based on a net tangible book value of our common stock of $(4.31) per share as of March 31, 2026, if you purchase shares of common stock or pre-funded warrants in this offering, you will suffer immediate dilution of $5.97 per share with respect to the net tangible book value of common stock. See “Dilution” for a more detailed discussion of the dilution you will incur if you purchase securities in this offering.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ownership interests because of the future issuance of additional shares of our common stock.</w:t>
      </w:r>
    </w:p>
    <w:p>
      <w:pPr>
        <w:spacing w:after="0" w:line="229" w:lineRule="exact"/>
        <w:rPr>
          <w:sz w:val="20"/>
          <w:szCs w:val="20"/>
          <w:color w:val="auto"/>
        </w:rPr>
      </w:pPr>
    </w:p>
    <w:p>
      <w:pPr>
        <w:ind w:right="40" w:firstLine="414"/>
        <w:spacing w:after="0" w:line="254" w:lineRule="auto"/>
        <w:rPr>
          <w:sz w:val="20"/>
          <w:szCs w:val="20"/>
          <w:color w:val="auto"/>
        </w:rPr>
      </w:pPr>
      <w:r>
        <w:rPr>
          <w:rFonts w:ascii="Times New Roman" w:cs="Times New Roman" w:eastAsia="Times New Roman" w:hAnsi="Times New Roman"/>
          <w:sz w:val="18"/>
          <w:szCs w:val="18"/>
          <w:color w:val="auto"/>
        </w:rPr>
        <w:t>In the future, we may need to issue additional authorized but previously unissued equity securities, resulting in the dilution of the ownership interests of our shareholders. If we obtain funds through a credit facility or through the issuance of debt or preferred securities, these securities would likely have rights senior to your rights as a common shareholder, which could impair the value of our common stock. We may also issue additional common stock or other securities that are convertible into or exercisable for common stock in connection with hiring or retaining employees, future acquisitions, future sales of securities for capital raising purposes, or for other business purposes. The future issuance of any such additional shares of common stock may create downward pressure on the trading price of our common stock. There can be no assurance that we will not be required to issue additional shares, warrants, or other convertible securities in the future in conjunction with any capital raising efforts, including at a price (or exercise prices) below the offering price of the shares of common stock in this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229" w:lineRule="exact"/>
        <w:rPr>
          <w:sz w:val="20"/>
          <w:szCs w:val="20"/>
          <w:color w:val="auto"/>
        </w:rPr>
      </w:pPr>
    </w:p>
    <w:p>
      <w:pPr>
        <w:ind w:right="60" w:firstLine="414"/>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offered in this offering, and we do not expect a market to develop. In addition, we do not intend to apply to list the pre-funded warrants on Nasdaq or any national securities exchange or other nationally recognized trading system. Without an active market, the liquidity of the pre-funded warrants will be limited.</w:t>
      </w:r>
    </w:p>
    <w:p>
      <w:pPr>
        <w:spacing w:after="0" w:line="172" w:lineRule="exact"/>
        <w:rPr>
          <w:sz w:val="20"/>
          <w:szCs w:val="20"/>
          <w:color w:val="auto"/>
        </w:rPr>
      </w:pPr>
    </w:p>
    <w:p>
      <w:pPr>
        <w:ind w:firstLine="4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offered hereby will have no rights as common shareholders with respect to the shares of our common stock underlying the pre-funded warrants until such holders exercise their pre-funded warrants and acquire our common stock, except as otherwise provided in the pre-funded warrants.</w:t>
      </w:r>
    </w:p>
    <w:p>
      <w:pPr>
        <w:spacing w:after="0" w:line="175" w:lineRule="exact"/>
        <w:rPr>
          <w:sz w:val="20"/>
          <w:szCs w:val="20"/>
          <w:color w:val="auto"/>
        </w:rPr>
      </w:pPr>
    </w:p>
    <w:p>
      <w:pPr>
        <w:jc w:val="both"/>
        <w:ind w:right="40" w:firstLine="414"/>
        <w:spacing w:after="0" w:line="261" w:lineRule="auto"/>
        <w:rPr>
          <w:sz w:val="20"/>
          <w:szCs w:val="20"/>
          <w:color w:val="auto"/>
        </w:rPr>
      </w:pPr>
      <w:r>
        <w:rPr>
          <w:rFonts w:ascii="Times New Roman" w:cs="Times New Roman" w:eastAsia="Times New Roman" w:hAnsi="Times New Roman"/>
          <w:sz w:val="18"/>
          <w:szCs w:val="18"/>
          <w:color w:val="auto"/>
        </w:rPr>
        <w:t>Until holders of the pre-funded warrants acquire shares of our common stock upon exercise thereof, such holders will have no rights with respect to the shares of our common stock underlying such pre-funded warrants, except to the extent that holders of such pre-funded warrants will have certain rights to participate in distributions or dividends paid on our common stock as set forth in the pre-funded warrants. Upon exercise of the pre-funded warrants, the holders will be entitled to exercise the rights of a common shareholder only as to matters for which the record date occurs after the exercise date.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180" w:firstLine="360"/>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may contain forward-looking statements within the meaning of Section 27A of the Securities Act of 1933, as amended, or the Securities Act, and Section 21E of the Securities Exchange Act of 1934, as amended, or the Exchange Act, about us and our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statements contain these identifying words.</w:t>
      </w:r>
    </w:p>
    <w:p>
      <w:pPr>
        <w:spacing w:after="0" w:line="189" w:lineRule="exact"/>
        <w:rPr>
          <w:sz w:val="20"/>
          <w:szCs w:val="20"/>
          <w:color w:val="auto"/>
        </w:rPr>
      </w:pPr>
    </w:p>
    <w:p>
      <w:pPr>
        <w:ind w:right="360" w:firstLine="360"/>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the accompanying prospectus and the documents incorporated herein by reference include, among other things, statements about:</w:t>
      </w:r>
    </w:p>
    <w:p>
      <w:pPr>
        <w:spacing w:after="0" w:line="162" w:lineRule="exact"/>
        <w:rPr>
          <w:sz w:val="20"/>
          <w:szCs w:val="20"/>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funds for future operations;</w:t>
      </w:r>
    </w:p>
    <w:p>
      <w:pPr>
        <w:spacing w:after="0" w:line="27"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expenses, revenue and profitability;</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affecting financial condition and results of operations;</w:t>
      </w:r>
    </w:p>
    <w:p>
      <w:pPr>
        <w:spacing w:after="0" w:line="9" w:lineRule="exact"/>
        <w:rPr>
          <w:rFonts w:ascii="Times New Roman" w:cs="Times New Roman" w:eastAsia="Times New Roman" w:hAnsi="Times New Roman"/>
          <w:sz w:val="18"/>
          <w:szCs w:val="18"/>
          <w:color w:val="auto"/>
        </w:rPr>
      </w:pPr>
    </w:p>
    <w:p>
      <w:pPr>
        <w:ind w:left="1300" w:right="480" w:hanging="644"/>
        <w:spacing w:after="0" w:line="250" w:lineRule="auto"/>
        <w:tabs>
          <w:tab w:leader="none" w:pos="11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convert proposals into customer orders, including our ability to realize the revenues included in our future guidance and backlog reports;</w:t>
      </w: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outlook;</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to pay for products and services received;</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our upcoming debt obligations and other liabilities;</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changing customer requirements upon revenue recognition;</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cancellations;</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additional capital;</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continue as a going concern;</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the competitive environment;</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Company’s financial condition upon customer and prospective customer relationships;</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and regulatory actions directed toward our industry in general;</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our shareholder(s) with the greatest beneficial ownership of our common stock;</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certain key personnel in the management of our businesses;</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management turnover;</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material weaknesses in internal controls over financial reporting;</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operations of acquired companies; and</w:t>
      </w:r>
    </w:p>
    <w:p>
      <w:pPr>
        <w:spacing w:after="0" w:line="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listed on Nasdaq.</w:t>
      </w:r>
    </w:p>
    <w:p>
      <w:pPr>
        <w:spacing w:after="0" w:line="207"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incorporated by reference herein and therein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supplement, the accompanying prospectus and any related free writing prospectus, and under similar headings in the other documents that are incorporated by reference into this prospectus supplement and the accompanying prospectus.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2" w:name="page13"/>
    <w:bookmarkEnd w:id="12"/>
    <w:p>
      <w:pPr>
        <w:ind w:firstLine="360"/>
        <w:spacing w:after="0" w:line="254"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supplement, the accompanying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supplement or to reflect the occurrence of unanticipated events.</w:t>
      </w:r>
    </w:p>
    <w:p>
      <w:pPr>
        <w:spacing w:after="0" w:line="192" w:lineRule="exact"/>
        <w:rPr>
          <w:sz w:val="20"/>
          <w:szCs w:val="20"/>
          <w:color w:val="auto"/>
        </w:rPr>
      </w:pPr>
    </w:p>
    <w:p>
      <w:pPr>
        <w:jc w:val="both"/>
        <w:ind w:right="200" w:firstLine="3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Any document incorporated by reference in this prospectus may also contain statistical data and estimates we obtained from industry publications and reports generated by third parties. Although we believe that such publications and reports are reliable, we have not independently verified their data.</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estimated underwriting discounts and commissions and estimated offering expenses payable by us, will be approximately $10.9 million. We intend to use the net proceeds from this offering to repay approximately $1.0 million of our outstanding obligations under the Term Loan Facility (as defined below) and the remaining net proceeds to pay down our outstanding obligations under the Revolving Facility (as defined below), resulting in increased availability under the Revolving Facility that may be used for potential acquisitions and for general corporate purposes.</w:t>
      </w:r>
    </w:p>
    <w:p>
      <w:pPr>
        <w:spacing w:after="0" w:line="183" w:lineRule="exact"/>
        <w:rPr>
          <w:sz w:val="20"/>
          <w:szCs w:val="20"/>
          <w:color w:val="auto"/>
        </w:rPr>
      </w:pPr>
    </w:p>
    <w:p>
      <w:pPr>
        <w:ind w:right="200" w:firstLine="414"/>
        <w:spacing w:after="0" w:line="254" w:lineRule="auto"/>
        <w:rPr>
          <w:sz w:val="20"/>
          <w:szCs w:val="20"/>
          <w:color w:val="auto"/>
        </w:rPr>
      </w:pPr>
      <w:r>
        <w:rPr>
          <w:rFonts w:ascii="Times New Roman" w:cs="Times New Roman" w:eastAsia="Times New Roman" w:hAnsi="Times New Roman"/>
          <w:sz w:val="18"/>
          <w:szCs w:val="18"/>
          <w:color w:val="auto"/>
        </w:rPr>
        <w:t>Under the Amended and Restated Credit Agreement (the “Credit Agreement”), dated November 6, 2025, among the Company and certain of its subsidiaries, with First Merchants Bank, as agent, and the lenders from time to time party thereto, our Term Loan Facility provides us with a $36 million term loan (the “Term Loan Facility”) and a $22.5 million revolving credit facility (the “Revolving Facility”). The Revolving Facility and Term Loan Facility bear interest at floating rates equal to the 1-month Term SOFR, plus 0.11%, plus a floating margin ranging from 2.75% to 3.25% and 3.00% to 3.50%, respectively, that adjusts quarterly, depending upon the borrowers’ Senior Funded Debt to Adjusted EBITDA Ratio (as defined in the Credit Agreement). The Revolving Facility and Term Loan Facility mature on November 6, 2028. We used the proceeds of the Term Loan Facility to finance a portion of the purchase price to acquire the CDM Business in November 2025 and to refinance existing indebtedness, and the proceeds of the Revolving Facility to refinance certain indebtedness and for general corporate and working capital purposes.</w:t>
      </w:r>
    </w:p>
    <w:p>
      <w:pPr>
        <w:spacing w:after="0" w:line="192"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The timing and amount of our actual expenditures will be based on many factors, including cash flows from operations and the anticipated growth of our business. As of the date of this prospectus supplement, we cannot specify with certainty all of the particular uses for the net proceeds to us from this offering. As a result, our management will have broad discretion regarding the timing and application of the net proceeds from this offering. Pending their ultimate use, we may invest the net proceeds in investment grade interest-bearing securities.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4" w:name="page15"/>
    <w:bookmarkEnd w:id="1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We do not anticipate that we will pay any dividends on our common stock in the foreseeable future. Rather, we anticipate that we will retain earnings, if any, for use in the development of our business. Payment of future cash dividends, if any, will be at the discretion of our board of directors after taking into account various factors, including our financial condition, operating results, current and anticipated cash needs, the requirements of then-existing debt instruments, and other factors that the board of directors deems relevant.</w:t>
      </w:r>
    </w:p>
    <w:p>
      <w:pPr>
        <w:spacing w:after="0" w:line="1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76" w:right="4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If you purchase our common stock or pre-funded warrants in this offering, your ownership interest will be immediately diluted to the extent of the difference between the purchase price per share and the net tangible book value per share of our common stock immediately after this offering. Net tangible book value per share represents our total tangible assets less our total liabilities, divided by the number of shares outstanding.</w:t>
      </w:r>
    </w:p>
    <w:p>
      <w:pPr>
        <w:spacing w:after="0" w:line="176"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18"/>
          <w:szCs w:val="18"/>
          <w:color w:val="auto"/>
        </w:rPr>
        <w:t>Our net tangible book value as of March 31, 2026, was approximately $(45.5) million, or $(4.31) per share. After giving effect to the sale of shares of common stock and pre-funded warrants by us in this offering, assuming the exercise in full of all pre-funded warrants, and after deducting underwriting discounts and commissions and estimated offering expenses payable by us, our as adjusted net tangible book value as of March 31, 2026, would have been $(34.6) million, or $(2.47) per share. This represents an immediate increase in net tangible book value of $1.84 per share to existing shareholders and immediate dilution in net tangible book value of $5.97 per share to the investors in this offering.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following table illustrates this calculation on a per share basis:</w:t>
            </w: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6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tangible book value per share as of March 31, 2026</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the investors participating in this offering</w:t>
            </w: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As-adjusted net tangible book value per share after giving effect to this offering</w:t>
            </w: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the investors in this offering</w:t>
            </w:r>
          </w:p>
        </w:tc>
        <w:tc>
          <w:tcPr>
            <w:tcW w:w="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400" w:firstLine="360"/>
        <w:spacing w:after="0" w:line="282" w:lineRule="auto"/>
        <w:rPr>
          <w:sz w:val="20"/>
          <w:szCs w:val="20"/>
          <w:color w:val="auto"/>
        </w:rPr>
      </w:pPr>
      <w:r>
        <w:rPr>
          <w:rFonts w:ascii="Times New Roman" w:cs="Times New Roman" w:eastAsia="Times New Roman" w:hAnsi="Times New Roman"/>
          <w:sz w:val="18"/>
          <w:szCs w:val="18"/>
          <w:color w:val="auto"/>
        </w:rPr>
        <w:t>The foregoing table and calculations are based on 10,567,268 shares of our common stock outstanding as of March 31, 2026 and exclude, in each case, as of such date:</w:t>
      </w:r>
    </w:p>
    <w:p>
      <w:pPr>
        <w:spacing w:after="0" w:line="162" w:lineRule="exact"/>
        <w:rPr>
          <w:sz w:val="20"/>
          <w:szCs w:val="20"/>
          <w:color w:val="auto"/>
        </w:rPr>
      </w:pPr>
    </w:p>
    <w:p>
      <w:pPr>
        <w:ind w:left="820" w:right="180" w:hanging="488"/>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3,633,303 shares of our common stock reserved for issuance upon the exercise of warrants outstanding at a weighted average exercise price of $4.02 per share;</w:t>
      </w:r>
    </w:p>
    <w:p>
      <w:pPr>
        <w:spacing w:after="0" w:line="161" w:lineRule="exact"/>
        <w:rPr>
          <w:rFonts w:ascii="Times New Roman" w:cs="Times New Roman" w:eastAsia="Times New Roman" w:hAnsi="Times New Roman"/>
          <w:sz w:val="18"/>
          <w:szCs w:val="18"/>
          <w:color w:val="auto"/>
        </w:rPr>
      </w:pPr>
    </w:p>
    <w:p>
      <w:pPr>
        <w:ind w:left="820" w:right="40" w:hanging="488"/>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2,476,230 shares of our common stock reserved for issuance upon the exercise of stock options outstanding at a weighted average exercise price of $4.23 per share;</w:t>
      </w:r>
    </w:p>
    <w:p>
      <w:pPr>
        <w:spacing w:after="0" w:line="161" w:lineRule="exact"/>
        <w:rPr>
          <w:rFonts w:ascii="Times New Roman" w:cs="Times New Roman" w:eastAsia="Times New Roman" w:hAnsi="Times New Roman"/>
          <w:sz w:val="18"/>
          <w:szCs w:val="18"/>
          <w:color w:val="auto"/>
        </w:rPr>
      </w:pPr>
    </w:p>
    <w:p>
      <w:pPr>
        <w:ind w:left="820" w:right="200" w:hanging="488"/>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525,000 shares of our common stock reserved for issuance upon the vesting and settlement of restricted stock units issued under our Incentive Plan;</w:t>
      </w:r>
    </w:p>
    <w:p>
      <w:pPr>
        <w:spacing w:after="0" w:line="16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911,000 shares of common stock reserved for issuance under the Incentive Plan; and</w:t>
      </w:r>
    </w:p>
    <w:p>
      <w:pPr>
        <w:spacing w:after="0" w:line="252" w:lineRule="exact"/>
        <w:rPr>
          <w:rFonts w:ascii="Times New Roman" w:cs="Times New Roman" w:eastAsia="Times New Roman" w:hAnsi="Times New Roman"/>
          <w:sz w:val="18"/>
          <w:szCs w:val="18"/>
          <w:color w:val="auto"/>
        </w:rPr>
      </w:pPr>
    </w:p>
    <w:p>
      <w:pPr>
        <w:ind w:left="820" w:right="360" w:hanging="488"/>
        <w:spacing w:after="0" w:line="266"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12,979,579 shares of common stock that may be issued upon conversion of 30,000 shares of our Series A Convertible Preferred Stock (taking into account dividends accruing on shares of our Series A Convertible Preferred Stock through the expiration of the five year “Guaranteed Term” thereof).</w:t>
      </w:r>
    </w:p>
    <w:p>
      <w:pPr>
        <w:spacing w:after="0" w:line="176" w:lineRule="exact"/>
        <w:rPr>
          <w:sz w:val="20"/>
          <w:szCs w:val="20"/>
          <w:color w:val="auto"/>
        </w:rPr>
      </w:pPr>
    </w:p>
    <w:p>
      <w:pPr>
        <w:ind w:right="380" w:firstLine="360"/>
        <w:spacing w:after="0" w:line="266" w:lineRule="auto"/>
        <w:rPr>
          <w:sz w:val="20"/>
          <w:szCs w:val="20"/>
          <w:color w:val="auto"/>
        </w:rPr>
      </w:pPr>
      <w:r>
        <w:rPr>
          <w:rFonts w:ascii="Times New Roman" w:cs="Times New Roman" w:eastAsia="Times New Roman" w:hAnsi="Times New Roman"/>
          <w:sz w:val="18"/>
          <w:szCs w:val="18"/>
          <w:color w:val="auto"/>
        </w:rPr>
        <w:t>To the extent that additional shares are issued pursuant to the foregoing, the investors purchasing securities in this offering will experience further dilution. In addition, we may offer other securities in other offerings due to market conditions or strategic considerations. To the extent we issue such securities, the investors may experience further dilution.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380" w:firstLine="360"/>
        <w:spacing w:after="0" w:line="282" w:lineRule="auto"/>
        <w:rPr>
          <w:sz w:val="20"/>
          <w:szCs w:val="20"/>
          <w:color w:val="auto"/>
        </w:rPr>
      </w:pPr>
      <w:r>
        <w:rPr>
          <w:rFonts w:ascii="Times New Roman" w:cs="Times New Roman" w:eastAsia="Times New Roman" w:hAnsi="Times New Roman"/>
          <w:sz w:val="18"/>
          <w:szCs w:val="18"/>
          <w:color w:val="auto"/>
        </w:rPr>
        <w:t>The material terms and provisions of our common stock are described under the caption “Description of Capital Stock” in the accompanying base prospectus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and Exercise Price</w:t>
      </w:r>
    </w:p>
    <w:p>
      <w:pPr>
        <w:spacing w:after="0" w:line="227"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Each pre-funded warrant offered hereby will have an initial exercise price equal to $0.01 per share of common stock, which is equal to the par value per share of our common stock. The pre-funded warrants will be immediately exercisable and may be exercised at any time until the pre-funded warrants are exercised in full. The exercise price and number of shares issuable upon exercise is subject to appropriate proportional adjustment in the event of share dividends, share splits, reorganizations or similar events affecting our common stock and the exercise price.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22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The pre-funded warrants will be exercisable, at the option of each holder, in whole or in part, by delivering to us a duly executed exercise notice and, within the earlier of (i) one trading day and (ii) the number of trading days comprising the standard settlement period with respect to the common stock as in effect on the date of delivery of the notice of exercise thereafter, payment in full for the number of shares of common stock purchased upon such exercise (except in the case of a cashless exercise as discussed below). A holder may not exercise any portion of the pre-funded warrants to the extent that the holder, together with its affiliates and any other persons acting as a group together with any such persons, would own more than 4.99% (or, at the election of the purchaser, 9.99%) of the number of shares of common stock outstanding immediately after exercise (the “Beneficial Ownership Limitation”); provided that a holder with a Beneficial Ownership Limitation of 4.99%, upon notice to us and effective sixty-one (61) days after the date such notice is delivered to us, may increase the Beneficial Ownership Limitation so long as it in no event exceeds 9.99% of the number of shares of common stock outstanding immediately after exercise.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Cashless Exercise</w:t>
      </w:r>
    </w:p>
    <w:p>
      <w:pPr>
        <w:spacing w:after="0" w:line="227" w:lineRule="exact"/>
        <w:rPr>
          <w:sz w:val="20"/>
          <w:szCs w:val="20"/>
          <w:color w:val="auto"/>
        </w:rPr>
      </w:pPr>
    </w:p>
    <w:p>
      <w:pPr>
        <w:ind w:right="380" w:firstLine="360"/>
        <w:spacing w:after="0" w:line="266" w:lineRule="auto"/>
        <w:rPr>
          <w:sz w:val="20"/>
          <w:szCs w:val="20"/>
          <w:color w:val="auto"/>
        </w:rPr>
      </w:pPr>
      <w:r>
        <w:rPr>
          <w:rFonts w:ascii="Times New Roman" w:cs="Times New Roman" w:eastAsia="Times New Roman" w:hAnsi="Times New Roman"/>
          <w:sz w:val="18"/>
          <w:szCs w:val="18"/>
          <w:color w:val="auto"/>
        </w:rPr>
        <w:t>In lieu of making the cash payment otherwise contemplated to be made to us upon exercise of the pre-funded warrants, the holder may elect to exercise its pre-funded warrants (either in whole or in part) at such time by means of a cashless exercise in which the holder shall be entitled to receive upon such exercise the net number of shares of common stock determined according to a formula set forth in the pre-funded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227" w:lineRule="exact"/>
        <w:rPr>
          <w:sz w:val="20"/>
          <w:szCs w:val="20"/>
          <w:color w:val="auto"/>
        </w:rPr>
      </w:pPr>
    </w:p>
    <w:p>
      <w:pPr>
        <w:jc w:val="both"/>
        <w:ind w:right="180" w:firstLine="360"/>
        <w:spacing w:after="0" w:line="266" w:lineRule="auto"/>
        <w:rPr>
          <w:sz w:val="20"/>
          <w:szCs w:val="20"/>
          <w:color w:val="auto"/>
        </w:rPr>
      </w:pPr>
      <w:r>
        <w:rPr>
          <w:rFonts w:ascii="Times New Roman" w:cs="Times New Roman" w:eastAsia="Times New Roman" w:hAnsi="Times New Roman"/>
          <w:sz w:val="18"/>
          <w:szCs w:val="18"/>
          <w:color w:val="auto"/>
        </w:rPr>
        <w:t>No fractional shares of common stock will be issued upon the exercise of the pre-funded warrants. Rather, we will, at our election, and in lieu of the issuance of such fractional share, either (i) pay cash in an amount equal to such fraction multiplied by the exercise price or (ii) round up to the next whole share issuable upon exercise of the pre-funded warrant.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227" w:lineRule="exact"/>
        <w:rPr>
          <w:sz w:val="20"/>
          <w:szCs w:val="20"/>
          <w:color w:val="auto"/>
        </w:rPr>
      </w:pPr>
    </w:p>
    <w:p>
      <w:pPr>
        <w:ind w:right="320" w:firstLine="360"/>
        <w:spacing w:after="0" w:line="282" w:lineRule="auto"/>
        <w:rPr>
          <w:sz w:val="20"/>
          <w:szCs w:val="20"/>
          <w:color w:val="auto"/>
        </w:rPr>
      </w:pPr>
      <w:r>
        <w:rPr>
          <w:rFonts w:ascii="Times New Roman" w:cs="Times New Roman" w:eastAsia="Times New Roman" w:hAnsi="Times New Roman"/>
          <w:sz w:val="18"/>
          <w:szCs w:val="18"/>
          <w:color w:val="auto"/>
        </w:rPr>
        <w:t>Subject to applicable laws, a pre-funded warrant may be transferred at the option of the holder upon surrender of pre-funded warrant to us together with the appropriate instruments of transfer and funds sufficient to pay any transfer taxes payable upon such transfer.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Trading Market</w:t>
      </w:r>
    </w:p>
    <w:p>
      <w:pPr>
        <w:spacing w:after="0" w:line="227"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There is no trading market available for the pre-funded warrants on any securities exchange or nationally recognized trading system. We do not intend to list the pre-funded warrants on any securities exchange or nationally recognized trading system. The shares of common stock issuable upon exercise of the pre-funded warrants are currently listed on Nasdaq under the symbol “CREX.”</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as a Stockholder</w:t>
      </w:r>
    </w:p>
    <w:p>
      <w:pPr>
        <w:spacing w:after="0" w:line="227" w:lineRule="exact"/>
        <w:rPr>
          <w:sz w:val="20"/>
          <w:szCs w:val="20"/>
          <w:color w:val="auto"/>
        </w:rPr>
      </w:pPr>
    </w:p>
    <w:p>
      <w:pPr>
        <w:ind w:right="200" w:firstLine="36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such holder’s ownership of shares of common stock, the holders of the pre-funded warrants do not have the rights or privileges of holders of our common stock, including any voting rights, until they exercise their pre-funded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w:t>
      </w:r>
    </w:p>
    <w:p>
      <w:pPr>
        <w:spacing w:after="0" w:line="227"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shares of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8" w:right="3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18"/>
          <w:szCs w:val="18"/>
          <w:color w:val="auto"/>
        </w:rPr>
        <w:t>We are offering shares of the common stock and pre-funded warrants described in this prospectus supplement and the accompanying prospectus through the underwriter listed below. Craig-Hallum Capital Group LLC is acting as the sole underwriter of this offering. The underwriter named below has agreed to buy, subject to the terms of the underwriting agreement, the number of shares of common stock and pre-funded warrants listed opposite its name below. The underwriter is committed to purchase all of the shares and pre-funded warrants if any are purchased, other than those shares covered by the over-allotment option described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Pre-funded</w:t>
            </w:r>
          </w:p>
        </w:tc>
      </w:tr>
      <w:tr>
        <w:trPr>
          <w:trHeight w:val="238"/>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0" w:type="dxa"/>
            <w:vAlign w:val="bottom"/>
          </w:tcPr>
          <w:p>
            <w:pPr>
              <w:spacing w:after="0"/>
              <w:rPr>
                <w:sz w:val="20"/>
                <w:szCs w:val="20"/>
                <w:color w:val="auto"/>
              </w:rPr>
            </w:pPr>
          </w:p>
        </w:tc>
      </w:tr>
      <w:tr>
        <w:trPr>
          <w:trHeight w:val="210"/>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Craig-Hallum Capital Group LLC</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2,528,571</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2,528,571</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8"/>
                <w:szCs w:val="18"/>
                <w:color w:val="auto"/>
              </w:rPr>
            </w:pPr>
          </w:p>
        </w:tc>
      </w:tr>
    </w:tbl>
    <w:p>
      <w:pPr>
        <w:spacing w:after="0" w:line="198"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The underwriter has advised us that it proposes to offer the shares of common stock to the public at a price of $3.50 per share and proposes to offer the pre-funded warrants to the public at a price of $3.49 per pre-funded warrant. The underwriter proposes to offer the securities to certain dealers at the same prices less a concession of not more than $0.11797 per share. After the offering, these figures may be changed by the underwriter.</w:t>
      </w:r>
    </w:p>
    <w:p>
      <w:pPr>
        <w:spacing w:after="0" w:line="176" w:lineRule="exact"/>
        <w:rPr>
          <w:sz w:val="20"/>
          <w:szCs w:val="20"/>
          <w:color w:val="auto"/>
        </w:rPr>
      </w:pPr>
    </w:p>
    <w:p>
      <w:pPr>
        <w:ind w:right="800" w:firstLine="360"/>
        <w:spacing w:after="0" w:line="282" w:lineRule="auto"/>
        <w:rPr>
          <w:sz w:val="20"/>
          <w:szCs w:val="20"/>
          <w:color w:val="auto"/>
        </w:rPr>
      </w:pPr>
      <w:r>
        <w:rPr>
          <w:rFonts w:ascii="Times New Roman" w:cs="Times New Roman" w:eastAsia="Times New Roman" w:hAnsi="Times New Roman"/>
          <w:sz w:val="18"/>
          <w:szCs w:val="18"/>
          <w:color w:val="auto"/>
        </w:rPr>
        <w:t>The shares and pre-funded warrants sold in this offering are expected to be ready for delivery on or about June 30, 2026, against payment in immediately available funds. The underwriter may reject all or part of any order.</w:t>
      </w:r>
    </w:p>
    <w:p>
      <w:pPr>
        <w:spacing w:after="0" w:line="162"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We have granted to the underwriter an option to purchase up to an additional 428,614 shares of common stock from us at the same price to the public, and with the same underwriting discount, as set forth in the table below. The underwriter may exercise this option any time during the 30-day period after the date of this prospectus supplement. To the extent the underwriter exercises the option, the underwriter will become obligated, subject to certain conditions, to purchase the shares for which it exercises the option.</w:t>
      </w:r>
    </w:p>
    <w:p>
      <w:pPr>
        <w:spacing w:after="0" w:line="180"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18"/>
          <w:szCs w:val="18"/>
          <w:color w:val="auto"/>
        </w:rPr>
        <w:t>The table below summarizes the underwriting discounts that we will pay to the underwriter. These amounts are shown assuming both no exercise and full exercise of the over-allotment option. In addition to the underwriting discount, we have agreed to pay up to $150,000 of the fees and expenses of the underwriter, which may include the fees and expenses of counsel to the underwriter. The fees and expenses of the underwriter that we have agreed to reimburse are not included in the underwriting discounts set forth in the table below. The underwriting discount and reimbursable expenses the underwriter will receive were determined through arms’ length negotiations between us and the underwriter.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 Pre-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funded</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 without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 with</w:t>
            </w:r>
          </w:p>
        </w:tc>
      </w:tr>
      <w:tr>
        <w:trPr>
          <w:trHeight w:val="238"/>
        </w:trPr>
        <w:tc>
          <w:tcPr>
            <w:tcW w:w="4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10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w:t>
            </w:r>
          </w:p>
        </w:tc>
      </w:tr>
      <w:tr>
        <w:trPr>
          <w:trHeight w:val="209"/>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11,990,998.50</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13,491,147.50</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0.2094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667,859.97(1)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757,868.91(1)</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11,323,138.53(1)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12,733,278.59(1)</w:t>
            </w:r>
          </w:p>
        </w:tc>
      </w:tr>
    </w:tbl>
    <w:p>
      <w:pPr>
        <w:spacing w:after="0" w:line="198" w:lineRule="exact"/>
        <w:rPr>
          <w:sz w:val="20"/>
          <w:szCs w:val="20"/>
          <w:color w:val="auto"/>
        </w:rPr>
      </w:pPr>
    </w:p>
    <w:p>
      <w:pPr>
        <w:ind w:left="660" w:right="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will not receive any discount or commission for securities sold in this offering to our directors or officers. The total amount of underwriting discounts and commissions set forth in the table above has been reduced to reflect that the underwriter will not receive any discounts or commissions for 245,714 shares sold in this offering that we expect to be purchased by our directors and officers.</w:t>
      </w:r>
    </w:p>
    <w:p>
      <w:pPr>
        <w:spacing w:after="0" w:line="176" w:lineRule="exact"/>
        <w:rPr>
          <w:sz w:val="20"/>
          <w:szCs w:val="20"/>
          <w:color w:val="auto"/>
        </w:rPr>
      </w:pPr>
    </w:p>
    <w:p>
      <w:pPr>
        <w:ind w:right="560" w:firstLine="360"/>
        <w:spacing w:after="0" w:line="282" w:lineRule="auto"/>
        <w:rPr>
          <w:sz w:val="20"/>
          <w:szCs w:val="20"/>
          <w:color w:val="auto"/>
        </w:rPr>
      </w:pPr>
      <w:r>
        <w:rPr>
          <w:rFonts w:ascii="Times New Roman" w:cs="Times New Roman" w:eastAsia="Times New Roman" w:hAnsi="Times New Roman"/>
          <w:sz w:val="18"/>
          <w:szCs w:val="18"/>
          <w:color w:val="auto"/>
        </w:rPr>
        <w:t>We estimate that the total expenses of this offering, excluding underwriting discounts, will be $400,000. This includes $150,000 of the fees and expenses of the underwriter. These expenses are payable by us.</w:t>
      </w:r>
    </w:p>
    <w:p>
      <w:pPr>
        <w:spacing w:after="0" w:line="162" w:lineRule="exact"/>
        <w:rPr>
          <w:sz w:val="20"/>
          <w:szCs w:val="20"/>
          <w:color w:val="auto"/>
        </w:rPr>
      </w:pPr>
    </w:p>
    <w:p>
      <w:pPr>
        <w:ind w:right="500" w:firstLine="360"/>
        <w:spacing w:after="0" w:line="282" w:lineRule="auto"/>
        <w:rPr>
          <w:sz w:val="20"/>
          <w:szCs w:val="20"/>
          <w:color w:val="auto"/>
        </w:rPr>
      </w:pPr>
      <w:r>
        <w:rPr>
          <w:rFonts w:ascii="Times New Roman" w:cs="Times New Roman" w:eastAsia="Times New Roman" w:hAnsi="Times New Roman"/>
          <w:sz w:val="18"/>
          <w:szCs w:val="18"/>
          <w:color w:val="auto"/>
        </w:rPr>
        <w:t>We also have agreed to indemnify the underwriter against certain liabilities, including civil liabilities under the Securities Act or to contribute to payments that the underwriter may be required to make in respect of those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ind w:right="200" w:firstLine="360"/>
        <w:spacing w:after="0" w:line="261" w:lineRule="auto"/>
        <w:rPr>
          <w:sz w:val="20"/>
          <w:szCs w:val="20"/>
          <w:color w:val="auto"/>
        </w:rPr>
      </w:pPr>
      <w:r>
        <w:rPr>
          <w:rFonts w:ascii="Times New Roman" w:cs="Times New Roman" w:eastAsia="Times New Roman" w:hAnsi="Times New Roman"/>
          <w:sz w:val="18"/>
          <w:szCs w:val="18"/>
          <w:color w:val="auto"/>
        </w:rPr>
        <w:t>Subject to certain limited exceptions, we and each of our directors and officers have agreed not to offer, sell, agree to sell, directly or indirectly, or otherwise dispose of any common stock or any securities convertible into or exchangeable for common stock for a period of 90 days after the date of this prospectus supplement. The lock-up agreements that our directors and officers have entered into and the Company lock-up pursuant to the underwriting agreement provide limited exceptions and their restrictions may be waived at any time by the underwriter.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To facilitate this offering, the underwriter may engage in transactions that stabilize, maintain or otherwise affect the price of our common stock during and after the offering. Specifically, the underwriter may over-allot or otherwise create a short position in our common stock for its own account by selling more common stock than we have sold to the underwriter. The underwriter may close out any short position by either exercising its option to purchase additional shares or purchasing shares in the open market.</w:t>
      </w:r>
    </w:p>
    <w:p>
      <w:pPr>
        <w:spacing w:after="0" w:line="180" w:lineRule="exact"/>
        <w:rPr>
          <w:sz w:val="20"/>
          <w:szCs w:val="20"/>
          <w:color w:val="auto"/>
        </w:rPr>
      </w:pPr>
    </w:p>
    <w:p>
      <w:pPr>
        <w:ind w:right="120" w:firstLine="360"/>
        <w:spacing w:after="0" w:line="255" w:lineRule="auto"/>
        <w:rPr>
          <w:sz w:val="20"/>
          <w:szCs w:val="20"/>
          <w:color w:val="auto"/>
        </w:rPr>
      </w:pPr>
      <w:r>
        <w:rPr>
          <w:rFonts w:ascii="Times New Roman" w:cs="Times New Roman" w:eastAsia="Times New Roman" w:hAnsi="Times New Roman"/>
          <w:sz w:val="18"/>
          <w:szCs w:val="18"/>
          <w:color w:val="auto"/>
        </w:rPr>
        <w:t>In addition, the underwriter may stabilize or maintain the price of our common stock by bidding for or purchasing shares in the open market and may impose penalty bids. If penalty bids are imposed, selling concessions allowed to broker-dealers participating in this offering are reclaimed if shares previously distributed in this offering are repurchased, whether in connection with stabilization transactions or otherwise. The effect of these transactions may be to stabilize or maintain the market price of our common stock at a level above that which might otherwise prevail in the open market. The imposition of a penalty bid may also affect the price of our common stock to the extent that it discourages resales of our common stock. The magnitude or effect of any stabilization or other transactions is uncertain. These transactions may be effected on the Nasdaq or otherwise and, if commenced, may be discontinued at any time.</w:t>
      </w:r>
    </w:p>
    <w:p>
      <w:pPr>
        <w:spacing w:after="0" w:line="18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the underwriter may also engage in passive market making transactions in our common stock on the Nasdaq American. Passive market making consists of displaying bids on the Nasdaq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 making may stabilize the market price of our common stock at a level above that which might otherwise prevail in the open market and, if commenced, may be discontinued at any time.</w:t>
      </w:r>
    </w:p>
    <w:p>
      <w:pPr>
        <w:spacing w:after="0" w:line="183"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18"/>
          <w:szCs w:val="18"/>
          <w:color w:val="auto"/>
        </w:rPr>
        <w:t>Neither we nor the underwriter make any representation or prediction as to the direction or magnitude of any effect that the transactions described above may have on the price of our common stock. In addition, neither we nor the underwriter make any representation that the underwriter will engage in these transactions or that any transaction, if commenced, will not be discontinued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Affiliations</w:t>
      </w:r>
    </w:p>
    <w:p>
      <w:pPr>
        <w:spacing w:after="0" w:line="229"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The underwriter and its affiliates are full-service financial institutions engaged in various activities, which may include securities trading, commercial and investment banking, financial advisory, investment management, investment research, principal investment, hedging, financing and brokerage activities. The underwriter may in the future engage in investment banking and other commercial dealings in the ordinary course of business with us or our affiliates. The underwriter may in the future receive customary fees and commissions for these transactions.</w:t>
      </w:r>
    </w:p>
    <w:p>
      <w:pPr>
        <w:spacing w:after="0" w:line="180"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In the ordinary course of its various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w:t>
      </w:r>
    </w:p>
    <w:p>
      <w:pPr>
        <w:spacing w:after="0" w:line="22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the underwriter or certain of the securities dealers may distribute prospectuses by electronic means, such as e-mail. In addition, the underwriter may facilitate Internet distribution for this offering to certain of its Internet subscription customers. The underwriter may allocate a limited number of securities for sale to its online brokerage customers. An electronic prospectus is available on the Internet websites maintained by any such underwriter. Other than the prospectus in electronic format, the information on the websites of the underwriter is not part of this prospectus supplement or the accompanying prospectus.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229"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180" w:lineRule="exact"/>
        <w:rPr>
          <w:sz w:val="20"/>
          <w:szCs w:val="20"/>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252" w:lineRule="exact"/>
        <w:rPr>
          <w:rFonts w:ascii="Times New Roman" w:cs="Times New Roman" w:eastAsia="Times New Roman" w:hAnsi="Times New Roman"/>
          <w:sz w:val="18"/>
          <w:szCs w:val="18"/>
          <w:color w:val="auto"/>
        </w:rPr>
      </w:pPr>
    </w:p>
    <w:p>
      <w:pPr>
        <w:ind w:left="820" w:right="300" w:hanging="488"/>
        <w:spacing w:after="0" w:line="282"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 for any such offer; or</w:t>
      </w:r>
    </w:p>
    <w:p>
      <w:pPr>
        <w:spacing w:after="0" w:line="159" w:lineRule="exact"/>
        <w:rPr>
          <w:rFonts w:ascii="Times New Roman" w:cs="Times New Roman" w:eastAsia="Times New Roman" w:hAnsi="Times New Roman"/>
          <w:sz w:val="18"/>
          <w:szCs w:val="18"/>
          <w:color w:val="auto"/>
        </w:rPr>
      </w:pPr>
    </w:p>
    <w:p>
      <w:pPr>
        <w:ind w:left="820" w:right="140" w:hanging="488"/>
        <w:spacing w:after="0" w:line="267"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other circumstances falling within Article 1(4) of the Prospectus Regulation,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offer of securities shall require us or any of the representative to publish a prospectus pursuant to Article 3 of the Prospectus Regulation or supplement a prospectus pursuant to Article 23 of the Prospectus Regulation.</w:t>
      </w:r>
    </w:p>
    <w:p>
      <w:pPr>
        <w:spacing w:after="0" w:line="175"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29"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176" w:lineRule="exact"/>
        <w:rPr>
          <w:sz w:val="20"/>
          <w:szCs w:val="20"/>
          <w:color w:val="auto"/>
        </w:rPr>
      </w:pPr>
    </w:p>
    <w:p>
      <w:pPr>
        <w:ind w:left="5460" w:right="2620" w:hanging="5128"/>
        <w:spacing w:after="0" w:line="563" w:lineRule="auto"/>
        <w:tabs>
          <w:tab w:leader="none" w:pos="8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 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1" w:name="page22"/>
    <w:bookmarkEnd w:id="21"/>
    <w:p>
      <w:pPr>
        <w:ind w:left="820" w:right="40" w:hanging="488"/>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159" w:lineRule="exact"/>
        <w:rPr>
          <w:rFonts w:ascii="Times New Roman" w:cs="Times New Roman" w:eastAsia="Times New Roman" w:hAnsi="Times New Roman"/>
          <w:sz w:val="18"/>
          <w:szCs w:val="18"/>
          <w:color w:val="auto"/>
        </w:rPr>
      </w:pPr>
    </w:p>
    <w:p>
      <w:pPr>
        <w:ind w:left="820" w:right="20" w:hanging="488"/>
        <w:spacing w:after="0" w:line="256"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other circumstances falling within Section 86 of the Financial Services and Markets Act 2000 (the “FMSA”),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offer of the securities shall require us or any representative to publish a prospectus pursuant to Section 85 of the FSMA or 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22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83"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229" w:lineRule="exact"/>
        <w:rPr>
          <w:sz w:val="20"/>
          <w:szCs w:val="20"/>
          <w:color w:val="auto"/>
        </w:rPr>
      </w:pPr>
    </w:p>
    <w:p>
      <w:pPr>
        <w:ind w:right="280" w:firstLine="360"/>
        <w:spacing w:after="0" w:line="282"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w:t>
      </w:r>
    </w:p>
    <w:p>
      <w:pPr>
        <w:spacing w:after="0" w:line="162" w:lineRule="exact"/>
        <w:rPr>
          <w:sz w:val="20"/>
          <w:szCs w:val="20"/>
          <w:color w:val="auto"/>
        </w:rPr>
      </w:pPr>
    </w:p>
    <w:p>
      <w:pPr>
        <w:jc w:val="both"/>
        <w:ind w:right="180" w:firstLine="360"/>
        <w:spacing w:after="0" w:line="266" w:lineRule="auto"/>
        <w:rPr>
          <w:sz w:val="20"/>
          <w:szCs w:val="20"/>
          <w:color w:val="auto"/>
        </w:rPr>
      </w:pPr>
      <w:r>
        <w:rPr>
          <w:rFonts w:ascii="Times New Roman" w:cs="Times New Roman" w:eastAsia="Times New Roman" w:hAnsi="Times New Roman"/>
          <w:sz w:val="18"/>
          <w:szCs w:val="18"/>
          <w:color w:val="auto"/>
        </w:rPr>
        <w:t>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6" w:lineRule="exact"/>
        <w:rPr>
          <w:sz w:val="20"/>
          <w:szCs w:val="20"/>
          <w:color w:val="auto"/>
        </w:rPr>
      </w:pPr>
    </w:p>
    <w:p>
      <w:pPr>
        <w:jc w:val="both"/>
        <w:ind w:right="100" w:firstLine="360"/>
        <w:spacing w:after="0" w:line="261" w:lineRule="auto"/>
        <w:rPr>
          <w:sz w:val="20"/>
          <w:szCs w:val="20"/>
          <w:color w:val="auto"/>
        </w:rPr>
      </w:pPr>
      <w:r>
        <w:rPr>
          <w:rFonts w:ascii="Times New Roman" w:cs="Times New Roman" w:eastAsia="Times New Roman" w:hAnsi="Times New Roman"/>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0" w:lineRule="exact"/>
        <w:rPr>
          <w:sz w:val="20"/>
          <w:szCs w:val="20"/>
          <w:color w:val="auto"/>
        </w:rPr>
      </w:pPr>
    </w:p>
    <w:p>
      <w:pPr>
        <w:ind w:right="220" w:firstLine="360"/>
        <w:spacing w:after="0" w:line="261"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for our common stock is Computershare Limited.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500" w:firstLine="360"/>
        <w:spacing w:after="0" w:line="312" w:lineRule="auto"/>
        <w:rPr>
          <w:sz w:val="20"/>
          <w:szCs w:val="20"/>
          <w:color w:val="auto"/>
        </w:rPr>
      </w:pPr>
      <w:r>
        <w:rPr>
          <w:rFonts w:ascii="Times New Roman" w:cs="Times New Roman" w:eastAsia="Times New Roman" w:hAnsi="Times New Roman"/>
          <w:sz w:val="17"/>
          <w:szCs w:val="17"/>
          <w:color w:val="auto"/>
        </w:rPr>
        <w:t>The validity of any securities offered by this prospectus supplement and any related prospectus supplement will be passed upon for us by Taft Stettinius &amp; Hollister LLP, Minneapolis, Minnesota. Certain matters will be passed upon for the underwriter by Faegre Drinker Biddle &amp; Reath LLP.</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60" w:firstLine="360"/>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Creative Realities, Inc. as of December 31, 2025 and 2024, and for each of the two years then ended,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INFORMATION INCORPORATED BY REFERENCE</w:t>
      </w:r>
    </w:p>
    <w:p>
      <w:pPr>
        <w:spacing w:after="0" w:line="229" w:lineRule="exact"/>
        <w:rPr>
          <w:sz w:val="20"/>
          <w:szCs w:val="20"/>
          <w:color w:val="auto"/>
        </w:rPr>
      </w:pPr>
    </w:p>
    <w:p>
      <w:pPr>
        <w:ind w:right="80" w:firstLine="414"/>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filed with the SEC. The SEC allows us to “incorporate by reference” into this prospectus supplement and the accompanying prospectus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w:t>
      </w:r>
    </w:p>
    <w:p>
      <w:pPr>
        <w:spacing w:after="0" w:line="189" w:lineRule="exact"/>
        <w:rPr>
          <w:sz w:val="20"/>
          <w:szCs w:val="20"/>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2025, filed with the SEC on </w:t>
      </w:r>
      <w:hyperlink r:id="rId35">
        <w:r>
          <w:rPr>
            <w:rFonts w:ascii="Times New Roman" w:cs="Times New Roman" w:eastAsia="Times New Roman" w:hAnsi="Times New Roman"/>
            <w:sz w:val="18"/>
            <w:szCs w:val="18"/>
            <w:u w:val="single" w:color="auto"/>
            <w:color w:val="0000EE"/>
          </w:rPr>
          <w:t>April 15, 2026</w:t>
        </w:r>
      </w:hyperlink>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fiscal quarter ended March 31, 2026, filed with the SEC on </w:t>
      </w:r>
      <w:hyperlink r:id="rId36">
        <w:r>
          <w:rPr>
            <w:rFonts w:ascii="Times New Roman" w:cs="Times New Roman" w:eastAsia="Times New Roman" w:hAnsi="Times New Roman"/>
            <w:sz w:val="18"/>
            <w:szCs w:val="18"/>
            <w:u w:val="single" w:color="auto"/>
            <w:color w:val="0000EE"/>
          </w:rPr>
          <w:t>May 15, 2026</w:t>
        </w:r>
      </w:hyperlink>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(or amendment(s) thereto) filed with the SEC on </w:t>
      </w:r>
      <w:hyperlink r:id="rId37">
        <w:r>
          <w:rPr>
            <w:rFonts w:ascii="Times New Roman" w:cs="Times New Roman" w:eastAsia="Times New Roman" w:hAnsi="Times New Roman"/>
            <w:sz w:val="18"/>
            <w:szCs w:val="18"/>
            <w:u w:val="single" w:color="auto"/>
            <w:color w:val="0000EE"/>
          </w:rPr>
          <w:t>January 2, 2026</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February 18,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9">
        <w:r>
          <w:rPr>
            <w:rFonts w:ascii="Times New Roman" w:cs="Times New Roman" w:eastAsia="Times New Roman" w:hAnsi="Times New Roman"/>
            <w:sz w:val="18"/>
            <w:szCs w:val="18"/>
            <w:u w:val="single" w:color="auto"/>
            <w:color w:val="0000EE"/>
          </w:rPr>
          <w:t>June 29, 2026</w:t>
        </w:r>
      </w:hyperlink>
      <w:r>
        <w:rPr>
          <w:rFonts w:ascii="Times New Roman" w:cs="Times New Roman" w:eastAsia="Times New Roman" w:hAnsi="Times New Roman"/>
          <w:sz w:val="18"/>
          <w:szCs w:val="18"/>
          <w:color w:val="auto"/>
        </w:rPr>
        <w:t>; and</w:t>
      </w:r>
    </w:p>
    <w:p>
      <w:pPr>
        <w:spacing w:after="0" w:line="252" w:lineRule="exact"/>
        <w:rPr>
          <w:rFonts w:ascii="Times New Roman" w:cs="Times New Roman" w:eastAsia="Times New Roman" w:hAnsi="Times New Roman"/>
          <w:sz w:val="18"/>
          <w:szCs w:val="18"/>
          <w:color w:val="auto"/>
        </w:rPr>
      </w:pPr>
    </w:p>
    <w:p>
      <w:pPr>
        <w:ind w:left="820" w:right="60" w:hanging="488"/>
        <w:spacing w:after="0" w:line="261"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Form 8-A, filed on </w:t>
      </w:r>
      <w:hyperlink r:id="rId40">
        <w:r>
          <w:rPr>
            <w:rFonts w:ascii="Times New Roman" w:cs="Times New Roman" w:eastAsia="Times New Roman" w:hAnsi="Times New Roman"/>
            <w:sz w:val="18"/>
            <w:szCs w:val="18"/>
            <w:u w:val="single" w:color="auto"/>
            <w:color w:val="0000EE"/>
          </w:rPr>
          <w:t>November 14, 2018</w:t>
        </w:r>
      </w:hyperlink>
      <w:r>
        <w:rPr>
          <w:rFonts w:ascii="Times New Roman" w:cs="Times New Roman" w:eastAsia="Times New Roman" w:hAnsi="Times New Roman"/>
          <w:sz w:val="18"/>
          <w:szCs w:val="18"/>
          <w:color w:val="auto"/>
        </w:rPr>
        <w:t>, including any amendments or reports filed for the purpose of updating such description, including the description under the caption “Description of Securities</w:t>
      </w:r>
    </w:p>
    <w:p>
      <w:pPr>
        <w:ind w:left="820" w:right="40"/>
        <w:spacing w:after="0" w:line="260" w:lineRule="auto"/>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auto"/>
          </w:rPr>
          <w:t xml:space="preserve">– Common Stock” included as Exhibit 4.2 to our Annual Report on Form 10-K for the fiscal year ended December 31, 2023, filed on </w:t>
        </w:r>
        <w:r>
          <w:rPr>
            <w:rFonts w:ascii="Times New Roman" w:cs="Times New Roman" w:eastAsia="Times New Roman" w:hAnsi="Times New Roman"/>
            <w:sz w:val="18"/>
            <w:szCs w:val="18"/>
            <w:u w:val="single" w:color="auto"/>
            <w:color w:val="0000EE"/>
          </w:rPr>
          <w:t>March 21,</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181" w:lineRule="exact"/>
        <w:rPr>
          <w:rFonts w:ascii="Times New Roman" w:cs="Times New Roman" w:eastAsia="Times New Roman" w:hAnsi="Times New Roman"/>
          <w:sz w:val="18"/>
          <w:szCs w:val="18"/>
          <w:color w:val="auto"/>
        </w:rPr>
      </w:pPr>
    </w:p>
    <w:p>
      <w:pPr>
        <w:ind w:right="300" w:firstLine="414"/>
        <w:spacing w:after="0" w:line="258" w:lineRule="auto"/>
        <w:rPr>
          <w:sz w:val="20"/>
          <w:szCs w:val="20"/>
          <w:color w:val="auto"/>
        </w:rPr>
      </w:pPr>
      <w:r>
        <w:rPr>
          <w:rFonts w:ascii="Times New Roman" w:cs="Times New Roman" w:eastAsia="Times New Roman" w:hAnsi="Times New Roman"/>
          <w:sz w:val="18"/>
          <w:szCs w:val="18"/>
          <w:color w:val="auto"/>
        </w:rPr>
        <w:t>In addition, all documents that we file with the SEC pursuant to Sections 13(a), 13(c), 14 or 15(d) of the Exchange Act after the date of this prospectus supplement and before the termination of the offering of our securities shall be deemed incorporated by reference into this prospectus supplement and accompanying prospectus and to be a part of this prospectus supplement and the accompanying prospectus from the respective dates of filing such documents. We are not, however, incorporating, in each case, any documents or information that we are deemed to furnish and not file in accordance with SEC rules.</w:t>
      </w:r>
    </w:p>
    <w:p>
      <w:pPr>
        <w:spacing w:after="0" w:line="183" w:lineRule="exact"/>
        <w:rPr>
          <w:rFonts w:ascii="Times New Roman" w:cs="Times New Roman" w:eastAsia="Times New Roman" w:hAnsi="Times New Roman"/>
          <w:sz w:val="18"/>
          <w:szCs w:val="18"/>
          <w:color w:val="auto"/>
        </w:rPr>
      </w:pPr>
    </w:p>
    <w:p>
      <w:pPr>
        <w:ind w:firstLine="414"/>
        <w:spacing w:after="0" w:line="255"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 this prospectus supplement and the accompanying prospectus shall be deemed to be modified or superseded for purposes of this prospectus supplement and the accompanying prospectus to the extent that a statement contained in this prospectus supplement or in any other subsequently filed document that also is or is deemed to be incorporated by reference in this prospectus supplement modifies or supersedes such statement. Any statement so modified or superseded shall not be deemed, except as so modified or superseded, to constitute a part of this prospectus supplement or the accompanying prospectus. Statements contained in this prospectus supplement as to the contents of any contract or other document are not necessarily complete and, in each instance, we refer you to the copy of each contract or document filed as an exhibit to our various filings made with the SEC.</w:t>
      </w:r>
    </w:p>
    <w:p>
      <w:pPr>
        <w:spacing w:after="0" w:line="18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4" w:name="page25"/>
    <w:bookmarkEnd w:id="24"/>
    <w:p>
      <w:pPr>
        <w:ind w:right="180" w:firstLine="414"/>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supplement is delivered, without charge upon written or oral request, a copy of any or all of the documents that are incorporated by reference into this prospectus supplement but not delivered with the prospectus supplement, including exhibits which are specifically incorporated by reference into such documents. You may request a copy of these filings, at no cost, by writing or telephoning us at the following address or telephone number: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13100 Magisterial Drive, Suite 201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Louisville, KY 40223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(502) 791-8800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filed with the SEC under the Securities Act. This prospectus supplement and the accompanying prospectus do not contain all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and accompanying prospectus, we refer you to the registration statement and the exhibits and schedules filed as a part of the registration statement and the documents incorporated by reference herein and therein.</w:t>
      </w:r>
    </w:p>
    <w:p>
      <w:pPr>
        <w:spacing w:after="0" w:line="183"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We are a reporting company and file annual, quarterly and current reports, proxy statements and other information with the SEC. The SEC maintains an Internet site at http://www.sec.gov that contains reports, proxy and information statements and other information regarding issuers that file electronically with the SEC. Our SEC filings are available on the SEC’s Internet site.</w:t>
      </w:r>
    </w:p>
    <w:p>
      <w:pPr>
        <w:spacing w:after="0" w:line="176"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The representations, warranties and covenants made by us in any agreement that is filed as an exhibit to the registration statement of which this prospectus supplement and the accompanying prospectus are a part, or to any document that is incorporated by reference in this prospectus supplement and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or expressly referenced therein. Accordingly, such representations, warranties and covenants should not be relied on as accurately representing the current state of our affairs.</w:t>
      </w:r>
    </w:p>
    <w:p>
      <w:pPr>
        <w:spacing w:after="0" w:line="187" w:lineRule="exact"/>
        <w:rPr>
          <w:sz w:val="20"/>
          <w:szCs w:val="20"/>
          <w:color w:val="auto"/>
        </w:rPr>
      </w:pPr>
    </w:p>
    <w:p>
      <w:pPr>
        <w:jc w:val="both"/>
        <w:ind w:right="200" w:firstLine="360"/>
        <w:spacing w:after="0" w:line="266" w:lineRule="auto"/>
        <w:rPr>
          <w:sz w:val="20"/>
          <w:szCs w:val="20"/>
          <w:color w:val="auto"/>
        </w:rPr>
      </w:pPr>
      <w:r>
        <w:rPr>
          <w:rFonts w:ascii="Times New Roman" w:cs="Times New Roman" w:eastAsia="Times New Roman" w:hAnsi="Times New Roman"/>
          <w:sz w:val="18"/>
          <w:szCs w:val="18"/>
          <w:color w:val="auto"/>
        </w:rPr>
        <w:t>We maintain an Internet site at http://www.cri.com. Information found on, or accessible through, our website is not a part of, and is not incorporated into, this prospectus supplement or the accompanying prospectus, and you should not consider it part of this prospectus supplement or the accompanying prospectus.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156845</wp:posOffset>
            </wp:positionV>
            <wp:extent cx="2468880" cy="428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to Purchase Common Stock or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offer from time to time securities described in this prospectus separately or together in any combination. We may offer and sell such securities in one or more offerings with a total aggregate principal amount or initial purchase price not to exceed $100,000,000. These securities may be convertible into or exchangeable for our other securities. This prospectus provides a general description of these securities. We will provide you with specific information about the offering and terms of these securities in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securities unless accompanied by a prospectus supplement.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offer and sell these securities on a continuous or delayed basis, at prices and on terms to be determined at the time of any particular offering, directly to purchasers, through agents, dealers or underwriters as designated from time to time, or through a combination of these methods. See “Plan of Distribution.” The prospectus supplement for each offering will describe in detail the plan of distribution for that offering and will set forth the names of underwriters, dealers or agents, if any, involved in the offering and any applicable discounts or commissions payable to them. Net proceeds from the sale of the securities also will be set forth in the applicable prospectus supplement.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otherwise stated in a prospectus supplement, none of these securities will be listed on any securities exchange. Our common stock is listed on The NASDAQ Capital Market under the symbol “CREX.” The last reported per share price for our common stock was $3.75, as quoted on The NASDAQ Capital Market on June 2, 2026. As of June 2, 2026, the aggregate market value of our outstanding common stock held by non-affiliates (our “public float”) was $37,035,398. Pursuant to General Instruction I.B.6 of Form S-3, in no event will we sell securities in a public primary offering in reliance on such General Instruction with a value exceeding one-third of our public float during any 12-month period.</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You should review carefully the risks and uncertainties described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contained in the applicable prospectus supplement and any related free writing prospectus, and under similar headings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other documents that are incorporated by reference into this prospectus.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prospectus is part of a registration statement that we filed with the Securities and Exchange Commission, or the Commission, using a “shelf” registration process. Under this shelf registration process, from time to time, we may sell any combination of the securities described in this prospectus in one or more offerings. This prospectus provides you with a general description of the securities we may offer. Each time we offer and sell securities under this prospectus, we will provide a prospectus supplement that will contain more specific information about the terms of the applicable offering. The prospectus supplement may include a discussion of risks or other special considerations applicable to us or the offered securities.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the information contained in this prospectus or in the documents incorporated by reference into this prospectus. If there is any inconsistency between the information in this prospectus and the applicable prospectus supplement, you must rely on the information in the prospectus supplement. We urge you to carefully read this prospectus, any applicable prospectus supplement and any related free writing prospectus, together with the information incorporated herein by reference as described under the headings “Where You Can Find More Information” and “Incorporation of Information by Reference” before buying any of the securities being offered. </w:t>
      </w:r>
      <w:r>
        <w:rPr>
          <w:rFonts w:ascii="Times New Roman" w:cs="Times New Roman" w:eastAsia="Times New Roman" w:hAnsi="Times New Roman"/>
          <w:sz w:val="18"/>
          <w:szCs w:val="18"/>
          <w:b w:val="1"/>
          <w:bCs w:val="1"/>
          <w:color w:val="auto"/>
        </w:rPr>
        <w:t>THIS PROSPECTUS MAY NOT BE USED TO CONSUMMATE A SALE OF SECURITIES UNLESS IT IS ACCOMPANIED BY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 SUPPLEMENT.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or any applicable prospectus supplement, along with the information contained in any related free writing prospectus that we have authorized for use in connection with a specific offering.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 that we may authorize to be provided to you. You must not rely on any unauthorized information or representation. The information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or unless otherwise indicated, all references to “Creative Realities,” the “Company,” “we,” “our,” or “us” refer collectively to Creative Realities, Inc.</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does not constitute, and any prospectus supplement or other offering materials related to an offering of securities described in this prospectus will not constitute, an offer to sell, or a solicitation of an offer to purchase, the offered securities in any jurisdiction to or from any person to whom or from whom it is unlawful to make such offer or solicitation in such jurisdiction.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Creative Realities, Inc. (“Creative Realities,” the “Company,” “we,” “us,” “our,” and similar expressions) transforms environments through digital solutions by providing innovative digital signage solutions for key market segments and use cases, including:</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Quick Service Restaurants (“QSR”);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Lottery;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out of Home (“DOOH”) Advertising Networks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Traffic content and advertising</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the Company assists customers to design, deploy, manage, and monetize their digital signage and in-store retail media networks. The Company sources leads and opportunities for its solutions through its digital and content marketing initiatives, close relationships with key industry partners, including equipment manufacturers and a media sales agent,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Organization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principal offices are located at 13100 Magisterial Drive, Suite 201, Louisville, Kentucky 40223, and our telephone number at that office is (502) 791-8800.</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originally incorporated and organized as a Minnesota corporation under the name “Wireless Ronin Technologies, Inc.” in March 2003 and focused on our expertise in digital media marketing solutions, including digital signage, interactive kiosks, mobile, social media and web-based media solutions. We acquired the interactive marketing technology business that we currently operate in a 2014 merger with Creative Realities, LLC. Shortly after that merger, we changed our corporate name from “Wireless Ronin Technologies, Inc.” to “Creative Realities, Inc.” On October 15, 2015, we acquired the systems integration and marketing technology business of ConeXus World Global, LLC. On November 20, 2018, we acquired Allure, an enterprise software development company. On February 17, 2022, we acquired Reflect Systems, Inc. On November 7, 2025, we acquired DDC Group International, Inc., a wholly owned subsidiary of Cineplex Entertainment Limited Partnership (“DDC”). DDC was the parent company of its wholly owned subsidiary, Cineplex Digital Media Inc. (“CDM”) and CDM’s wholly owned subsidiary, Cineplex Digital Media U.S. Inc. (“CDMUS”), which we collectively refer to as the “CDM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purchase any of the securities being offered, you should carefully review the risks and uncertainties described under the heading “Risk Factors” contained in the applicable prospectus supplement and any related free writing prospectus, and under similar headings in the other documents that are incorporated by reference into this prospectus and the applicable prospectus supplement. Each of the risk factors could adversely affect our business, operating results and financial condition, as well as adversely affect the value of an investment in our securities, and the occurrence of any of these risks might cause you to lose all or part of your investment. Moreover, the risks described are not the only ones that we face. Additional risks not presently known to us or that we currently believe are immaterial may also significantly impair our business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and any prospectus supplement or free writing prospectus may contain, forward-looking statements within the meaning of Section 27A of the Securities Act of 1933, as amended, or the Securities Act, and Section 21E of the Securities Exchange Act of 1934, as amended, or the Exchange Act. All statements other than statements of historical facts contained in this prospectus and the documents incorporated by reference herein contain, and any prospectus supplement or free writing prospectus, are forward-looking statements. These statements relate to future events or to our future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8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funds for future operations;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expenses, revenue and profitability;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affecting financial condition and results of operations;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convert proposals and pilot projects into customer orders, including our ability to realize the revenues included in our future guidance and backlog reports;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outlook;</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to pay for products and services received;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our upcoming debt obligations and other liabilities;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changing customer requirements upon revenue recognition;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cancellations;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additional capital;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continue as a going concern;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the competitive environment;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Company’s financial condition upon customer and prospective customer relationships;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and regulatory actions directed toward our industry in general;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our shareholder(s) with the greatest beneficial ownership of our common stock;</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certain key personnel in the management of our businesses;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management turnover;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material weaknesses in internal controls over financial reporting;</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operations of acquired companies;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remain listed on the Nasdaq Capital Market.</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“intend,” “could,” “would,” “expects,” “plans,” “anticipates,” “believes,” “estimates,” “projects,” “predicts,” “potential,” “propose,” and similar expressions (or the negative versions of such words or expressions) intended to identify forward-looking statements.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under the heading “Risk Factors” in the applicable prospectus supplement or free writing prospectus and in our reports filed from time to time under the Securities Act and/or the Exchange Act. We encourage you to read these filings as they are made. Also, these forward-looking statements represent our estimates and assumptions only as of the date of the document containing the applicable statement.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herein, and any prospectus supplement that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our securities offered by this prospectus. Unless we indicate otherwise in the applicable prospectus supplement or in any related free writing prospectus we have authorized for use in connection with a specific offering, we anticipate that any net proceeds will be used for working capital and general corporate purposes. We will set forth in the applicable prospectus supplement or free writing prospectus our intended use for the net proceeds received from the sale of securities sold pursuant to that prospectus supplement or free writing prospectus.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set forth in a prospectus supplement the following information regarding any material dilution of the equity interests of investors purchasing securities in an offering under this prospectus:</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tangible book value per share of our equity securities before and after the offering;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increase in such net tangible book value per share attributable to the cash payments made by purchasers in the offering;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immediate dilution from the public offering price which will be absorbed by such purchasers.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authorized capital consists of 116,666,666 shares of capital stock, $0.01 par value per share, comprised of 66,666,666 shares of common stock and 50,000,000 shares of preferred stock. As of June 2, 2026, there were 10,567,268 shares of our common stock issued and outstanding and 30,000 shares of preferred stock were designated as Series A Convertible Preferred Stock (the “Series A Preferred Shares”) all of which were issued and outstanding. Our common stock is listed on the NASDAQ Capital Market under the symbol “CREX.”</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This summary is, however, subject to the provisions of our articles of incorporation and bylaws. For greater detail about our capital stock, please refer to our articles of incorporation and bylaws and the applicable provisions of Minnesota law. The following description summarizes the material terms of our capital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The holders of our common stock are entitled to one vote for each outstanding share of common stock owned by that shareholder on every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 properly submitted to the shareholders for their vote. Shareholders are not entitled to vote cumulatively for the election of directors.</w:t>
      </w:r>
    </w:p>
    <w:p>
      <w:pPr>
        <w:spacing w:after="0" w:line="158"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Subject to the dividend rights of the holders of any outstanding series of preferred stock, holders of our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ratably such dividends and other distributions of cash or any other right or property as may be declared by our Board of Directors out of our assets or funds legally available for such dividends or distributions.</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In the event of any voluntary or involuntary liquidation, dissolution or winding up of our affairs, holders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be entitled to share ratably in our assets that are legally available for distribution to shareholders after payment of liabilities and after the satisfaction of any liquidation preference owed to the holders of any outstanding series of preferred stock.</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 Redemption and Preemptive Rights. </w:t>
      </w:r>
      <w:r>
        <w:rPr>
          <w:rFonts w:ascii="Times New Roman" w:cs="Times New Roman" w:eastAsia="Times New Roman" w:hAnsi="Times New Roman"/>
          <w:sz w:val="18"/>
          <w:szCs w:val="18"/>
          <w:color w:val="auto"/>
        </w:rPr>
        <w:t>Holders of our common stock have no conversion, redemption, preemptive, subscription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the holders of common stock are subject to, and may be adversely affected by, the rights of the holders of shares of any series of our preferred stock that we may designate and issue in the future.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Limited.</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“Description of Securities” incorporated into this prospectus by reference to Exhibit 4.2 to our Annual Report on Form 10-K for year ended December 31, 2025 for a description of provisions of our articles of incorporation and bylaws and the Minnesota Business Corporation Act that may have the effect of delaying, deferring or preventing changes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A Redeemable Convertible Preferred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6, 2025, the Company filed the Certificate of Designations, Preferences and Rights of Series A Convertible Preferred Stock (the “Certificate of Designations”) with the Minnesota Secretary of State, which established the designations, preferences, powers and rights of Series A Preferred Shares. The Series A Preferred Shares have a stated value of $1,000 per share (the “Stated Value”). A summary of such designations, preferences, powers and rights is below.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Ranking; Liquidation. </w:t>
      </w:r>
      <w:r>
        <w:rPr>
          <w:rFonts w:ascii="Times New Roman" w:cs="Times New Roman" w:eastAsia="Times New Roman" w:hAnsi="Times New Roman"/>
          <w:sz w:val="18"/>
          <w:szCs w:val="18"/>
          <w:color w:val="auto"/>
        </w:rPr>
        <w:t>The Series A Preferred Shares rank senior to the common stock as to distributions and payments upon the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and winding up of the Company. Upon a liquidation, dissolution or winding up of the Company, the holders of Series A Preferred Shares will be entitled to receive in cash, before any amount is paid to the holders of common stock (or any other capital stock of the Company ranking junior to the Series A Preferred Shares in respect of the preferences as to the distributions and payments on the liquidation, dissolution and winding up of the Company), an amount per Series A Preferred Shares equal to the greater of (i) the Liquidation Preference (as defined below), or (ii) such amount per share as would have been payable had all Series A Preferred Shares been converted into common stock immediately prior to such liquidation, dissolution or winding up.</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Series A Preferred Shares accrue dividends for a period of five years from and after the issuance date (the “Guaranteed Term”) at a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5.25% per year on the Stated Value, which will be payable in cash only at the Company’s option beginning upon expiration of the Guaranteed Term. Such dividends accrue daily and compound on a quarterly basis from the issuance date. To the extent that, during the Guaranteed Term, (i) the Company undergoes any liquidation, dissolution, winding up, or “Fundamental Transaction” (as defined in the Certificate of Designations), or (ii) the Company elects to effect a Mandatory Conversion (as defined below) (each, a “Make Whole Event”), then, immediately prior to the effective time of such Make Whole Event, the amount of dividends accrued on the Series A Preferred Shares will automatically be increased by an amount equal to any additional dividends that would have otherwise accrued on the Series A Preferred Shares between the date of the Make Whole Event and the end of the Guaranteed Term (the “Make Whole Payment”), and the dividends will thereafter cease to accrue. In addition, holders of Series A Preferred Shares will participate with the holders of common stock on an as-converted basis (without regard to any limitations or restrictions on conversion) to the extent any dividends are declared on the common stock.</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Optional Conversion. </w:t>
      </w:r>
      <w:r>
        <w:rPr>
          <w:rFonts w:ascii="Times New Roman" w:cs="Times New Roman" w:eastAsia="Times New Roman" w:hAnsi="Times New Roman"/>
          <w:sz w:val="18"/>
          <w:szCs w:val="18"/>
          <w:color w:val="auto"/>
        </w:rPr>
        <w:t>Each Series A Preferred Share is convertible at the option of the holder from and after the date of issuance into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Shares”) at a rate (the “Conversion Rate”) calculated by calculated by dividing (i) the Stated Value plus an amount per share equal to dividends accrued and unpaid through the date of determination (including, if applicable, any Make Whole Payment) (the “Liquidation Preference”), by (ii) by the “Conversion Price” of $3.00, subject to the Beneficial Ownership Limitation and the Exchange Cap limitation described below.</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Mandatory Conversion. </w:t>
      </w:r>
      <w:r>
        <w:rPr>
          <w:rFonts w:ascii="Times New Roman" w:cs="Times New Roman" w:eastAsia="Times New Roman" w:hAnsi="Times New Roman"/>
          <w:sz w:val="18"/>
          <w:szCs w:val="18"/>
          <w:color w:val="auto"/>
        </w:rPr>
        <w:t>After the three year anniversary of the issuance date, if on any date (x) the Company’s EBITDA (as defined in the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Designations) for the four consecutive calendar quarters immediately preceding such date equals or exceeds $30.0 million, (y) the Net Debt Leverage Ratio (as defined in the Certificate of Designations) of the Company as of such date is less than 1.5X, and (z) the closing price of the common stock on its principal trading market equals or exceeds 300% of the then-applicable Conversion Price for 45 trading days during any 60 consecutive trading day period, the Company will have the right to cause the conversion of all of the outstanding Series A Preferred Shares into Conversion Shares at the Conversion Rate (such conversion being a “Mandatory Conversion”).</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Beneficial Ownership Limitation and Exchange Cap Limitation. </w:t>
      </w:r>
      <w:r>
        <w:rPr>
          <w:rFonts w:ascii="Times New Roman" w:cs="Times New Roman" w:eastAsia="Times New Roman" w:hAnsi="Times New Roman"/>
          <w:sz w:val="18"/>
          <w:szCs w:val="18"/>
          <w:color w:val="auto"/>
        </w:rPr>
        <w:t>A holder’s ability to convert and vote its Series A Preferred Shares is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limitations. Under a “Beneficial Ownership Limitation,” no holder of Series A Preferred Shares may acquire Conversion Shares if the issuance thereof would result in the converting holder or its affiliates beneficially owning in excess of 19.99% of the number of shares of the Company’s common stock outstanding immediately after giving effect to the issuance. Under an “Exchange Cap” limitation, the total number of Conversion Shares issuable upon conversion of outstanding Series A Preferred Shares, when added to all Conversion Shares previously issued upon prior conversions, may not exceed 2,102,734 shares. However; if the Company obtains shareholder approval to issue shares of common stock in excess of the conversion limitations (as required by applicable Nasdaq Listing Rules), a holder of Series A Preferred Shares may elect for the Exchange Cap to cease to apply to the holder’s Series A Preferred Shares, which election will become effective 61 days after the election. A holder of Series A Preferred Shares, upon written notice to the Company, may decrease (and thereafter increase) the Beneficial Ownership Limitation; provided that the Beneficial Ownership Limitation may in no event exceeds 19.99%, or, if such shareholder approval is obtained, 49.99%. At the Company’s annual meeting of shareholder held December 29, 2025, the Company’s shareholders approved the issuance of Conversion Shares in excess of the Exchange Cap limitation and approved a proposal to increase the maximum Beneficial Ownership Limitation percentage to 49.99%.</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4" w:name="page35"/>
    <w:bookmarkEnd w:id="34"/>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Redemption. </w:t>
      </w:r>
      <w:r>
        <w:rPr>
          <w:rFonts w:ascii="Times New Roman" w:cs="Times New Roman" w:eastAsia="Times New Roman" w:hAnsi="Times New Roman"/>
          <w:sz w:val="18"/>
          <w:szCs w:val="18"/>
          <w:color w:val="auto"/>
        </w:rPr>
        <w:t>The Series A Preferred Shares are subject to automatic redemption for cash upon a “Fundamental Transaction” by the Company,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a merger, sale of all or substantially all the assets of the Company, recapitalization, or the sale by the Company of shares resulting in more than 50% ownership by a person or group. In such event, the redemption price would be equal to the greater of (i) the Liquidation Preference or (ii) the consideration per share of common stock in the Fundamental Transaction (or, in the event of a Fundamental Transaction in which consideration does not consist solely of cash, the volume-weighted average price of the common stock immediately preceding the closing of the Fundamental Transaction).</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Holders of Series A Preferred Shares generally are entitled to vote on an as-converted basis with holders of the Common Stock,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Ownership Limitation and the Exchange Cap limitations, on all matters on which holders of common stock are entitled to vote, voting together with the common stock as a single class, and are otherwise entitled to such voting rights as required by applicable law.</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Protective Provisions. </w:t>
      </w:r>
      <w:r>
        <w:rPr>
          <w:rFonts w:ascii="Times New Roman" w:cs="Times New Roman" w:eastAsia="Times New Roman" w:hAnsi="Times New Roman"/>
          <w:sz w:val="18"/>
          <w:szCs w:val="18"/>
          <w:color w:val="auto"/>
        </w:rPr>
        <w:t>For so long as the “Lead Investor” in the Company’s offering of Series A Preferred Shares and its affiliates beneficially own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20% of the Conversion Shares underlying the Series A Preferred Shares, the Company may not take any of the following actions without the Lead Investor’s consent:</w:t>
      </w:r>
    </w:p>
    <w:p>
      <w:pPr>
        <w:spacing w:after="0" w:line="175" w:lineRule="exact"/>
        <w:rPr>
          <w:sz w:val="20"/>
          <w:szCs w:val="20"/>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authorize, or issue any capital stock that rank senior to or pari passu with the Series A Preferred Shares, or increase the authorized number of shares of Series A Preferred Shares or any additional class or series of capital stock that ranks senior to or pari passu with the Series A Preferred Shares;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that would result in the ratio of debt to EBITDA of the Company for preceding twelve calendar months exceeding 2.5:1;</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redeem, or pay or declare any dividend on shares of capital stock other than redemptions of or dividends on the Series A Preferred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 acquisition (other than a specified exception) with consideration above $5.0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renew, extend or be a party to certain related party transactions; or</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Company’s articles of incorporation or bylaws in a manner that adversely affects the rights, powers and preferences of the Series A Preferred Shares.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Certificate of Designations is not complete and is qualified in its entirety by the terms of the Certificate of Designations that is incorporated by reference into the registration statement of which this prospectus is a part.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our articles of incorporation, our board of directors has the authority, without stockholder approval, subject to limitations prescribed by law, to provide for the issuance of authorized but unissued shares of preferred stock in one or more series, and by filing a certificate pursuant to the applicable law of the State of Minnesota, to establish from time to time the number of shares to be included in each such series, and to fix the designation, powers, preferences and rights of the shares of each series and any qualifications, limitations or restrictions thereof, and to increase or decrease the number of shares of any such series, but not below the number of shares of such series then outstanding.</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fix the designations, voting powers, preferences and rights of the preferred stock of each series,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Commission, the form of any certificate of designation that describes the terms of the series of preferred stock we are offering before the issuance of that series of preferred stock. This description may include, among other things:</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5" w:name="page36"/>
    <w:bookmarkEnd w:id="35"/>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dividends;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will accumulate;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or repurchase, if applicable, and any restrictions on our ability to exercise those redemption and repurchase rights;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will be convertible into common stock, including the conversion price (or manner of calculation) and conversion period;</w:t>
      </w:r>
    </w:p>
    <w:p>
      <w:pPr>
        <w:ind w:left="660" w:right="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the liquidation, dissolution or winding up of our affairs;</w:t>
      </w: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2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laws of the State of Minnesota, the state of our incorporation, generally provide that the holders of outstanding shares of a class or series of preferred stock will have the right to vote separately as a class on any proposal involving a change in the rights or preferences of such class or series of preferred stock. This right is in addition to any voting rights that may be provided for in the applicable certificate of designation.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The particular terms of each series that are offered by a prospectus supplement will be described in the prospectus supplement. The debt securities will be either our senior debt securities (“Senior Debt Securities”) or our subordinated debt securities (“Subordinated Debt Securities” and together with Senior Debt Securities, “Debt Securities”). The Senior Debt Securities and the Subordinated Debt Securities will be issued under an indenture (an “Indenture”) between us and the trustee party thereto (the “Trustee”). The Indenture will be qualified under the Trust Indenture Act of 1939, as amended (the “Trust Indenture Act”). We have filed a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The Subordinated Debt Securities will be subordinated in right of payment to the prior payment in full of all of our senior debt as described in the prospectus supplement applicable to any Subordinated Debt Securities. If the prospectus supplement so indicates, the Debt Securities will be convertible into our common stock.</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the Debt Securities will be our direct, unsecured obligations. The rights of the Company and our creditors, including holders of the Debt Securities, to participate in the assets of any subsidiary will be subject to the prior claims of the subsidiaries’ creditors.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that the Debt Securities may be in any currency or currency unit that we may designate. Except for the provisions that require the assumption of Debt Securities by successors in connection with any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We will determine the terms and conditions of the Debt Securities, including the maturity, principal and interest, but those terms must be consistent with the Indenture.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the price or prices at which the Debt Securities to be offered will be issued and will describe the following terms of such Debt Securities:</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and aggregate principal amount;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subordination provisions;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into any securities or property;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of principal amount at which such securities will be issued;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date;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or the method for determining the interest rate(s);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dates on which interest will accrue or the method for determining dates on which interest will accrue and dates on which interest will be payable;</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in additional Debt Securities of the same series, or shall accrue and increase the aggregate principal amount outstanding of such series (including if the Debt Securities were originally issued at a discount);</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deferral rights and periods;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auction and remarketing of the securities;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the securities;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discount or premium, if any, with which such securities will be issued;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securities will be issued in whole or in part in the form of one or more global securities;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of the depositary(ies) for global securities;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upon which beneficial interests in a temporary global security may be exchanged in whole or in part for beneficial interests in a definitive global security or for individual definitive securities;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collateral or security provided for such Debt Securities;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defaults and events of default applicable to the particular Debt Securities being issued and acceleration rights upon such events;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currencies or currency units in which the purchase price for, the principal of and any premium and any interest on such securities will be payable;</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exchange(s) on which the securities will be listed, if any;</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securities under a sinking fund, amortization or analogous provision;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covenant defeasance and legal defeasance of securities of the series;</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incur additional indebtedness, issue additional securities, create liens, pay dividends or make distributions of transfer assets, make investments or other restricted payments, sell or otherwise dispose of assets, enter into sale-leaseback transactions, engage in transactions with stockholders or affiliates, issue or sell stock of our subsidiaries, or effect a consolidation or merger;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satisfaction and discharge of the Indenture;</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upon the occurrence of specified events, including consolidation, merger and sales;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of transferability of the series;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not inconsistent with the provisions of the applicable Indenture.</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Debt Securities, including any Debt Securities that provide for an amount less than the principal amount thereof to be due and payable upon a declaration of acceleration of the maturity thereof, may be sold at a substantial discount below their principal amount. Special United States federal income tax considerations applicable to Debt Securities sold at an original issue discount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terms, if any, on which a series of Debt Securities may be convertible into or exchangeable for common stock or other securities will be detailed in the prospectus supplement relating thereto. Such terms will include provisions as to whether conversion or exchange is mandatory, at the option of holders, or at our option, the conversion price and the conversion period, and may include provisions pursuant to which the number of shares of our common stock or other securities to be received by holders of such series of Debt Securities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applicable.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as otherwise described in the prospectus supplement, the following constitute events of default under the Indenture with respect to any series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Securities that we may issue:</w:t>
      </w:r>
    </w:p>
    <w:p>
      <w:pPr>
        <w:spacing w:after="0" w:line="207" w:lineRule="exact"/>
        <w:rPr>
          <w:sz w:val="20"/>
          <w:szCs w:val="20"/>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holder of Debt Securities of any series will have the right to institute a proceeding under the Indenture or to appoint a receiver or Trustee, or to seek other remedies only if:</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252"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provides that, except for specified obligations, we can elect to be discharged from our obligations with respect to one or more series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Securities, including obligations to:</w:t>
      </w:r>
    </w:p>
    <w:p>
      <w:pPr>
        <w:spacing w:after="0" w:line="20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We may enter into a warrant agreement with a bank or trust company, as warrant agent. We will indicate the name and address and other information regarding the warrant agent in the applicable prospectus supplement or free writing prospectus relating to a particular series of warrants. The warrant agent will act solely as our agent in connection with the warrants. The warrant agent will not have any obligation or relationship of agency or trust for or with any holders or beneficial owners of warrants.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summary of certain provisions of the warrants is not complete. For the terms of a particular series of warrants, you should refer to the prospectus supplement or free writing prospectus for that series of warrants and the warrant agreement for that particular series. The terms of any warrants we offer under a prospectus supplement or free writing prospectus may differ from the terms we describe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prospectus supplement or free writing prospectus relating to a particular issue of warrants to purchase debt securities will describe the terms of the debt warrants, including the following:</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debt warrants,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including any conversion rights, purchasable upon exercise of the debt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debt warrants and any debt securities issued with them will be separately transferable;</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debt warrants will commence and expire;</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debt warrants that may be exercised at any one time;</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or debt securities that may be issued upon exercise of the debt warrants will be issued in registered or bearer form;</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debt warrants,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debt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warrants upon a change in control or similar event; and</w:t>
      </w:r>
    </w:p>
    <w:p>
      <w:pPr>
        <w:spacing w:after="0" w:line="3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procedures, and limitations relating to the exchange, exercise and settlement of the debt warrants.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or free writing prospectus.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 or to enforce covenants in the 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prospectus supplement or free writing prospectus relating to a particular series of warrants to purchase our common stock or preferred stock will describe the terms of the warrants, including the following:</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common stock or preferred stock that may be purchased upon exercise of the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or preferred stock that may be purchased upon exercise of a warrant and the exercise price for the warrants;</w:t>
      </w:r>
    </w:p>
    <w:p>
      <w:pPr>
        <w:spacing w:after="0" w:line="4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holder’s right to require us to repurchase the warrants upon a change in control or similar event;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notice as stockholders with respect to any meeting of stockholders for the election of our directors or any other matter;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any rights as stockholders of the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into which the warrant is exercisable, as specified in the applicable prospectus supplement or free writing prospectus, at the exercise price that we describe in the applicable prospectus supplement or free writing prospectus. The warrants may be exercised as set forth in the prospectus supplement or free writing prospectus relating to the warrants offered. Unless we otherwise specify in the applicable prospectus supplement or free writing prospectus, warrants may be exercised at any time up to the close of business on the expiration date set forth in the prospectus supplement or free writing prospectus relating to the warrants offered thereby. After the close of business on the expiration date, unexercised warrants will become void.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certificate or agreement, as applicable, properly completed and duly executed at the corporate trust office of the warrant agent, if any, or any other office, including ours, indicated in the prospectus supplement or free writing prospectus, we will, as soon as practicable, issue and deliver the securities purchasable upon such exercise. If less than all of the warrants represented by such warrant certificate or agreement are exercised, a new warrant certificate or agreement will be issued for the remaining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or free writing prospectus, the warrants and warrant agreements will be governed by and construed in accordance with the laws of the State of New York.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17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times of sale;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5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if any;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validity of any securities offered from time to time by this prospectus and any related prospectus supplement will be passed upon by Taft Stettinius</w:t>
      </w:r>
    </w:p>
    <w:p>
      <w:pPr>
        <w:spacing w:after="0" w:line="39" w:lineRule="exact"/>
        <w:rPr>
          <w:sz w:val="20"/>
          <w:szCs w:val="20"/>
          <w:color w:val="auto"/>
        </w:rPr>
      </w:pPr>
    </w:p>
    <w:p>
      <w:pPr>
        <w:ind w:firstLine="8"/>
        <w:spacing w:after="0" w:line="260" w:lineRule="auto"/>
        <w:tabs>
          <w:tab w:leader="none" w:pos="1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Hollister LLP. If legal matters in connection with offerings made pursuant to this prospectus and any related prospectus supplement are passed upon by counsel to underwriters, dealers or agents, if any, such counsel will be named in the prospectus supplement related to such offering.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Creative Realities, Inc. as of December 31, 2025 and 2024, and for each of the two years then ended,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reporting company and file annual, quarterly and current reports, proxy statements and other information with the Commission. The Commission maintains an Internet site at http://www.sec.gov that contains reports, proxy and information statements and other information regarding issuers that file electronically with the Commission. Our Commission filings are available on the Commission’s Internet site.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made by us in any agreement that is filed as an exhibit to the registration statement of which this prospectus is a part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made as of an earlier date.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maintain an Internet site at http://www.cri.com. Information found on, or accessible through, our website is not a part of, and is not incorporated into, this prospectus, and you should not consider it part of this prospectus or part of any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IMPORTANT INFORMATION INCORPORATED BY REFERENCE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You should read the information incorporated by reference because it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18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2025, which was filed on </w:t>
      </w:r>
      <w:hyperlink r:id="rId35">
        <w:r>
          <w:rPr>
            <w:rFonts w:ascii="Times New Roman" w:cs="Times New Roman" w:eastAsia="Times New Roman" w:hAnsi="Times New Roman"/>
            <w:sz w:val="18"/>
            <w:szCs w:val="18"/>
            <w:u w:val="single" w:color="auto"/>
            <w:color w:val="0000EE"/>
          </w:rPr>
          <w:t>April 15, 2026</w:t>
        </w:r>
      </w:hyperlink>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fiscal quarter ended March 31, 2026, filed with the SEC on </w:t>
      </w:r>
      <w:hyperlink r:id="rId36">
        <w:r>
          <w:rPr>
            <w:rFonts w:ascii="Times New Roman" w:cs="Times New Roman" w:eastAsia="Times New Roman" w:hAnsi="Times New Roman"/>
            <w:sz w:val="18"/>
            <w:szCs w:val="18"/>
            <w:u w:val="single" w:color="auto"/>
            <w:color w:val="0000EE"/>
          </w:rPr>
          <w:t>May 15, 2026</w:t>
        </w:r>
      </w:hyperlink>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37">
        <w:r>
          <w:rPr>
            <w:rFonts w:ascii="Times New Roman" w:cs="Times New Roman" w:eastAsia="Times New Roman" w:hAnsi="Times New Roman"/>
            <w:sz w:val="18"/>
            <w:szCs w:val="18"/>
            <w:u w:val="single" w:color="auto"/>
            <w:color w:val="0000EE"/>
          </w:rPr>
          <w:t>January 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8">
        <w:r>
          <w:rPr>
            <w:rFonts w:ascii="Times New Roman" w:cs="Times New Roman" w:eastAsia="Times New Roman" w:hAnsi="Times New Roman"/>
            <w:sz w:val="18"/>
            <w:szCs w:val="18"/>
            <w:u w:val="single" w:color="auto"/>
            <w:color w:val="0000EE"/>
          </w:rPr>
          <w:t>February 18, 2026</w:t>
        </w:r>
      </w:hyperlink>
      <w:r>
        <w:rPr>
          <w:rFonts w:ascii="Times New Roman" w:cs="Times New Roman" w:eastAsia="Times New Roman" w:hAnsi="Times New Roman"/>
          <w:sz w:val="18"/>
          <w:szCs w:val="18"/>
          <w:color w:val="auto"/>
        </w:rPr>
        <w:t>; and</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set forth in our Registration Statement on Form 8-A, filed on </w:t>
      </w:r>
      <w:hyperlink r:id="rId40">
        <w:r>
          <w:rPr>
            <w:rFonts w:ascii="Times New Roman" w:cs="Times New Roman" w:eastAsia="Times New Roman" w:hAnsi="Times New Roman"/>
            <w:sz w:val="18"/>
            <w:szCs w:val="18"/>
            <w:u w:val="single" w:color="auto"/>
            <w:color w:val="0000EE"/>
          </w:rPr>
          <w:t>November 14, 2018</w:t>
        </w:r>
      </w:hyperlink>
      <w:r>
        <w:rPr>
          <w:rFonts w:ascii="Times New Roman" w:cs="Times New Roman" w:eastAsia="Times New Roman" w:hAnsi="Times New Roman"/>
          <w:sz w:val="18"/>
          <w:szCs w:val="18"/>
          <w:color w:val="auto"/>
        </w:rPr>
        <w:t xml:space="preserve">, including any amendments or reports filed for the purpose of updating such description, including the description under the caption “Description of Securities – </w:t>
      </w:r>
      <w:hyperlink r:id="rId41">
        <w:r>
          <w:rPr>
            <w:rFonts w:ascii="Times New Roman" w:cs="Times New Roman" w:eastAsia="Times New Roman" w:hAnsi="Times New Roman"/>
            <w:sz w:val="18"/>
            <w:szCs w:val="18"/>
            <w:color w:val="auto"/>
          </w:rPr>
          <w:t xml:space="preserve">Common Stock” included as Exhibit 4.2 to our Annual Report on Form 10-K for the fiscal year ended December 31, 2023, filed on </w:t>
        </w:r>
        <w:r>
          <w:rPr>
            <w:rFonts w:ascii="Times New Roman" w:cs="Times New Roman" w:eastAsia="Times New Roman" w:hAnsi="Times New Roman"/>
            <w:sz w:val="18"/>
            <w:szCs w:val="18"/>
            <w:u w:val="single" w:color="auto"/>
            <w:color w:val="0000EE"/>
          </w:rPr>
          <w:t>March 21,</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180" w:lineRule="exact"/>
        <w:rPr>
          <w:rFonts w:ascii="Times New Roman" w:cs="Times New Roman" w:eastAsia="Times New Roman" w:hAnsi="Times New Roman"/>
          <w:sz w:val="18"/>
          <w:szCs w:val="18"/>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provide at no cost to each person, including any beneficial owner, to whom a prospectus is delivered, a copy of any or all of the documents that are incorporated by reference in this prospectus but not delivered with this prospectus, including exhibits that are specifically incorporated by reference in such documents. You may request a copy of such documents by writing or telephoning us at the following address or telephone number:</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13100 Magisterial Drive, Suite 201</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Louisville, KY 40223</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791-8800</w:t>
      </w:r>
    </w:p>
    <w:p>
      <w:pPr>
        <w:spacing w:after="0" w:line="20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t>2,528,571 Shares of Common Stock</w:t>
      </w:r>
    </w:p>
    <w:p>
      <w:pPr>
        <w:spacing w:after="0" w:line="225" w:lineRule="exact"/>
        <w:rPr>
          <w:sz w:val="20"/>
          <w:szCs w:val="20"/>
          <w:color w:val="auto"/>
        </w:rPr>
      </w:pPr>
    </w:p>
    <w:p>
      <w:pPr>
        <w:jc w:val="right"/>
        <w:ind w:left="2780" w:right="1639"/>
        <w:spacing w:after="0" w:line="582" w:lineRule="auto"/>
        <w:rPr>
          <w:sz w:val="20"/>
          <w:szCs w:val="20"/>
          <w:color w:val="auto"/>
        </w:rPr>
      </w:pPr>
      <w:r>
        <w:rPr>
          <w:rFonts w:ascii="Times New Roman" w:cs="Times New Roman" w:eastAsia="Times New Roman" w:hAnsi="Times New Roman"/>
          <w:sz w:val="17"/>
          <w:szCs w:val="17"/>
          <w:b w:val="1"/>
          <w:bCs w:val="1"/>
          <w:color w:val="auto"/>
        </w:rPr>
        <w:t>Pre-funded Warrants to Purchase up to 900,000 Shares of Common Stock 900,000 Shares of Common Stock underlying the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-38735</wp:posOffset>
            </wp:positionV>
            <wp:extent cx="2468880" cy="428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602615</wp:posOffset>
            </wp:positionV>
            <wp:extent cx="17830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188595</wp:posOffset>
            </wp:positionV>
            <wp:extent cx="17830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32"/>
          <w:szCs w:val="32"/>
          <w:b w:val="1"/>
          <w:bCs w:val="1"/>
          <w:color w:val="auto"/>
        </w:rPr>
        <w:t>Craig-Hallum</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462915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079"/>
      </w:cols>
      <w:pgMar w:left="380" w:top="13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lvl w:ilvl="1">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amp;"/>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1)"/>
      <w:numFmt w:val="decimal"/>
      <w:start w:val="5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jpe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jpe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35" Type="http://schemas.openxmlformats.org/officeDocument/2006/relationships/hyperlink" Target="http://www.sec.gov/Archives/edgar/data/1356093/000143774926012302/crex20251231c_10k.htm" TargetMode="External"/><Relationship Id="rId36" Type="http://schemas.openxmlformats.org/officeDocument/2006/relationships/hyperlink" Target="http://www.sec.gov/Archives/edgar/data/1356093/000143774926017219/crex20260331c_10q.htm" TargetMode="External"/><Relationship Id="rId37" Type="http://schemas.openxmlformats.org/officeDocument/2006/relationships/hyperlink" Target="http://www.sec.gov/Archives/edgar/data/1356093/000143774926000084/crex20260102_8k.htm" TargetMode="External"/><Relationship Id="rId38" Type="http://schemas.openxmlformats.org/officeDocument/2006/relationships/hyperlink" Target="http://www.sec.gov/Archives/edgar/data/1356093/000143774926004453/crex20260218_8k.htm" TargetMode="External"/><Relationship Id="rId39" Type="http://schemas.openxmlformats.org/officeDocument/2006/relationships/hyperlink" Target="http://www.sec.gov/Archives/edgar/data/1356093/000143774926021905/crex20260625_8k.htm" TargetMode="External"/><Relationship Id="rId40" Type="http://schemas.openxmlformats.org/officeDocument/2006/relationships/hyperlink" Target="http://www.sec.gov/Archives/edgar/data/1356093/000121390018015796/f8a12b111418_creativereal.htm" TargetMode="External"/><Relationship Id="rId41" Type="http://schemas.openxmlformats.org/officeDocument/2006/relationships/hyperlink" Target="http://www.sec.gov/Archives/edgar/data/1356093/000143774924008777/ex_6369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2026-06-30T08:11:14Z</dcterms:created>
  <dcterms:modified xsi:type="dcterms:W3CDTF">2026-06-30T08:11:14Z</dcterms:modified>
</cp:coreProperties>
</file>