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rex20260626c_8k.htm"/>
      <w:bookmarkStart w:id="1" w:name="kscrex20260626c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June 29,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CREATIVE REALITIES,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360"/>
        <w:gridCol w:w="60"/>
        <w:gridCol w:w="2210"/>
        <w:gridCol w:w="60"/>
        <w:gridCol w:w="1520"/>
      </w:tblGrid>
      <w:tr>
        <w:trPr/>
        <w:tc>
          <w:tcPr>
            <w:tcW w:w="23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Minnesota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001-33169</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41-1967918</w:t>
            </w:r>
          </w:p>
        </w:tc>
      </w:tr>
      <w:tr>
        <w:trPr/>
        <w:tc>
          <w:tcPr>
            <w:tcW w:w="23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br/>
              <w:t>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28" w:type="dxa"/>
          <w:right w:w="0" w:type="dxa"/>
        </w:tblCellMar>
      </w:tblPr>
      <w:tblGrid>
        <w:gridCol w:w="4295"/>
        <w:gridCol w:w="60"/>
        <w:gridCol w:w="905"/>
      </w:tblGrid>
      <w:tr>
        <w:trPr/>
        <w:tc>
          <w:tcPr>
            <w:tcW w:w="42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13100 Magisterial Drive, Suite 102, Louisville, KY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40223</w:t>
            </w:r>
          </w:p>
        </w:tc>
      </w:tr>
      <w:tr>
        <w:trPr/>
        <w:tc>
          <w:tcPr>
            <w:tcW w:w="42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(502) 791-8800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65" w:type="dxa"/>
        <w:jc w:val="left"/>
        <w:tblInd w:w="0" w:type="dxa"/>
        <w:tblLayout w:type="fixed"/>
        <w:tblCellMar>
          <w:top w:w="0" w:type="dxa"/>
          <w:left w:w="0" w:type="dxa"/>
          <w:bottom w:w="28" w:type="dxa"/>
          <w:right w:w="0" w:type="dxa"/>
        </w:tblCellMar>
      </w:tblPr>
      <w:tblGrid>
        <w:gridCol w:w="3395"/>
        <w:gridCol w:w="60"/>
        <w:gridCol w:w="1610"/>
        <w:gridCol w:w="60"/>
        <w:gridCol w:w="2840"/>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Name of each exchange on which</w:t>
            </w:r>
            <w:r>
              <w:rPr>
                <w:rFonts w:ascii="Times New Roman" w:hAnsi="Times New Roman"/>
                <w:caps w:val="false"/>
                <w:smallCaps w:val="false"/>
                <w:sz w:val="20"/>
              </w:rPr>
              <w:t> </w:t>
              <w:br/>
            </w:r>
            <w:r>
              <w:rPr>
                <w:rFonts w:ascii="Times New Roman" w:hAnsi="Times New Roman"/>
                <w:b/>
                <w:caps w:val="false"/>
                <w:smallCaps w:val="false"/>
                <w:sz w:val="20"/>
              </w:rPr>
              <w:t>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CREX</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8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1.01. Entry into a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29, 2026, Creative Realities, Inc. (the “Company”) entered into an underwriting agreement (the “Underwriting Agreement”) with Craig-Hallum Capital Group LLC (the “Underwriter”) relating to the offering, issuance and sale (the “Offering”) of 2,528,571 shares of the Company’s common stock, par value $0.01 per share (the “Common Stock”), at a public offering price of $3.50 per share, and pre-funded warrants to purchase 900,000 shares of Common Stock (the “Pre-Funded Warrants”) at a public offering price of $3.49 per warrant. In addition, the Company has granted the Underwriter a 30-day option to purchase up to 428,614 additional shares of Common Stock at the public offering price, less underwriting discounts and commissions. The Offering is expected to close on June 30,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Pre-Funded Warrants have an exercise price of $0.01 per share and a cashless exercise option for a net number of shares of Common Stock determined according to the formula set forth in the Pre-Funded Warrant. The Pre-Funded Warrants are exercisable immediately and without expiration, subject to certain ownership limitations. The exercise price and the number of shares of Common Stock issuable upon exercise of the Pre-Funded Warrants is subject to appropriate adjustments in the event of certain stock dividends and distributions, stock splits, stock combinations, reclassifications or similar events affecting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net proceeds to the Company from this Offering are expected to be approximately $10.9 million, or approximately $12.3 million if the Underwriter exercises its option to purchase additional shares in full, after deducting underwriting discounts and commissions and estimated offering expenses payable by the Company. The Company intends to use the net proceeds from the Offering to repay $1 million of its outstanding obligations under its term loan facility and the remaining net proceeds to pay down outstanding obligations under its revolving loan facility, resulting in increased availability under the revolving facility that may be used for potential acquisitions and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Underwriting Agreement contains customary representations, warranties and agreements by the Company, customary conditions to closing, indemnification obligations of the Company and the Underwriter, including for liabilities under the Securities Act of 1933, as amended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Offering is being made pursuant to the Company’s shelf registration statement on Form S-3 (Registration Statement No. 333-296498), which was declared effective by the Securities and Exchange Commission (the “SEC”) on June 16, 2026, and an accompanying prospectus and prospectus supplement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Underwriting Agreement and the Pre-Funded Warrants is not complete and is qualified in its entirety by reference to the full text of the Underwriting Agreement and the Form of Pre-Funded Warrant, copies of which are filed as Exhibit 1.1 and Exhibit 4.1, respectively, and are incorporated by reference herein. A copy of the opinion of Taft Stettinius &amp; Hollister LLP relating to the legality of the issuance and sale of the Common Stock in the Offering is attached as Exhibit 5.1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29, 2026, the Company issued a press release announcing the pricing of the Offering. A copy of the press release is furnished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Item 7.01, including Exhibit 99.1, shall not be deemed to be “filed” for purposes of Section 18 of the Securities Exchange Act of 1934, as amended (the “Exchange Act”), nor shall it be deemed incorporated by reference in any of the Company’s filings under the Securities Act or the Exchange Act, whether made before or after the date hereof, except as shall be expressly set forth by specific reference to this Current Report on Form 8-K in such filing.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Except for historical information, all the statements, expectations and assumptions contained in this Report are forward-looking statements. The forward-looking statements are based on the Company’s current beliefs and expectations and include, but are not limited to, the Company’s expectations regarding the expected closing of the Offering and the anticipated use of proceeds therefrom. Actual results may differ from those set forth in this Report due to the risks and uncertainties associated with market conditions and the satisfaction of customary closing conditions related to the Offering, as well as risks and uncertainties inherent in the Company’s business described in the Company’s prior filings with the SEC, including under the heading “Risk Factors” in the Company’s Annual Report on Form 10-K for the fiscal year ended December 31, 2025, and in any subsequent filings with the SEC. Important factors, among others, that may affect actual results or outcomes include: our ability to integrate the recently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You are cautioned not to place undue reliance on these forward-looking statements, which speak only as of the date hereof, and the Company undertakes no obligation to update such statements to reflect events that occur or circumstances after the date hereof. All forward-looking statements are qualified in their entirety by this cautionary statement, which is made under the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82181.htm">
              <w:r>
                <w:rPr>
                  <w:rStyle w:val="InternetLink"/>
                  <w:rFonts w:ascii="Times New Roman" w:hAnsi="Times New Roman"/>
                  <w:caps w:val="false"/>
                  <w:smallCaps w:val="false"/>
                  <w:sz w:val="20"/>
                </w:rPr>
                <w:t>Underwriting Agreement, dated June 29, 2026, between Creative Realities, Inc. and Craig-Hallum Capital Group LLC.</w:t>
              </w:r>
            </w:hyperlink>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82182.htm">
              <w:r>
                <w:rPr>
                  <w:rStyle w:val="InternetLink"/>
                  <w:rFonts w:ascii="Times New Roman" w:hAnsi="Times New Roman"/>
                  <w:caps w:val="false"/>
                  <w:smallCaps w:val="false"/>
                  <w:sz w:val="20"/>
                </w:rPr>
                <w:t>Form of Pre-Funded Warrant.</w:t>
              </w:r>
            </w:hyperlink>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82183.htm">
              <w:r>
                <w:rPr>
                  <w:rStyle w:val="InternetLink"/>
                  <w:rFonts w:ascii="Times New Roman" w:hAnsi="Times New Roman"/>
                  <w:caps w:val="false"/>
                  <w:smallCaps w:val="false"/>
                  <w:sz w:val="20"/>
                </w:rPr>
                <w:t>Opinion of Taft Stettinius &amp; Hollister LLP.</w:t>
              </w:r>
            </w:hyperlink>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82183.htm">
              <w:r>
                <w:rPr>
                  <w:rStyle w:val="InternetLink"/>
                  <w:rFonts w:ascii="Times New Roman" w:hAnsi="Times New Roman"/>
                  <w:caps w:val="false"/>
                  <w:smallCaps w:val="false"/>
                  <w:sz w:val="20"/>
                </w:rPr>
                <w:t>Consent of Taft Stettinius &amp; Hollister LLP (included in Exhibit 5.1).</w:t>
              </w:r>
            </w:hyperlink>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82184.htm">
              <w:r>
                <w:rPr>
                  <w:rStyle w:val="InternetLink"/>
                  <w:rFonts w:ascii="Times New Roman" w:hAnsi="Times New Roman"/>
                  <w:caps w:val="false"/>
                  <w:smallCaps w:val="false"/>
                  <w:sz w:val="20"/>
                </w:rPr>
                <w:t>Press Release, dated June 29, 2026.</w:t>
              </w:r>
            </w:hyperlink>
          </w:p>
        </w:tc>
      </w:tr>
      <w:tr>
        <w:trPr/>
        <w:tc>
          <w:tcPr>
            <w:tcW w:w="9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30, 2026</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60"/>
        <w:gridCol w:w="320"/>
        <w:gridCol w:w="1880"/>
      </w:tblGrid>
      <w:tr>
        <w:trPr/>
        <w:tc>
          <w:tcPr>
            <w:tcW w:w="60" w:type="dxa"/>
            <w:tcBorders/>
            <w:vAlign w:val="center"/>
          </w:tcPr>
          <w:p>
            <w:pPr>
              <w:pStyle w:val="TableContents"/>
              <w:bidi w:val="0"/>
              <w:spacing w:before="0" w:after="0"/>
              <w:ind w:left="0" w:right="0" w:hanging="0"/>
              <w:jc w:val="left"/>
              <w:rPr/>
            </w:pPr>
            <w:r>
              <w:rPr/>
              <w:t> </w:t>
            </w:r>
          </w:p>
        </w:tc>
        <w:tc>
          <w:tcPr>
            <w:tcW w:w="22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Creative Realities, Inc.</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Tamra Koshewa</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Tamra Koshewa</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2" w:name="ex_982181.htm"/>
      <w:bookmarkStart w:id="3" w:name="ksex_982181"/>
      <w:bookmarkEnd w:id="2"/>
      <w:bookmarkEnd w:id="3"/>
      <w:r>
        <w:rPr>
          <w:rFonts w:ascii="Times New Roman;Times;serif" w:hAnsi="Times New Roman;Times;serif"/>
          <w:b/>
          <w:sz w:val="20"/>
        </w:rPr>
        <w:t>Exhibit 1.1</w:t>
      </w:r>
      <w:r>
        <w:rPr>
          <w:rFonts w:ascii="Times New Roman;Times;serif" w:hAnsi="Times New Roman;Times;serif"/>
          <w:sz w:val="20"/>
        </w:rPr>
        <w:t xml:space="preserve"> </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2,528,571 Shares of Common Stock, par value $0.01 per share</w:t>
        <w:br/>
        <w:t>Pre-Funded Warrants to Purchase 900,000 Shares of Common Stock</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CRAIG-HALLUM CAPITAL GROUP LLC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323 North Washington Avenue, Suite 300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Minneapolis, MN 55401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Creative Realities, Inc., a Minnesota corporation (the “Company”), proposes to issue and sell to Craig-Hallum Capital Group LLC, in its capacity as underwriter (the “Underwriter”), (i) an aggregate of 2,528,571 shares (the “Underwritten Shares”) of common stock, par value $0.01 per share (“Common Stock”) of the Company and, at the option of the Underwriter, up to an additional 428,614 shares of Common Stock (the “Option Shares”), and (ii) pre-funded warrants of the Company to purchase up to an aggregate of 900,000 shares of Common Stock (the “Pre-Funded Warrants”). The Underwritten Shares and the Option Shares are herein referred to as the “Shares,” and the Shares together with the Pre-Funded Warrants are herein referred to as the “Securities.” The shares of Common Stock to be outstanding after giving effect to the sale of the Securities are referred to herein as the “Stock.” The shares of Common Stock issuable upon the exercise of the Pre-Funded Warrants are referred to herein as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hereby confirms its agreement with the Underwriter concerning the purchase and sale of the Shares,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333-296498), including a prospectus relating to certain securities of the Company, including the Securities.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the prospectus included in the Registration Statement at the time of its effectiveness that omits Rule 430 Information (the “Base Prospectus”) and the prospectus supplement dated June 29, 2026 relating to the Securities, and the term “Prospectus” means the Base Prospectus and the prospectus supplement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“Exchange Act”) that are deemed to be incorporated by reference therein. Capitalized terms used but not defined herein shall have the meanings given to such terms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or prior to the Applicable Time (as defined below), the Company had prepared the following information (collectively with the pricing information set forth on Annex A, the “Pricing Disclosure Package”): a Preliminary Prospectus dated June 29, 2026 and each “free-writing prospectus” (as defined pursuant to Rule 405 under the Securities Act) listed on Annex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Applicable Time” means 9:00 A.M., New York City time, on June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Purchase of the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The Company agrees to issue and sell the Underwritten Shares to the Underwriter as provided in this Agreement, and the Underwriter, on the basis of the representations, warranties and agreements set forth herein and subject to the conditions set forth herein, (i) agrees to purchase at a price per Share of $3.29 from the Company the number of Underwritten Shares set forth opposite the Underwriter’s name in Schedule I hereto; provided, however, that the price per Share for any Underwritten Shares allocated to the Company’s officers and directors shall equal the Public Offering per Share listed in Annex A hereto; and (ii) agrees to purchase at a price per Pre-Funded Warrant of $3.2806 from the Company the number of Pre-Funded Warrants set forth opposite the Underwriter’s name in Schedule I hereto. The exercise price per Pre-Funded Warrant shall equal $0.01 per share. The purchase price of the Underwritten Shares and the Prefunded Warrant, as applicable, is referred to herein as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Company agrees to issue and sell the Option Shares to the Underwriter as provided in this Agreement, and the Underwriter, on the basis of the representations, warranties and agreements set forth herein and subject to the conditions set forth herein, shall have the option to purchase from the Company the Option Shares at the Purchase Price of the Underwritten Shares less an amount per share equal to any dividends or distributions declared by the Company and payable on the Underwritten Shares but not payable on the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Underwriter may exercise the option to purchase Option Shares at any time in whole, or from time to time in part, on or before the thirtieth day following the date of the Prospectus, by written notice from the Underwriter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Any such notice shall be given at least two business days prior to the date and time of delivery specified therein, provided that if such date and time of delivery are the same as the Closing Date, such notice may be given one business day prior to such date and time of delivery.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The Company understands that the Underwriter intends to make a public offering of the Securities, and initially to offer the Securities on the terms set forth in the Pricing Disclosure Package. The Company acknowledges and agrees that the Underwriter may offer and sell Securities to or through any affiliate of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Payment for the Securities shall be made by wire transfer in immediately available funds to the account specified by the Company to the Underwriter in the case of the Underwritten Shares and the Pre-Funded Warrants at 10:00 A.M. New York City time on June 30, 2026, or at such other time or such other date, not later than the fifth business day thereafter, as the Underwriter and the Company may agree upon in writing or, in the case of the Option Shares, on the date and at the time specified by the Underwriter in the written notice of the Underwriter’s election to purchase such Option Shares. The time and date of such payment for the Underwritten Shares and Pre-Funded Warrants is referred to herein as the “Closing Date,” and the time and date for such payment for the Option Shares, if other than the Closing Date, is herein referred to as the “Additional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 for the Securities to be purchased on the Closing Date or the Additional Closing Date, as the case may be, shall be made against delivery to the Underwriter of the Securities to be purchased on the Closing Date or the Additional Closing Date in the case of the Optional Shares, as the case may be, with any transfer taxes payable in connection with the sale of such Securities duly paid by the Company. Delivery of the Securities shall be made in book-entry form registered in such names and in such denominations as the Underwriter shall request in writing not later than one full business day prior to the Closing Date or Additional Closing Date, as applicable, through the facilities of The Depository Trust Company (“DTC”) unless the Underwriter shall otherwise instruct.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The Company acknowledges and agrees that the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the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 shall not have any responsibility or liability to the Company with respect thereto. Any review by the Underwriter of the Company, the transactions contemplated hereby or other matters relating to such transactions will be performed solely for the benefit of the Underwriter and shall not be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The Company represents and warrants to the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i/>
          <w:caps w:val="false"/>
          <w:smallCaps w:val="false"/>
          <w:sz w:val="20"/>
        </w:rPr>
        <w:t>Compliance with Registration Requirements</w:t>
      </w:r>
      <w:r>
        <w:rPr>
          <w:rFonts w:ascii="Times New Roman" w:hAnsi="Times New Roman"/>
          <w:caps w:val="false"/>
          <w:smallCaps w:val="false"/>
          <w:sz w:val="20"/>
        </w:rPr>
        <w:t>.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or pursuant to Section 8A of the Securities Act against the Company or related to the offering of the Securities have been instituted or are pending or, to the knowledge of the Company, are contemplated or threatened by the Commission. At the time the Company’s Annual Report on Form 10-K for the year ended December 31, 2025 (the “Annual Report”)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Financial Industry Regulatory Authority, Inc. (“FINRA”) Conduct Rule 5110(h)(1)(C). The documents incorporated or deemed to be incorporated by reference in the Registration Statement, the Pricing Disclosure Package and the Prospectus, at the time they were filed with the Commission, or became effective under the Exchange Act, as the case may be, complied and will comply in all material respects with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i/>
          <w:caps w:val="false"/>
          <w:smallCaps w:val="false"/>
          <w:sz w:val="20"/>
        </w:rPr>
        <w:t>Disclosure</w:t>
      </w:r>
      <w:r>
        <w:rPr>
          <w:rFonts w:ascii="Times New Roman" w:hAnsi="Times New Roman"/>
          <w:caps w:val="false"/>
          <w:smallCaps w:val="false"/>
          <w:sz w:val="20"/>
        </w:rPr>
        <w:t>. Each Preliminary Prospectus and the Prospectus when filed complied in all material respects with the Securities Act and, if filed by electronic transmission pursuant to the Commission’s Electronic Data Gathering Analysis and Retrieval system (“EDGAR”), was identical (except as may be permitted by Regulation S-T under the Securities Act) to the copy thereof delivered to the Underwriter for use in connection with the offer and sale of the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Pricing Disclosure Package (including any preliminary prospectus wrapper) did not, and at the Closing Date and at each applicable Additional Closing Date,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Closing Date and at each applicable Additional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Pricing Disclosure Package, or any amendments or supplements thereto, made in reliance upon and in conformity with written information relating to any Underwriter furnished to the Company in writing by the Underwriter expressly for use therein, it being understood and agreed that the only such information consists of the information described in Section 7(b) below. There are no contracts or other documents required to be described in the Pricing Disclosure Package or the Prospectus or to be filed as an exhibit to the Registration Statement which have not been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i/>
          <w:caps w:val="false"/>
          <w:smallCaps w:val="false"/>
          <w:sz w:val="20"/>
        </w:rPr>
        <w:t>Free Writing Prospectuses; Road Show</w:t>
      </w:r>
      <w:r>
        <w:rPr>
          <w:rFonts w:ascii="Times New Roman" w:hAnsi="Times New Roman"/>
          <w:caps w:val="false"/>
          <w:smallCaps w:val="false"/>
          <w:sz w:val="20"/>
        </w:rPr>
        <w:t>. As of the determination date referenced in Rule 164(h) under the Securities Act, the Company was not, is not or will not be (as applicable) an “ineligible issuer” in connection with the offering of the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Securities did not, does not and will not include any information that conflicted, conflicts or will conflict with the information contained in the Registration Statement, the Prospectus or any preliminary prospectus and not superseded or modified. Each free writing prospectus, when considered together with the Pricing Disclosure Package, did not, as of the Applicable Time, contain any untrue statement of a material fact or omit to state a material fact necessary to make the statements therein, in the light of the circumstances under which they were made, not misleading. Except for the free writing prospectuses, if any, identified in Annex A hereto, electronic road shows, if any, furnished to the Underwriter before first use, and any document not constituting a prospectus pursuant to Section 2(a)(10)(a) of the Securities Act or Rule 134 under the Securities Act (an “Issuer Free Writing Prospectus”), the Company has not prepared, used or referred to, and will not, without the Underwriter’s prior written consent, which consent shall not be unreasonably withheld, prepare, use or refer to, any free writing prospectus. Each road show, when considered together with the Pricing Disclosure Package,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i/>
          <w:caps w:val="false"/>
          <w:smallCaps w:val="false"/>
          <w:sz w:val="20"/>
        </w:rPr>
        <w:t>Distribution of Offering Material By the Company</w:t>
      </w:r>
      <w:r>
        <w:rPr>
          <w:rFonts w:ascii="Times New Roman" w:hAnsi="Times New Roman"/>
          <w:caps w:val="false"/>
          <w:smallCaps w:val="false"/>
          <w:sz w:val="20"/>
        </w:rPr>
        <w:t>. Prior to the latest of (i) the expiration or termination of the option granted to the Underwriter in Section 2 and (ii) the completion of the Underwriter’s distribution of the Securities, the Company has not distributed and will not distribute any offering material in connection with the offering and sale of the Securities other than the Registration Statement, the Pricing Disclosure Package, the Prospectus or any free writing prospectus reviewed and consented to by the Underwriter, which consent shall not be unreasonably withheld, the free writing prospectuses, if any, identified on Annex A hereto and any oral or written communication with potential investors undertaken in reliance on either Section 5(d) of, or Rule 163B under, the Securities Act (each, a “Testing-the-Waters Communication” and, if a written communication, a “Written Testing-the-Waters Communication”). The Company has not distributed or approved for distribution any Written Testing-the-Waters Communications other than those listed on Annex B hereto. Each Written Testing-the-Waters Communication, when considered together with the Pricing Disclosure Package, did not, as of the Applicable Time, contain any untrue statement of a material fact or omit to state a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i/>
          <w:caps w:val="false"/>
          <w:smallCaps w:val="false"/>
          <w:sz w:val="20"/>
        </w:rPr>
        <w:t>The Underwriting Agreement</w:t>
      </w:r>
      <w:r>
        <w:rPr>
          <w:rFonts w:ascii="Times New Roman" w:hAnsi="Times New Roman"/>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i/>
          <w:caps w:val="false"/>
          <w:smallCaps w:val="false"/>
          <w:sz w:val="20"/>
        </w:rPr>
        <w:t>Authorization of the Securities</w:t>
      </w:r>
      <w:r>
        <w:rPr>
          <w:rFonts w:ascii="Times New Roman" w:hAnsi="Times New Roman"/>
          <w:caps w:val="false"/>
          <w:smallCaps w:val="false"/>
          <w:sz w:val="20"/>
        </w:rPr>
        <w:t>. (i) The Securities have been duly authorized for issuance and sale pursuant to this Agreement and, when issued and delivered by the Company against payment therefor pursuant to this Agreement, will be validly issued, fully paid and nonassessable; and (ii) and the issuance and sale of the Securities is not subject to any preemptive rights, rights of first refusal or other similar rights to subscribe for or purchase the Securities that have not been waived. The Warrant Shares, when issued and delivered upon exercise of the Pre-Funded Warrants in accordance therewith, will be validly issued, fully paid and nonassessable, and the issuance of the Warrant Shares is not subject to any preemptive rights, rights of first refusal or other similar rights to subscribe for or purchase the Warrant Shares that have not been properly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i/>
          <w:caps w:val="false"/>
          <w:smallCaps w:val="false"/>
          <w:sz w:val="20"/>
        </w:rPr>
        <w:t>No Applicable Registration or Other Similar Rights</w:t>
      </w:r>
      <w:r>
        <w:rPr>
          <w:rFonts w:ascii="Times New Roman" w:hAnsi="Times New Roman"/>
          <w:caps w:val="false"/>
          <w:smallCaps w:val="false"/>
          <w:sz w:val="20"/>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i/>
          <w:caps w:val="false"/>
          <w:smallCaps w:val="false"/>
          <w:sz w:val="20"/>
        </w:rPr>
        <w:t>No Material Adverse Change</w:t>
      </w:r>
      <w:r>
        <w:rPr>
          <w:rFonts w:ascii="Times New Roman" w:hAnsi="Times New Roman"/>
          <w:caps w:val="false"/>
          <w:smallCaps w:val="false"/>
          <w:sz w:val="20"/>
        </w:rPr>
        <w:t>. Except as otherwise disclosed in the Registration Statement, the Pricing Disclosure Package and the Prospectus, subsequent to the respective dates as of which information is given in the Registration Statement, the Pricing Disclosure Package and the Prospectus: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“Material Adverse Change”);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the Company’s subsidiaries on any class of capital stock, or any repurchase or redemption by the Company or its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i/>
          <w:caps w:val="false"/>
          <w:smallCaps w:val="false"/>
          <w:sz w:val="20"/>
        </w:rPr>
        <w:t>Independent Accountants</w:t>
      </w:r>
      <w:r>
        <w:rPr>
          <w:rFonts w:ascii="Times New Roman" w:hAnsi="Times New Roman"/>
          <w:caps w:val="false"/>
          <w:smallCaps w:val="false"/>
          <w:sz w:val="20"/>
        </w:rPr>
        <w:t>. Grant Thornton LLP (“GT”), which has expressed its opinion with respect to the financial statements (which term as used in this Agreement includes the related notes thereto) filed with the Commission as a part of the Registration Statement, the Pricing Disclosure Package and the Prospectus, and PricewaterhouseCoopers (“PwC”), which is the independent accountant for DDC Group International Inc. (the entity acquired by a Company subsidiary on November 7, 2025), are each (i) an independent registered public accounting firm as required by the Securities Act, the Exchange Act, and the rules of the Public Company Accounting Oversight Board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i/>
          <w:caps w:val="false"/>
          <w:smallCaps w:val="false"/>
          <w:sz w:val="20"/>
        </w:rPr>
        <w:t>Financial Statements</w:t>
      </w:r>
      <w:r>
        <w:rPr>
          <w:rFonts w:ascii="Times New Roman" w:hAnsi="Times New Roman"/>
          <w:caps w:val="false"/>
          <w:smallCaps w:val="false"/>
          <w:sz w:val="20"/>
        </w:rPr>
        <w:t>. The financial statements filed with the Commission as a part of the Registration Statement, the Pricing Disclosure Package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in the United States (“GAAP”), applied on a consistent basis throughout the periods involved, except as may be expressly stated in the related notes thereto.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i/>
          <w:caps w:val="false"/>
          <w:smallCaps w:val="false"/>
          <w:sz w:val="20"/>
        </w:rPr>
        <w:t>Company</w:t>
      </w:r>
      <w:r>
        <w:rPr>
          <w:rFonts w:ascii="Times New Roman" w:hAnsi="Times New Roman"/>
          <w:caps w:val="false"/>
          <w:smallCaps w:val="false"/>
          <w:sz w:val="20"/>
        </w:rPr>
        <w:t>’</w:t>
      </w:r>
      <w:r>
        <w:rPr>
          <w:rFonts w:ascii="Times New Roman" w:hAnsi="Times New Roman"/>
          <w:i/>
          <w:caps w:val="false"/>
          <w:smallCaps w:val="false"/>
          <w:sz w:val="20"/>
        </w:rPr>
        <w:t>s Accounting System</w:t>
      </w:r>
      <w:r>
        <w:rPr>
          <w:rFonts w:ascii="Times New Roman" w:hAnsi="Times New Roman"/>
          <w:caps w:val="false"/>
          <w:smallCaps w:val="false"/>
          <w:sz w:val="20"/>
        </w:rPr>
        <w:t>. Except as otherwise disclosed in the Registration Statement, the Pricing Disclosure Package and the Prospectus, the Company and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Pricing Disclosure Package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i/>
          <w:caps w:val="false"/>
          <w:smallCaps w:val="false"/>
          <w:sz w:val="20"/>
        </w:rPr>
        <w:t>Disclosure Controls and Procedures; Deficiencies in or Changes to Internal Control Over Financial Reporting</w:t>
      </w:r>
      <w:r>
        <w:rPr>
          <w:rFonts w:ascii="Times New Roman" w:hAnsi="Times New Roman"/>
          <w:caps w:val="false"/>
          <w:smallCaps w:val="false"/>
          <w:sz w:val="20"/>
        </w:rPr>
        <w:t>. Except as described in the Registration Statement, the Pricing Disclosure Package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i/>
          <w:caps w:val="false"/>
          <w:smallCaps w:val="false"/>
          <w:sz w:val="20"/>
        </w:rPr>
        <w:t>Incorporation and Good Standing of the Company</w:t>
      </w:r>
      <w:r>
        <w:rPr>
          <w:rFonts w:ascii="Times New Roman" w:hAnsi="Times New Roman"/>
          <w:caps w:val="false"/>
          <w:smallCaps w:val="false"/>
          <w:sz w:val="20"/>
        </w:rPr>
        <w:t>. The Company has been duly incorporated and is validly existing as a corporation in good standing under the laws of the State of Minnesota and has the corporate power and authority to own, lease and operate its properties and to conduct its business as described in the Registration Statement, the Pricing Disclosure Package and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to be so qualified or in good standing, as the case may be, or to have such power or authority would not, individually or in the aggregate, have a Material Adverse Effect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          </w:t>
      </w:r>
      <w:r>
        <w:rPr>
          <w:rFonts w:ascii="Times New Roman" w:hAnsi="Times New Roman"/>
          <w:i/>
          <w:caps w:val="false"/>
          <w:smallCaps w:val="false"/>
          <w:sz w:val="20"/>
        </w:rPr>
        <w:t>Subsidiaries</w:t>
      </w:r>
      <w:r>
        <w:rPr>
          <w:rFonts w:ascii="Times New Roman" w:hAnsi="Times New Roman"/>
          <w:caps w:val="false"/>
          <w:smallCaps w:val="false"/>
          <w:sz w:val="20"/>
        </w:rPr>
        <w:t>. The Company’s “subsidiaries” (for purposes of this Agreement, as defined in Rule 405 under the Securities Act) have been duly incorporated or organized, as the case may be, and are validly existing and in good standing (where such concept is recognized) under the laws of the jurisdiction of its incorporation or organization and have the power and authority (corporate or other) to own, lease and operate their properties and to conduct their business as described in the Registration Statement, the Pricing Disclosure Package and the Prospectus. The Company’s subsidiaries are duly qualified to transact business and are in good standing (where such concept is recognized) in each jurisdiction in which such qualification is required, whether by reason of the ownership or leasing of property or the conduct of business, except where the failure to be so qualified or in good standing, as the case may be, or have such power or authority would not, individually or in the aggregate, have a Material Adverse Effect. All of the issued and outstanding capital stock or other equity or ownership interests of the Company’s subsidiaries have been duly authorized and validly issued, are fully paid and nonassessable and are owned by the Company, free and clear of any security interest, mortgage, pledge, lien, encumbrance or adverse claim, except as set forth in the Registration Statement, the Pricing Disclosure Package and the Prospectus. The Company does not own or control, directly or indirectly, any corporation, association or other entity other than the subsidiaries listed in Exhibit 21 to the Annual Report. The subsidiaries listed in Schedule II to this Agreement are the only significant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          </w:t>
      </w:r>
      <w:r>
        <w:rPr>
          <w:rFonts w:ascii="Times New Roman" w:hAnsi="Times New Roman"/>
          <w:i/>
          <w:caps w:val="false"/>
          <w:smallCaps w:val="false"/>
          <w:sz w:val="20"/>
        </w:rPr>
        <w:t>Capitalization and Other Capital Stock Matters</w:t>
      </w:r>
      <w:r>
        <w:rPr>
          <w:rFonts w:ascii="Times New Roman" w:hAnsi="Times New Roman"/>
          <w:caps w:val="false"/>
          <w:smallCaps w:val="false"/>
          <w:sz w:val="20"/>
        </w:rPr>
        <w:t>. The authorized, issued and outstanding capital stock of the Company is as set forth in the Registration Statement, the Pricing Disclosure Package and the Prospectus (other than for subsequent issuances, if any, pursuant to employee benefit plans, or upon the exercise of outstanding options or warrants, in each case described in the Registration Statement, the Pricing Disclosure Package and the Prospectus). The Securities, when issued pursuant to the terms of this Agreement will conform, in all material respects, to the description thereof contained in the Pricing Disclosure Package. All of the issued and outstanding shares of Common Stock have been duly authorized and validly issued, are fully paid and nonassessable and have been issued in compliance with all applicable federal and state securities laws. None of the outstanding shares of Common Stock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its subsidiaries other than those described in the Registration Statement, the Pricing Disclosure Package and the Prospectus. The descriptions of the Company’s stock option, stock bonus and other stock plans or arrangements (each, a “Company Stock Plan”), and the options or other rights granted thereunder, set forth in the Registration Statement, the Pricing Disclosure Package and the Prospectus accurately and fairly presents, in all material respects, the information required to be shown with respect to such plans, arrangements, options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          </w:t>
      </w:r>
      <w:r>
        <w:rPr>
          <w:rFonts w:ascii="Times New Roman" w:hAnsi="Times New Roman"/>
          <w:i/>
          <w:caps w:val="false"/>
          <w:smallCaps w:val="false"/>
          <w:sz w:val="20"/>
        </w:rPr>
        <w:t>Stock Exchange Listing</w:t>
      </w:r>
      <w:r>
        <w:rPr>
          <w:rFonts w:ascii="Times New Roman" w:hAnsi="Times New Roman"/>
          <w:caps w:val="false"/>
          <w:smallCaps w:val="false"/>
          <w:sz w:val="20"/>
        </w:rPr>
        <w:t>. The Common Stock is registered pursuant to Section 12(b) or 12(g) of the Exchange Act and is listed on the Nasdaq Stock Market (the “Nasdaq”), and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 To the Company’s knowledge, it is in compliance with all applicable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(q)       </w:t>
      </w:r>
      <w:r>
        <w:rPr>
          <w:rFonts w:ascii="Times New Roman" w:hAnsi="Times New Roman"/>
          <w:i/>
          <w:caps w:val="false"/>
          <w:smallCaps w:val="false"/>
          <w:sz w:val="20"/>
        </w:rPr>
        <w:t>Non-Contravention of Existing Instruments; No Further Authorizations or Approvals Required</w:t>
      </w:r>
      <w:r>
        <w:rPr>
          <w:rFonts w:ascii="Times New Roman" w:hAnsi="Times New Roman"/>
          <w:caps w:val="false"/>
          <w:smallCaps w:val="false"/>
          <w:sz w:val="20"/>
        </w:rPr>
        <w:t>. Neither the Company nor its subsidiaries is in violation of its charter or by-laws, partnership agreement or operating agreement or similar organizational documents, as applicable, or is in default (or, with the giving of notice or lapse of time, would be in default) (“Default”)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its subsidiaries is a party or by which it or any of them may be bound, or to which any of their respective properties or assets are subject (each, an “Existing Instrument”), except for such Defaults as could not be expected, individually or in the aggregate, to have a material adverse effect on the condition (financial or other), earnings, business, properties, operations, assets, liabilities or prospects of the Company and its subsidiaries, considered as one entity (a “Material Adverse Effect”). The Company’s execution, delivery and performance of this Agreement, the Pre-Funded Warrants, consummation of the transactions contemplated hereby and by the Registration Statement, the Pricing Disclosure Package and the Prospectus and the issuance and sale of the Securities and Warrant Shares (including the use of proceeds from the sale of the Securities as described in the Registration Statement, the Pricing Disclosure Package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except as described in each of the Registration Statement, the Pricing Disclosure Package and the Prospectus under the heading “Use of Proceeds,” a Debt Repayment Triggering Event (as defined below) under, or result in the creation or imposition of any lien, charge or encumbrance upon any property or assets of the Company or of its subsidiaries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or its subsidiaries, except for such violations as would not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the consummation of the transactions contemplated hereby and by the Registration Statement, the Pricing Disclosure Package and the Prospectus, except such as have been obtained or made or will be made by the Company under the Securities Act, as have been obtained or will be made by the Company with Nasdaq, and such as may be required under applicable state securities or blue sky laws or FINRA. As used herein, a “Debt Repayment Triggering Event”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(r)         </w:t>
      </w:r>
      <w:r>
        <w:rPr>
          <w:rFonts w:ascii="Times New Roman" w:hAnsi="Times New Roman"/>
          <w:i/>
          <w:caps w:val="false"/>
          <w:smallCaps w:val="false"/>
          <w:sz w:val="20"/>
        </w:rPr>
        <w:t>Compliance with Laws.</w:t>
      </w:r>
      <w:r>
        <w:rPr>
          <w:rFonts w:ascii="Times New Roman" w:hAnsi="Times New Roman"/>
          <w:caps w:val="false"/>
          <w:smallCaps w:val="false"/>
          <w:sz w:val="20"/>
        </w:rPr>
        <w:t xml:space="preserve"> The Company and its subsidiaries have been and are in compliance with all applicable laws, rules and regulations, except where failure to be so in compliance could not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No Material Actions or Proceedings</w:t>
      </w:r>
      <w:r>
        <w:rPr>
          <w:rFonts w:ascii="Times New Roman" w:hAnsi="Times New Roman"/>
          <w:caps w:val="false"/>
          <w:smallCaps w:val="false"/>
          <w:sz w:val="20"/>
        </w:rPr>
        <w:t>. There is no action, suit, proceeding, inquiry or investigation brought by or before any governmental entity now pending or, to the knowledge of the Company, threatened, against or affecting the Company or its subsidiaries, which if determined adversely to the Company or its subsidiaries would reasonably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individually or in the aggregate, to have a Material Adverse Effect. No material labor dispute with the employees of the Company or its subsidiaries exists or, to the knowledge of the Company, is threatened or imminent. To the knowledge of the Company, no material labor dispute with the employees of any principal supplier, manufacturer, customer or contractor of the Company, exists, or is threatened or imminent.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          </w:t>
      </w:r>
      <w:r>
        <w:rPr>
          <w:rFonts w:ascii="Times New Roman" w:hAnsi="Times New Roman"/>
          <w:i/>
          <w:caps w:val="false"/>
          <w:smallCaps w:val="false"/>
          <w:sz w:val="20"/>
        </w:rPr>
        <w:t>Intellectual Property</w:t>
      </w:r>
      <w:r>
        <w:rPr>
          <w:rFonts w:ascii="Times New Roman" w:hAnsi="Times New Roman"/>
          <w:caps w:val="false"/>
          <w:smallCaps w:val="false"/>
          <w:sz w:val="20"/>
        </w:rPr>
        <w:t>. (i) The Company and its subsidiaries own or have the right to use all patents, patent rights, statutory invention rights, community designs, invention disclosures, rights in utility models and industrial designs, inventions, registered and unregistered copyrights (including copyrights in software), intellectual property rights in technology and software, data, knowhow (including trade secrets and other unpatented and/or unpatentable proprietary or confidential information, systems or procedures), trademarks, service marks, business names, trade names, logos, slogans, trade dress, design rights, Internet domain names, social media accounts, any other designations of source or origin, and any applications (including provisional applications), registrations, or renewals for any of the foregoing, rights to publicity and privacy and/or other intellectual property (collectively, “Intellectual Property”) used in or necessary for the conduct of their respective businesses; (ii) the Company’s and its subsidiaries’ conduct of their respective businesses does not infringe, misappropriate or otherwise violate, and has not infringed, misappropriated or otherwise violated, any Intellectual Property of any person; (iii) the Company and its subsidiaries have not received any written notice of, or are otherwise aware of, any claim relating to Intellectual Property, including any claim alleging any infringement, misappropriation or other violation of, or conflict regarding, any Intellectual Property of a third party, and the Company and its subsidiaries are unaware of any fact which would form a reasonable basis for any such claim, in each case that reasonably be expected to have a Material Adverse Effect; and (iv) to the knowledge of the Company, the Intellectual Property of the Company and its subsidiaries is not being and has not been infringed, misappropriated or otherwise violated by any person and there is no pending or threatened action, suit, proceeding or claim by the Company or any of its subsidiaries against a third party regarding the foregoing. (I) The Company and its subsidiaries have complied in all material respects with the terms of each agreement pursuant to which Intellectual Property has been licensed to the Company or its subsidiaries, (II) neither the Company nor any of its subsidiaries has received any written notice alleging any such noncompliance, and (III) all such agreements are in full force and effect. All Intellectual Property owned by or exclusively licensed to the Company (such Intellectual Property, the “Company Intellectual Property”) is valid, subsisting and enforceable and there is no pending or, to the Company’s knowledge, threatened action, suit, proceeding or claim by any third party challenging the validity, ownership, registrability, scope or enforceability of any Company Intellectual Property and the Company and its subsidiaries are unaware of any facts or circumstances which would form a reasonable basis for any such claim. All Company Intellectual Property has been duly maintained and is in full force and effect, and all actions or fees necessary to prosecute or maintain the Company Intellectual Property have been timely taken, met or paid and there are no material defects in any of the Company Intellectual Property. Each person who is or was an employee or contractor of the Company or any of its subsidiaries and who is, was or, in the case of current employees and contractors, is reasonably expected to be involved in the creation or development of any Intellectual Property for or on behalf of the Company has executed a valid, written agreement containing an effective, present and valid assignment to the Company or any of its subsidiaries of such person’s rights in and to such Intellectual Property. The Company is not aware of any violation by any current or former employee of the Company or any of its subsidiaries of any term of any agreement or covenant to or with a former employer of such employee where the basis of such violation relates to such employee’s employment with the Company or any of its subsidiaries or actions undertaken by the employee while employed with the Company or any of its subsidiaries. The Company has taken all reasonable steps necessary to maintain the confidentiality of the trade secrets and other confidential Intellectual Property used in connection with the business of the Company and its subsidiaries, and the confidentiality of such trade secrets and confidential Intellectual Property has not been compromised in such a matter would deprive the Company’s trade secrets from the protections afforded to trade secrets under the applicable law, or which would preclude the Company from enforcing confidentiality obligations against persons who have agreed, or otherwise have a duty to, maintain the confidentiality of such material confidential Intellectual Property. No Intellectual Property has been obtained or is being used by the Company or its subsidiaries in violation of any material contractual obligations binding on the Company or its subsidiaries in violation of any contractual rights of any person. No university, military, educational institution, research center, governmental entity or other organization has funded, sponsored or contributed to research and development conducted in connection with the business of the Company or any of its subsidiaries that (1) has any claim of right to, ownership of or other lien on any Intellectual Property Rights or (2) would affect the proprietary nature of any Company Intellectual Property or restrict the ability of the Company or any of its subsidiaries to enforce, license or exclude others from using any Company Intellectual Property. </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         </w:t>
      </w:r>
      <w:r>
        <w:rPr>
          <w:rFonts w:ascii="Times New Roman" w:hAnsi="Times New Roman"/>
          <w:i/>
          <w:caps w:val="false"/>
          <w:smallCaps w:val="false"/>
          <w:sz w:val="20"/>
        </w:rPr>
        <w:t>Title to Properties</w:t>
      </w:r>
      <w:r>
        <w:rPr>
          <w:rFonts w:ascii="Times New Roman" w:hAnsi="Times New Roman"/>
          <w:caps w:val="false"/>
          <w:smallCaps w:val="false"/>
          <w:sz w:val="20"/>
        </w:rPr>
        <w:t>.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any lien, charge, pledge, security interest, encumbrance, right of first refusal, preemptive right or other restriction (“Liens”), except as described in the Registration Statement, the Pricing Disclosure Package and the Prospectus and except for (i) Liens as do not materially affect the value of such property and do not materially interfere with the use made and proposed to be made of such property by the Company and its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i/>
          <w:caps w:val="false"/>
          <w:smallCaps w:val="false"/>
          <w:sz w:val="20"/>
        </w:rPr>
        <w:t>Taxes</w:t>
      </w:r>
      <w:r>
        <w:rPr>
          <w:rFonts w:ascii="Times New Roman" w:hAnsi="Times New Roman"/>
          <w:caps w:val="false"/>
          <w:smallCaps w:val="false"/>
          <w:sz w:val="20"/>
        </w:rPr>
        <w:t>. The Company and its subsidiaries have paid all federal, state, local and foreign taxes and filed all tax returns required to be paid or filed through the date hereof; and except as otherwise disclosed in each of the Registration Statement, the Pricing Disclosure Package and the Prospectus, there is no tax deficiency that has been, or would reasonably be expected to be, asserted against the Company or any of its subsidiaries or any of their respective properties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       </w:t>
      </w:r>
      <w:r>
        <w:rPr>
          <w:rFonts w:ascii="Times New Roman" w:hAnsi="Times New Roman"/>
          <w:i/>
          <w:caps w:val="false"/>
          <w:smallCaps w:val="false"/>
          <w:sz w:val="20"/>
        </w:rPr>
        <w:t>Insurance</w:t>
      </w:r>
      <w:r>
        <w:rPr>
          <w:rFonts w:ascii="Times New Roman" w:hAnsi="Times New Roman"/>
          <w:caps w:val="false"/>
          <w:smallCaps w:val="false"/>
          <w:sz w:val="20"/>
        </w:rPr>
        <w:t>. The Company and its subsidiaries have insurance covering their respective properties, operations, personnel and businesses, including business interruption insurance, which insurance is in amounts and insures against such losses and risks as are reasonably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(x)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          </w:t>
      </w:r>
      <w:r>
        <w:rPr>
          <w:rFonts w:ascii="Times New Roman" w:hAnsi="Times New Roman"/>
          <w:i/>
          <w:caps w:val="false"/>
          <w:smallCaps w:val="false"/>
          <w:sz w:val="20"/>
        </w:rPr>
        <w:t>Compliance with Environmental Laws</w:t>
      </w:r>
      <w:r>
        <w:rPr>
          <w:rFonts w:ascii="Times New Roman" w:hAnsi="Times New Roman"/>
          <w:caps w:val="false"/>
          <w:smallCaps w:val="false"/>
          <w:sz w:val="20"/>
        </w:rPr>
        <w:t>. (i) The Company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none of the Company or its subsidiaries anticipates material capital expenditures relating to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(z)      </w:t>
      </w:r>
      <w:r>
        <w:rPr>
          <w:rFonts w:ascii="Times New Roman" w:hAnsi="Times New Roman"/>
          <w:i/>
          <w:caps w:val="false"/>
          <w:smallCaps w:val="false"/>
          <w:sz w:val="20"/>
        </w:rPr>
        <w:t>No Rated Debt or Preferred Securities.</w:t>
      </w:r>
      <w:r>
        <w:rPr>
          <w:rFonts w:ascii="Times New Roman" w:hAnsi="Times New Roman"/>
          <w:caps w:val="false"/>
          <w:smallCaps w:val="false"/>
          <w:sz w:val="20"/>
        </w:rPr>
        <w:t xml:space="preserve"> There are no debt or preferred securities issued, or guaranteed, by the Company or its subsidiaries that are rated by a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(aa)          </w:t>
      </w:r>
      <w:r>
        <w:rPr>
          <w:rFonts w:ascii="Times New Roman" w:hAnsi="Times New Roman"/>
          <w:i/>
          <w:caps w:val="false"/>
          <w:smallCaps w:val="false"/>
          <w:sz w:val="20"/>
        </w:rPr>
        <w:t>ERISA Compliance</w:t>
      </w:r>
      <w:r>
        <w:rPr>
          <w:rFonts w:ascii="Times New Roman" w:hAnsi="Times New Roman"/>
          <w:caps w:val="false"/>
          <w:smallCaps w:val="false"/>
          <w:sz w:val="20"/>
        </w:rPr>
        <w:t>. The Company and its subsidiaries and any “employee benefit plan” (as defined under the Employee Retirement Income Security Act of 1974, as amended, and the regulations and published interpretations thereunder (collectively, “ERISA”)) established or maintained by the Company, its subsidiaries or their “ERISA Affiliates” (as defined below) are in compliance in all material respects with ERISA. “ERISA Affiliate” means, with respect to the Company or its subsidiaries, any member of any group of organizations described in Sections 414(b), (c), (m) or (o) of the Internal Revenue Code of 1986, as amended, and the regulations and published interpretations thereunder (the “Code”) of which the Company or its subsidiaries is a member. No “reportable event” (as defined under ERISA), for which notice has not been waived,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to the knowledge of the Company, nothing has occurred, whether by action or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(bb)          </w:t>
      </w:r>
      <w:r>
        <w:rPr>
          <w:rFonts w:ascii="Times New Roman" w:hAnsi="Times New Roman"/>
          <w:i/>
          <w:caps w:val="false"/>
          <w:smallCaps w:val="false"/>
          <w:sz w:val="20"/>
        </w:rPr>
        <w:t xml:space="preserve">Company Not an </w:t>
      </w:r>
      <w:r>
        <w:rPr>
          <w:rFonts w:ascii="Times New Roman" w:hAnsi="Times New Roman"/>
          <w:caps w:val="false"/>
          <w:smallCaps w:val="false"/>
          <w:sz w:val="20"/>
        </w:rPr>
        <w:t>“</w:t>
      </w:r>
      <w:r>
        <w:rPr>
          <w:rFonts w:ascii="Times New Roman" w:hAnsi="Times New Roman"/>
          <w:i/>
          <w:caps w:val="false"/>
          <w:smallCaps w:val="false"/>
          <w:sz w:val="20"/>
        </w:rPr>
        <w:t>Investment Company.</w:t>
      </w:r>
      <w:r>
        <w:rPr>
          <w:rFonts w:ascii="Times New Roman" w:hAnsi="Times New Roman"/>
          <w:caps w:val="false"/>
          <w:smallCaps w:val="false"/>
          <w:sz w:val="20"/>
        </w:rPr>
        <w:t>” The Company is not, and will not be, either after receipt of payment for the Securities or after the application of the proceeds therefrom as described under “Use of Proceeds” in the Registration Statement, the Pricing Disclosure Package or the Prospectus, required to register as an “investment company” under the Investment Company Act of 1940, as amended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(cc)         </w:t>
      </w:r>
      <w:r>
        <w:rPr>
          <w:rFonts w:ascii="Times New Roman" w:hAnsi="Times New Roman"/>
          <w:i/>
          <w:caps w:val="false"/>
          <w:smallCaps w:val="false"/>
          <w:sz w:val="20"/>
        </w:rPr>
        <w:t>No Price Stabilization or Manipulation; Compliance with Regulation M</w:t>
      </w:r>
      <w:r>
        <w:rPr>
          <w:rFonts w:ascii="Times New Roman" w:hAnsi="Times New Roman"/>
          <w:caps w:val="false"/>
          <w:smallCaps w:val="false"/>
          <w:sz w:val="20"/>
        </w:rPr>
        <w:t>. Neither the Company nor its subsidiaries have taken, directly or indirectly, without giving effect to activities by the Underwriter, any action designed to or that might reasonably be expected to cause or result in stabilization or manipulation of the price of the Securities or of any “reference security” (as defined in Rule 100 of Regulation M under the Exchange Act (“Regulation M”)) with respect to the Securities, whether to facilitate the sale or resale of the Securities or otherwise, and has taken no action which would directly or indirectly violate Regulation 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(dd)       </w:t>
      </w:r>
      <w:r>
        <w:rPr>
          <w:rFonts w:ascii="Times New Roman" w:hAnsi="Times New Roman"/>
          <w:i/>
          <w:caps w:val="false"/>
          <w:smallCaps w:val="false"/>
          <w:sz w:val="20"/>
        </w:rPr>
        <w:t>Related-Party Transactions</w:t>
      </w:r>
      <w:r>
        <w:rPr>
          <w:rFonts w:ascii="Times New Roman" w:hAnsi="Times New Roman"/>
          <w:caps w:val="false"/>
          <w:smallCaps w:val="false"/>
          <w:sz w:val="20"/>
        </w:rPr>
        <w:t>. There are no business relationships or related-party transactions involving the Company or its subsidiaries or any other person required to be described in the Registration Statement, the Pricing Disclosure Package or the Prospectus that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(ee)          </w:t>
      </w:r>
      <w:r>
        <w:rPr>
          <w:rFonts w:ascii="Times New Roman" w:hAnsi="Times New Roman"/>
          <w:i/>
          <w:caps w:val="false"/>
          <w:smallCaps w:val="false"/>
          <w:sz w:val="20"/>
        </w:rPr>
        <w:t>FINRA Matters</w:t>
      </w:r>
      <w:r>
        <w:rPr>
          <w:rFonts w:ascii="Times New Roman" w:hAnsi="Times New Roman"/>
          <w:caps w:val="false"/>
          <w:smallCaps w:val="false"/>
          <w:sz w:val="20"/>
        </w:rPr>
        <w:t>. All of the information provided to the Underwriter or to counsel for the Underwriter by the Company, its counsel, its officers and directors and, to the Company’s knowledge, the holders of any securities (debt or equity) or options to acquire any securities of the Company in connection with the offering of the Securities is true, complete, correct and compliant with FINRA’s rules and any letters, filings or other supplemental information provided to FINRA pursuant to FINRA Rules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(ff)          </w:t>
      </w:r>
      <w:r>
        <w:rPr>
          <w:rFonts w:ascii="Times New Roman" w:hAnsi="Times New Roman"/>
          <w:i/>
          <w:caps w:val="false"/>
          <w:smallCaps w:val="false"/>
          <w:sz w:val="20"/>
        </w:rPr>
        <w:t>Parties to Lock-Up Agreements</w:t>
      </w:r>
      <w:r>
        <w:rPr>
          <w:rFonts w:ascii="Times New Roman" w:hAnsi="Times New Roman"/>
          <w:caps w:val="false"/>
          <w:smallCaps w:val="false"/>
          <w:sz w:val="20"/>
        </w:rPr>
        <w:t>. The Company has furnished to the Underwriter a letter agreement in the form attached hereto as Annex D-1 (the “Lock-up Agreement”) from each executive officer and director of the Company and each significant shareholder identified on Annex D-2. If any additional persons shall become directors or officers of the Company prior to the end of the 90-day restricted period referred to in Section 4(h) hereof, the Company shall cause each such person, prior to or contemporaneously with their appointment or election as a director or officer of the Company, to execute and deliver to the Underwriter a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(gg)          </w:t>
      </w:r>
      <w:r>
        <w:rPr>
          <w:rFonts w:ascii="Times New Roman" w:hAnsi="Times New Roman"/>
          <w:i/>
          <w:caps w:val="false"/>
          <w:smallCaps w:val="false"/>
          <w:sz w:val="20"/>
        </w:rPr>
        <w:t>Statistical and Market-Related Data</w:t>
      </w:r>
      <w:r>
        <w:rPr>
          <w:rFonts w:ascii="Times New Roman" w:hAnsi="Times New Roman"/>
          <w:caps w:val="false"/>
          <w:smallCaps w:val="false"/>
          <w:sz w:val="20"/>
        </w:rPr>
        <w:t>. All statistical, demographic and market-related data included in the Registration Statement, the Pricing Disclosure Package or the Prospectus are based on or derived from sources that the Company believes, after reasonable inquiry, to be reliable and accurate. To the extent required, the Company has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(hh)          </w:t>
      </w:r>
      <w:r>
        <w:rPr>
          <w:rFonts w:ascii="Times New Roman" w:hAnsi="Times New Roman"/>
          <w:i/>
          <w:caps w:val="false"/>
          <w:smallCaps w:val="false"/>
          <w:sz w:val="20"/>
        </w:rPr>
        <w:t>No Unlawful Contributions or Other Payments</w:t>
      </w:r>
      <w:r>
        <w:rPr>
          <w:rFonts w:ascii="Times New Roman" w:hAnsi="Times New Roman"/>
          <w:caps w:val="false"/>
          <w:smallCaps w:val="false"/>
          <w:sz w:val="20"/>
        </w:rPr>
        <w:t>. Neither the Company nor its subsidiaries nor, to the knowledge of the Company, any employee or agent of the Company or its subsidiaries, has made any contribution or other payment to any official of, or candidate for, any federal, state or foreign office in violation of any applicable law or of the character required to be disclosed in the Registration Statement, the Pricing Disclosure Package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i/>
          <w:caps w:val="false"/>
          <w:smallCaps w:val="false"/>
          <w:sz w:val="20"/>
        </w:rPr>
        <w:t>Foreign Corrupt Practices Act</w:t>
      </w:r>
      <w:r>
        <w:rPr>
          <w:rFonts w:ascii="Times New Roman" w:hAnsi="Times New Roman"/>
          <w:caps w:val="false"/>
          <w:smallCaps w:val="false"/>
          <w:sz w:val="20"/>
        </w:rPr>
        <w:t>. Neither the Company nor its subsidiaries nor, to the knowledge of the Company, any director, officer, agent, employee, controlled affiliate or other person acting on behalf of the Company or its subsidiaries have, in the course of its actions for, or on behalf of, the Company or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“FCPA”)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its subsidiaries and, to the knowledge of the Company, the Company’s other controlled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(jj)          </w:t>
      </w:r>
      <w:r>
        <w:rPr>
          <w:rFonts w:ascii="Times New Roman" w:hAnsi="Times New Roman"/>
          <w:i/>
          <w:caps w:val="false"/>
          <w:smallCaps w:val="false"/>
          <w:sz w:val="20"/>
        </w:rPr>
        <w:t>Money Laundering Laws</w:t>
      </w:r>
      <w:r>
        <w:rPr>
          <w:rFonts w:ascii="Times New Roman" w:hAnsi="Times New Roman"/>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“Money Laundering Laws”) and no action, suit or proceeding by or before any court or governmental agency, authority or body or any arbitrator involving the Company or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(kk)          </w:t>
      </w:r>
      <w:r>
        <w:rPr>
          <w:rFonts w:ascii="Times New Roman" w:hAnsi="Times New Roman"/>
          <w:i/>
          <w:caps w:val="false"/>
          <w:smallCaps w:val="false"/>
          <w:sz w:val="20"/>
        </w:rPr>
        <w:t>OFAC</w:t>
      </w:r>
      <w:r>
        <w:rPr>
          <w:rFonts w:ascii="Times New Roman" w:hAnsi="Times New Roman"/>
          <w:caps w:val="false"/>
          <w:smallCaps w:val="false"/>
          <w:sz w:val="20"/>
        </w:rPr>
        <w:t>. Neither the Company nor its subsidiaries nor, to the knowledge of the Company, any director, officer, agent, employee, controlled affiliate or person acting on behalf of the Company or its subsidiaries is currently subject to any U.S. sanctions administered by the Office of Foreign Assets Control of the U.S. Department of the Treasury (“OFAC”) or the U.S. Department of State and including, without limitation, the designation as a “specially designated national” or “blocked person,” the United Nations Security Council, the European Union, His Majesty’s Treasury or other relevant sanctions authority (“Sanctions”), nor is the Company located, organized or resident in a country or territory that is the subject or target of Sanctions, including, without limitation, Cuba, Iran, North Korea, Syria (prior to July 1, 2025), Russia, the so-called Donetsk People’s Republic, the so-called Luhansk People’s Republic, the Crimea region of Ukraine and the non-government controlled areas of Zaporizhzhia and Kherson (each, a “Sanctioned Country”); and the Company will not directly or indirectly use the proceeds of this offering, or lend, contribute or otherwise make available such proceeds to any subsidiary, or any joint venture partner or other person or entity, (i) for the purpose of financing the activities of or business with any person, or in any country or territory, that currently is the subject of Sanctions, (ii) to fund or facilitate any activities of or business in any Sanctioned Country or (iii) in any other manner that will result in a violation by any person (including any person participating in the transaction whether as underwriter, advisor, investor or otherwise) of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(ll)             </w:t>
      </w:r>
      <w:r>
        <w:rPr>
          <w:rFonts w:ascii="Times New Roman" w:hAnsi="Times New Roman"/>
          <w:i/>
          <w:caps w:val="false"/>
          <w:smallCaps w:val="false"/>
          <w:sz w:val="20"/>
        </w:rPr>
        <w:t>Brokers</w:t>
      </w:r>
      <w:r>
        <w:rPr>
          <w:rFonts w:ascii="Times New Roman" w:hAnsi="Times New Roman"/>
          <w:caps w:val="false"/>
          <w:smallCaps w:val="false"/>
          <w:sz w:val="20"/>
        </w:rPr>
        <w:t>. Except pursuant to this Agreement,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(mm)          </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Each financial or operational projection or other “forward-looking statement” (as defined by Section 27A of the Securities Act or Section 21E of the Exchange Act) contained in the Registration Statement, the Pricing Disclosure Package or the Prospectus (i) was so included by the Company in good faith and with reasonable basis after due consideration by the Company of the underlying assumptions, estimates and other applicable facts and circumstances and (ii) is accompanied by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(nn)         </w:t>
      </w:r>
      <w:r>
        <w:rPr>
          <w:rFonts w:ascii="Times New Roman" w:hAnsi="Times New Roman"/>
          <w:i/>
          <w:caps w:val="false"/>
          <w:smallCaps w:val="false"/>
          <w:sz w:val="20"/>
        </w:rPr>
        <w:t>Compliance with Data Privacy Laws</w:t>
      </w:r>
      <w:r>
        <w:rPr>
          <w:rFonts w:ascii="Times New Roman" w:hAnsi="Times New Roman"/>
          <w:caps w:val="false"/>
          <w:smallCaps w:val="false"/>
          <w:sz w:val="20"/>
        </w:rPr>
        <w:t>. To the Company’s knowledge, the Company and its subsidiaries are, and at all prior times were, in material compliance with all applicable state and federal data privacy and security laws and regulations (collectively, the “Privacy Laws”). To ensure compliance with the Privacy Laws, the Company and its subsidiaries have in place, comply with, and take commercially reasonable steps reasonably designed to ensure compliance in all material respects with their policies and procedures relating to data privacy and security and the collection, storage, use, disclosure, handling, and analysis of Personal Data (as defined below) (the “Policies”). The Company and its subsidiaries have at all times made all disclosures to users or customers required by the Privacy Laws, and none of such disclosures made or contained in any Policy have, to the knowledge of the Company, been inaccurate or in violation of any Privacy Laws in any material respect. The Company further certifies that neither it nor any subsidiaries: (i) have received written notice of any actual or potential liability under or relating to, or actual or potential violation of, any of the Privacy Laws, (ii) is currently conducting or paying for, in whole or in part, any investigation, remediation, or other corrective action pursuant to any Privacy Law; or (iii) is a party to any order, decree, or agreement from or with a governmental or regulatory authority or agency that imposes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(oo)          </w:t>
      </w:r>
      <w:r>
        <w:rPr>
          <w:rFonts w:ascii="Times New Roman" w:hAnsi="Times New Roman"/>
          <w:i/>
          <w:caps w:val="false"/>
          <w:smallCaps w:val="false"/>
          <w:sz w:val="20"/>
        </w:rPr>
        <w:t>Cybersecurity; Data Protection</w:t>
      </w:r>
      <w:r>
        <w:rPr>
          <w:rFonts w:ascii="Times New Roman" w:hAnsi="Times New Roman"/>
          <w:caps w:val="false"/>
          <w:smallCaps w:val="false"/>
          <w:sz w:val="20"/>
        </w:rPr>
        <w:t>. To the Company’s knowledge, 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HIPAA;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would not be reasonably expected to result in a Material Adverse Effect,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(pp)            </w:t>
      </w:r>
      <w:r>
        <w:rPr>
          <w:rFonts w:ascii="Times New Roman" w:hAnsi="Times New Roman"/>
          <w:i/>
          <w:caps w:val="false"/>
          <w:smallCaps w:val="false"/>
          <w:sz w:val="20"/>
        </w:rPr>
        <w:t>No Rights to Purchase Preferred Stock.</w:t>
      </w:r>
      <w:r>
        <w:rPr>
          <w:rFonts w:ascii="Times New Roman" w:hAnsi="Times New Roman"/>
          <w:caps w:val="false"/>
          <w:smallCaps w:val="false"/>
          <w:sz w:val="20"/>
        </w:rPr>
        <w:t xml:space="preserve"> The issuance and sale of the Securities as contemplated hereby will not cause any holder of any 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(qq)       </w:t>
      </w:r>
      <w:r>
        <w:rPr>
          <w:rFonts w:ascii="Times New Roman" w:hAnsi="Times New Roman"/>
          <w:i/>
          <w:caps w:val="false"/>
          <w:smallCaps w:val="false"/>
          <w:sz w:val="20"/>
        </w:rPr>
        <w:t>Dividend Restrictions</w:t>
      </w:r>
      <w:r>
        <w:rPr>
          <w:rFonts w:ascii="Times New Roman" w:hAnsi="Times New Roman"/>
          <w:caps w:val="false"/>
          <w:smallCaps w:val="false"/>
          <w:sz w:val="20"/>
        </w:rPr>
        <w:t>. Except as otherwise disclosed in the Registration Statement, the Pricing Disclosure Package and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(rr)            </w:t>
      </w:r>
      <w:r>
        <w:rPr>
          <w:rFonts w:ascii="Times New Roman" w:hAnsi="Times New Roman"/>
          <w:i/>
          <w:caps w:val="false"/>
          <w:smallCaps w:val="false"/>
          <w:sz w:val="20"/>
        </w:rPr>
        <w:t>Sarbanes-Oxley.</w:t>
      </w:r>
      <w:r>
        <w:rPr>
          <w:rFonts w:ascii="Times New Roman" w:hAnsi="Times New Roman"/>
          <w:caps w:val="false"/>
          <w:smallCaps w:val="false"/>
          <w:sz w:val="20"/>
        </w:rPr>
        <w:t xml:space="preserve"> The Company is, and after giving effect to the offering and sale of Securities will be, in compliance in all material respects with all applicable effective provisions of the Sarbanes-Oxley Act of 2002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(ss)           </w:t>
      </w:r>
      <w:r>
        <w:rPr>
          <w:rFonts w:ascii="Times New Roman" w:hAnsi="Times New Roman"/>
          <w:i/>
          <w:caps w:val="false"/>
          <w:smallCaps w:val="false"/>
          <w:sz w:val="20"/>
        </w:rPr>
        <w:t>Margin Rules</w:t>
      </w:r>
      <w:r>
        <w:rPr>
          <w:rFonts w:ascii="Times New Roman" w:hAnsi="Times New Roman"/>
          <w:caps w:val="false"/>
          <w:smallCaps w:val="false"/>
          <w:sz w:val="20"/>
        </w:rPr>
        <w:t>. Neither the issuance, sale and delivery of the Securities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(tt)          </w:t>
      </w:r>
      <w:r>
        <w:rPr>
          <w:rFonts w:ascii="Times New Roman" w:hAnsi="Times New Roman"/>
          <w:i/>
          <w:caps w:val="false"/>
          <w:smallCaps w:val="false"/>
          <w:sz w:val="20"/>
        </w:rPr>
        <w:t>Status under the Securities Act</w:t>
      </w:r>
      <w:r>
        <w:rPr>
          <w:rFonts w:ascii="Times New Roman" w:hAnsi="Times New Roman"/>
          <w:caps w:val="false"/>
          <w:smallCaps w:val="false"/>
          <w:sz w:val="20"/>
        </w:rPr>
        <w:t>. At the time of filing the Registration Statement and any post-effective amendment thereto, at the earliest time thereafter that the Company or any offering participant made a bona fide offer (within the meaning of Rule 164(h)(2) under the Securities Act) of the Securities and at the date hereof, the Company was not and is not or will not be (as applicable) an “ineligible issuer,” in connection with the offering of the Securities pursuant to Rules 164, 405 and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Further Agreements of the Company</w:t>
      </w:r>
      <w:r>
        <w:rPr>
          <w:rFonts w:ascii="Times New Roman" w:hAnsi="Times New Roman"/>
          <w:caps w:val="false"/>
          <w:smallCaps w:val="false"/>
          <w:sz w:val="20"/>
        </w:rPr>
        <w:t>. The Company covenants and agrees with the Underwriter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i/>
          <w:caps w:val="false"/>
          <w:smallCaps w:val="false"/>
          <w:sz w:val="20"/>
        </w:rPr>
        <w:t>Required Filings.</w:t>
      </w:r>
      <w:r>
        <w:rPr>
          <w:rFonts w:ascii="Times New Roman" w:hAnsi="Times New Roman"/>
          <w:caps w:val="false"/>
          <w:smallCaps w:val="false"/>
          <w:sz w:val="20"/>
        </w:rPr>
        <w:t xml:space="preserve"> The Company will file the final Prospectus with the Commission within the time periods specified by Rule 424(b) and Rule 430A, 430B or 430C under the Securities Act, and will file any Issuer Free Writing Prospectus to the extent required by Rule 433 under the Securities Act; and the Company will file within the time periods required by the Commission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 in New York City prior to 10:00 A.M., New York City time, on the business day next succeeding the date of this Agreement in such quantities as the Underwriter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i/>
          <w:caps w:val="false"/>
          <w:smallCaps w:val="false"/>
          <w:sz w:val="20"/>
        </w:rPr>
        <w:t>Delivery of Copies.</w:t>
      </w:r>
      <w:r>
        <w:rPr>
          <w:rFonts w:ascii="Times New Roman" w:hAnsi="Times New Roman"/>
          <w:caps w:val="false"/>
          <w:smallCaps w:val="false"/>
          <w:sz w:val="20"/>
        </w:rPr>
        <w:t xml:space="preserve"> The Company will deliver, without charge, promptly upon request, to the Underwriter (to the extent not previously delivered)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Underwriter may reasonably request. As used herein, the term “Prospectus Delivery Period” means such period of time after the first date of the public offering of the Securities as in the opinion of counsel for the Underwriter a prospectus relating to the Securities is required by law to be delivered (or required to be delivered but for Rule 172 under the Securities Act) in connection with sales of the Securities by any Underwriter or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i/>
          <w:caps w:val="false"/>
          <w:smallCaps w:val="false"/>
          <w:sz w:val="20"/>
        </w:rPr>
        <w:t>Amendments or Supplements, Issuer Free Writing Prospectuses.</w:t>
      </w:r>
      <w:r>
        <w:rPr>
          <w:rFonts w:ascii="Times New Roman" w:hAnsi="Times New Roman"/>
          <w:caps w:val="false"/>
          <w:smallCaps w:val="false"/>
          <w:sz w:val="20"/>
        </w:rPr>
        <w:t xml:space="preserve"> During the Prospectus Delivery Period, before making, preparing, using, authorizing, approving, referring to or filing any Issuer Free Writing Prospectus, and before filing any amendment or supplement to the Registration Statement, the Pricing Disclosure Package or the Prospectus, the Company will furnish to the Underwriter and counsel for the Underwriter a copy of the proposed Issuer Free Writing Prospectus, amendment or supplement for review and will not make, prepare, use, authorize, approve, refer to or file any such, Issuer Free Writing Prospectus or file any such proposed amendment or supplement to which the Underwriter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i/>
          <w:caps w:val="false"/>
          <w:smallCaps w:val="false"/>
          <w:sz w:val="20"/>
        </w:rPr>
        <w:t>Notice to the Underwriter.</w:t>
      </w:r>
      <w:r>
        <w:rPr>
          <w:rFonts w:ascii="Times New Roman" w:hAnsi="Times New Roman"/>
          <w:caps w:val="false"/>
          <w:smallCaps w:val="false"/>
          <w:sz w:val="20"/>
        </w:rPr>
        <w:t xml:space="preserve"> The Company will advise the Underwriter promptly, and confirm such advice in writing (which confirmation may be delivered by electronic mail), (i) when any amendment to the Registration Statement has been filed or becomes effective; (ii) when any supplement to the Pricing Disclosure Package, the Prospectus, any Issuer Free Writing Prospectus or any Written Testing-the-Waters Communication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(iv)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Company’s knowledge, threatening of any proceeding for that purpose or pursuant to Section 8A of the Securities Act; (v)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 of the receipt by the Company of any notice with respect to any suspension of the qualification of the Securities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Securities and, if any such order is issued, will use its reasonable best efforts to obtain as soon as possible the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i/>
          <w:caps w:val="false"/>
          <w:smallCaps w:val="false"/>
          <w:sz w:val="20"/>
        </w:rPr>
        <w:t>Ongoing Compliance.</w:t>
      </w:r>
      <w:r>
        <w:rPr>
          <w:rFonts w:ascii="Times New Roman" w:hAnsi="Times New Roman"/>
          <w:caps w:val="false"/>
          <w:smallCaps w:val="false"/>
          <w:sz w:val="20"/>
        </w:rPr>
        <w:t xml:space="preserve"> (1)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 thereof and forthwith prepare and, subject to paragraph (c) above, file with the Commission and furnish to the Underwriter and to such dealers as the Underwriter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or any Additional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 thereof and forthwith prepare and, subject to paragraph (c) above, file with the Commission (to the extent required) and furnish to the Underwriter and to such dealers as the Underwriter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i/>
          <w:caps w:val="false"/>
          <w:smallCaps w:val="false"/>
          <w:sz w:val="20"/>
        </w:rPr>
        <w:t>Blue Sky Compliance.</w:t>
      </w:r>
      <w:r>
        <w:rPr>
          <w:rFonts w:ascii="Times New Roman" w:hAnsi="Times New Roman"/>
          <w:caps w:val="false"/>
          <w:smallCaps w:val="false"/>
          <w:sz w:val="20"/>
        </w:rPr>
        <w:t xml:space="preserve"> The Company will qualify the Securities for offer and sale under the securities or Blue Sky laws of such jurisdictions if necessary as the Underwriter shall reasonably request and will continue such qualifications in effect so long as required for distribution of the Securities;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i/>
          <w:caps w:val="false"/>
          <w:smallCaps w:val="false"/>
          <w:sz w:val="20"/>
        </w:rPr>
        <w:t xml:space="preserve">Earnings Statement. </w:t>
      </w:r>
      <w:r>
        <w:rPr>
          <w:rFonts w:ascii="Times New Roman" w:hAnsi="Times New Roman"/>
          <w:caps w:val="false"/>
          <w:smallCaps w:val="false"/>
          <w:sz w:val="20"/>
        </w:rPr>
        <w:t>The Company will make generally available to its security holders and the Underwriter as soon as practicable an earnings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Underwriter to the extent they are filed on EDGAR or any successor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i/>
          <w:caps w:val="false"/>
          <w:smallCaps w:val="false"/>
          <w:sz w:val="20"/>
        </w:rPr>
        <w:t>Clear Market.</w:t>
      </w:r>
      <w:r>
        <w:rPr>
          <w:rFonts w:ascii="Times New Roman" w:hAnsi="Times New Roman"/>
          <w:caps w:val="false"/>
          <w:smallCaps w:val="false"/>
          <w:sz w:val="20"/>
        </w:rPr>
        <w:t xml:space="preserve"> For a period of 90 days after the date of the Prospectus, the Company will not (i) offer, pledge, sell, contract to sell, sell any option or contract to purchase, purchase any option or contract to sell, grant any option, right or warrant to purchase, hedge, lend, or otherwise transfer or dispose of, directly or indirectly, or submit to, or file with, the Commission a registration statement under the Securities Act relating to, any shares of Common Stock or any securities convertible into or exercisable or exchangeable for Common Stock, or publicly disclose the intention to undertake any of the foregoing, or (ii) enter into any hedging,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the Underwriter, other than the Securities to be sold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restrictions described above do not apply to (i) the issuance of shares of Common Stock or securities convertible into or exercisable for shares of Common Stock pursuant to the conversion or exchange of convertible or exchangeable securities or the exercise of warrants or options (including net exercise) or the vesting or settlement of restricted stock, restricted stock units or performance units (including net settlement), in each case outstanding on the date of this Agreement and described in the Prospectus; (ii) the issuance of the Warrant Shares pursuant to the exercise of the Pre-Funded Warrants; (iii) grants of stock options, stock awards, restricted stock, restricted stock units, performance units,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inducement plan or an equity compensation plan, or employee stock purchase plan in effect as of the Closing Date and described in the Prospectus; (iv) the issuance of Common Stock, or securities convertible into, exercisable for, or which are otherwise exchangeable for, Common Stock, immediately following the Closing Date, in acquisitions, strategic transactions of assets or acquisition of equity of another entity or in connection with a transaction with an unaffiliated third party that includes a bona fide commercial relationship (including joint ventures, marketing or distribution arrangements, collaboration agreements, intellectual property license agreements, or lending agreements or arrangements),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such recipients enter into a lock-up agreement with the Underwriter; or (v)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Use of Proceeds.</w:t>
      </w:r>
      <w:r>
        <w:rPr>
          <w:rFonts w:ascii="Times New Roman" w:hAnsi="Times New Roman"/>
          <w:caps w:val="false"/>
          <w:smallCaps w:val="false"/>
          <w:sz w:val="20"/>
        </w:rPr>
        <w:t xml:space="preserve"> The Company will apply the net proceeds from the sale of the Securities as described in each of the Registration Statement, the Pricing Disclosure Package and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i/>
          <w:caps w:val="false"/>
          <w:smallCaps w:val="false"/>
          <w:sz w:val="20"/>
        </w:rPr>
        <w:t>No Stabilization.</w:t>
      </w:r>
      <w:r>
        <w:rPr>
          <w:rFonts w:ascii="Times New Roman" w:hAnsi="Times New Roman"/>
          <w:caps w:val="false"/>
          <w:smallCaps w:val="false"/>
          <w:sz w:val="20"/>
        </w:rPr>
        <w:t xml:space="preserve"> Neither the Company nor its subsidiaries will take, and the Company will ensure that its controlled affiliates will not take, directly or indirectly, any action designed to or that could reasonably be expected to cause or result in any stabilization or manipulation of the price of the Common Stock and will not take any action prohibited by Regulation M under the Exchange Act in connection with the distribution of the Securities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i/>
          <w:caps w:val="false"/>
          <w:smallCaps w:val="false"/>
          <w:sz w:val="20"/>
        </w:rPr>
        <w:t>Warrant Shares Reserved.</w:t>
      </w:r>
      <w:r>
        <w:rPr>
          <w:rFonts w:ascii="Times New Roman" w:hAnsi="Times New Roman"/>
          <w:caps w:val="false"/>
          <w:smallCaps w:val="false"/>
          <w:sz w:val="20"/>
        </w:rPr>
        <w:t> The Company shall, at all times while any Pre-Funded Warrants are outstanding, reserve and keep available out of its authorized but unissued and otherwise unreserved shares of Common Stock, solely for the purpose of enabling it to issue Warrant Shares upon exercise of such Pre-Funded Warrants, the number of Warrant Shares that are initially issuable and deliverable upon exercise of the then outstanding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i/>
          <w:caps w:val="false"/>
          <w:smallCaps w:val="false"/>
          <w:sz w:val="20"/>
        </w:rPr>
        <w:t>Reports.</w:t>
      </w:r>
      <w:r>
        <w:rPr>
          <w:rFonts w:ascii="Times New Roman" w:hAnsi="Times New Roman"/>
          <w:caps w:val="false"/>
          <w:smallCaps w:val="false"/>
          <w:sz w:val="20"/>
        </w:rPr>
        <w:t xml:space="preserve"> For a period of two years from the date of this Agreement, so long as the Securities are outstanding, the Company will furnish to the Underwriter, as soon as commercially reasonable after the date on which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the Company will be deemed to have furnished such reports and financial statements to the Underwriter to the extent they are filed on EDGAR or any successor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i/>
          <w:caps w:val="false"/>
          <w:smallCaps w:val="false"/>
          <w:sz w:val="20"/>
        </w:rPr>
        <w:t>Record Retention</w:t>
      </w:r>
      <w:r>
        <w:rPr>
          <w:rFonts w:ascii="Times New Roman" w:hAnsi="Times New Roman"/>
          <w:caps w:val="false"/>
          <w:smallCaps w:val="false"/>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Certain Agreements of the Underwriter</w:t>
      </w:r>
      <w:r>
        <w:rPr>
          <w:rFonts w:ascii="Times New Roman" w:hAnsi="Times New Roman"/>
          <w:caps w:val="false"/>
          <w:smallCaps w:val="false"/>
          <w:sz w:val="20"/>
        </w:rPr>
        <w:t>. The Underwriter hereby represents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approved in advance by the Company), or (iii) any free writing prospectus prepared by such underwriter and approved by the Company in advance in writing (each such free writing prospectus referred to in clauses (i) or (iii), an “Underwriter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Times New Roman" w:hAnsi="Times New Roman"/>
          <w:i/>
          <w:caps w:val="false"/>
          <w:smallCaps w:val="false"/>
          <w:sz w:val="20"/>
        </w:rPr>
        <w:t>provided</w:t>
      </w:r>
      <w:r>
        <w:rPr>
          <w:rFonts w:ascii="Times New Roman" w:hAnsi="Times New Roman"/>
          <w:caps w:val="false"/>
          <w:smallCaps w:val="false"/>
          <w:sz w:val="20"/>
        </w:rPr>
        <w:t xml:space="preserve"> that Underwriter may use a term sheet substantially in the form of Annex C hereto without the consent of the Company; </w:t>
      </w:r>
      <w:r>
        <w:rPr>
          <w:rFonts w:ascii="Times New Roman" w:hAnsi="Times New Roman"/>
          <w:i/>
          <w:caps w:val="false"/>
          <w:smallCaps w:val="false"/>
          <w:sz w:val="20"/>
        </w:rPr>
        <w:t>provided further</w:t>
      </w:r>
      <w:r>
        <w:rPr>
          <w:rFonts w:ascii="Times New Roman" w:hAnsi="Times New Roman"/>
          <w:caps w:val="false"/>
          <w:smallCaps w:val="false"/>
          <w:sz w:val="20"/>
        </w:rPr>
        <w:t xml:space="preserve"> that any Underwriter using such term sheet shall notify the Company, and provide a copy of such term sheet to the Company, prior to, or substantially concurrently with, the first use of such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It is not subject to any pending proceeding under Section 8A of the Securities Act with respect to the offering (and will promptly notify the Company if any such proceeding against it is initiated during the Prospectus Delivery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Conditions of Underwriter’s Obligations.</w:t>
      </w:r>
      <w:r>
        <w:rPr>
          <w:rFonts w:ascii="Times New Roman" w:hAnsi="Times New Roman"/>
          <w:caps w:val="false"/>
          <w:smallCaps w:val="false"/>
          <w:sz w:val="20"/>
        </w:rPr>
        <w:t xml:space="preserve"> The obligation of the Underwriter to purchase the Underwritten Shares and the Pre-Funded Warrants on the Closing Date or the Option Shares on the Additional Closing Date, as the case may be, as provided herein is subject to the performance by the Company of its covenants and other obligations hereunder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Registration Compliance; No Stop Order.</w:t>
      </w:r>
      <w:r>
        <w:rPr>
          <w:rFonts w:ascii="Times New Roman" w:hAnsi="Times New Roman"/>
          <w:caps w:val="false"/>
          <w:smallCaps w:val="false"/>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Representations and Warranties.</w:t>
      </w:r>
      <w:r>
        <w:rPr>
          <w:rFonts w:ascii="Times New Roman" w:hAnsi="Times New Roman"/>
          <w:caps w:val="false"/>
          <w:smallCaps w:val="false"/>
          <w:sz w:val="20"/>
        </w:rPr>
        <w:t xml:space="preserve"> The representations and warranties of the Company contained herein shall be true and 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No Material Adverse Change.</w:t>
      </w:r>
      <w:r>
        <w:rPr>
          <w:rFonts w:ascii="Times New Roman" w:hAnsi="Times New Roman"/>
          <w:caps w:val="false"/>
          <w:smallCaps w:val="false"/>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reasonable judgment of the Underwriter makes it impracticable or inadvisable to proceed with the offering, sale or delivery of the Underwritten Shares and the Pre-Funded Warrants on the Closing Date or the Option Shares on the Additional Closing Date, as the case may be, on the terms and in the manner contemplated by this Agreement,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Officer</w:t>
      </w:r>
      <w:r>
        <w:rPr>
          <w:rFonts w:ascii="Times New Roman" w:hAnsi="Times New Roman"/>
          <w:caps w:val="false"/>
          <w:smallCaps w:val="false"/>
          <w:sz w:val="20"/>
        </w:rPr>
        <w:t>’</w:t>
      </w:r>
      <w:r>
        <w:rPr>
          <w:rFonts w:ascii="Times New Roman" w:hAnsi="Times New Roman"/>
          <w:i/>
          <w:caps w:val="false"/>
          <w:smallCaps w:val="false"/>
          <w:sz w:val="20"/>
        </w:rPr>
        <w:t>s Certificate.</w:t>
      </w:r>
      <w:r>
        <w:rPr>
          <w:rFonts w:ascii="Times New Roman" w:hAnsi="Times New Roman"/>
          <w:caps w:val="false"/>
          <w:smallCaps w:val="false"/>
          <w:sz w:val="20"/>
        </w:rPr>
        <w:t xml:space="preserve"> The Underwriter shall have received on and as of the Closing Date or the Additional Closing Date, as the case may be, a certificate of the chief financial officer or chief accounting officer of the Company and one additional senior executive officer of the Company who is reasonably satisfactory to the Underwriter (i) confirming that such officers have carefully reviewed the Registration Statement, the Pricing Disclosure Package and the Prospectus and, to the knowledge of such officers, the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 to the effect set forth in paragraphs (a), (b) and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Comfort Letters.</w:t>
      </w:r>
      <w:r>
        <w:rPr>
          <w:rFonts w:ascii="Times New Roman" w:hAnsi="Times New Roman"/>
          <w:caps w:val="false"/>
          <w:smallCaps w:val="false"/>
          <w:sz w:val="20"/>
        </w:rPr>
        <w:t xml:space="preserve"> On the date of this Agreement and on the Closing Date or the Additional Closing Date, as the case may be, GT and PwC shall have furnished to the Underwriter, at the request of the Company, letters, dated the respective dates of delivery thereof and addressed to the Underwriter, in form and substance reasonably satisfactory to the Underwriter,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Opinion and Negative Assurance Letter of Counsel for the Company.</w:t>
      </w:r>
      <w:r>
        <w:rPr>
          <w:rFonts w:ascii="Times New Roman" w:hAnsi="Times New Roman"/>
          <w:caps w:val="false"/>
          <w:smallCaps w:val="false"/>
          <w:sz w:val="20"/>
        </w:rPr>
        <w:t xml:space="preserve"> Taft Stettinius &amp; Hollister LLP, counsel for the Company, shall have furnished to the Underwriter, at the request of the Company, its written opinion and negative assurance letter, dated the Closing Date or the Additional Closing Date, as the case may be, and addressed to the Underwriter, in form and substance reasonably satisfactory to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i/>
          <w:caps w:val="false"/>
          <w:smallCaps w:val="false"/>
          <w:sz w:val="20"/>
        </w:rPr>
        <w:t>Opinion of Counsel for the Underwriter.</w:t>
      </w:r>
      <w:r>
        <w:rPr>
          <w:rFonts w:ascii="Times New Roman" w:hAnsi="Times New Roman"/>
          <w:caps w:val="false"/>
          <w:smallCaps w:val="false"/>
          <w:sz w:val="20"/>
        </w:rPr>
        <w:t xml:space="preserve"> The Underwriter shall have received on and as of the Closing Date or the Additional Closing Date, as the case may be, an opinion that shall contain a negative assurance statement, addressed to the Underwriter, of Faegre Drinker Biddle &amp; Reath LLP, counsel for the Underwriter, with respect to such matters as the Underwriter may reasonably request, and such counsel shall have received such documents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No Legal Impediment to Issuance and Sale.</w:t>
      </w:r>
      <w:r>
        <w:rPr>
          <w:rFonts w:ascii="Times New Roman" w:hAnsi="Times New Roman"/>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or the Additional Closing Date, as the case may be, prevent the issuance or sale of the Securities by the Company; and no injunction or order of any federal, state or foreign court shall have been issued that would, as of the Closing Date or the Additional Closing Date by Company, as the case may be, prevent the issuance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i/>
          <w:caps w:val="false"/>
          <w:smallCaps w:val="false"/>
          <w:sz w:val="20"/>
        </w:rPr>
        <w:t>Good Standing</w:t>
      </w:r>
      <w:r>
        <w:rPr>
          <w:rFonts w:ascii="Times New Roman" w:hAnsi="Times New Roman"/>
          <w:caps w:val="false"/>
          <w:smallCaps w:val="false"/>
          <w:sz w:val="20"/>
        </w:rPr>
        <w:t>. The Underwriter shall have received on and as of the Closing Date or the Additional Closing Date, as the case may be, satisfactory evidence of the good standing of the Company and its subsidiaries in their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i/>
          <w:caps w:val="false"/>
          <w:smallCaps w:val="false"/>
          <w:sz w:val="20"/>
        </w:rPr>
        <w:t>Lock-up Agreements</w:t>
      </w:r>
      <w:r>
        <w:rPr>
          <w:rFonts w:ascii="Times New Roman" w:hAnsi="Times New Roman"/>
          <w:caps w:val="false"/>
          <w:smallCaps w:val="false"/>
          <w:sz w:val="20"/>
        </w:rPr>
        <w:t>. The “lock-up” agreements, each substantially in the form of Annex D-1 hereto, executed by the officers, directors and significant shareholders of the Company identified on Annex D-2 hereto, relating to sales and certain other dispositions of shares of Stock or certain other securities, delivered to the Underwriter on or before the date hereof, shall be in full force and effect on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i/>
          <w:caps w:val="false"/>
          <w:smallCaps w:val="false"/>
          <w:sz w:val="20"/>
        </w:rPr>
        <w:t>CFO Certificate</w:t>
      </w:r>
      <w:r>
        <w:rPr>
          <w:rFonts w:ascii="Times New Roman" w:hAnsi="Times New Roman"/>
          <w:caps w:val="false"/>
          <w:smallCaps w:val="false"/>
          <w:sz w:val="20"/>
        </w:rPr>
        <w:t>. On the date of this Agreement and on the Closing Date or the Additional Closing Date, as the case may be, the Company shall have furnished to the Underwriter a certificate, dated the respective dates of delivery thereof and addressed to the Underwriter, of its chief financial officer with respect to certain financial data contained in the Pricing Disclosure Package and the Prospectus, providing “management comfort” with respect to such information, in form and substance reasonably satisfactory to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i/>
          <w:caps w:val="false"/>
          <w:smallCaps w:val="false"/>
          <w:sz w:val="20"/>
        </w:rPr>
        <w:t>Exchange Listing</w:t>
      </w:r>
      <w:r>
        <w:rPr>
          <w:rFonts w:ascii="Times New Roman" w:hAnsi="Times New Roman"/>
          <w:caps w:val="false"/>
          <w:smallCaps w:val="false"/>
          <w:sz w:val="20"/>
        </w:rPr>
        <w:t>. The Company shall have submitted a Listing of Additional Shares notification to Nasdaq with respect to the Shares and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i/>
          <w:caps w:val="false"/>
          <w:smallCaps w:val="false"/>
          <w:sz w:val="20"/>
        </w:rPr>
        <w:t>Additional Documents</w:t>
      </w:r>
      <w:r>
        <w:rPr>
          <w:rFonts w:ascii="Times New Roman" w:hAnsi="Times New Roman"/>
          <w:caps w:val="false"/>
          <w:smallCaps w:val="false"/>
          <w:sz w:val="20"/>
        </w:rPr>
        <w:t>. On or prior to the Closing Date or the Additional Closing Date, as the case may be, the Company shall have furnished to the Underwriter such further certificates and documents as the Underwriter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        </w:t>
      </w:r>
      <w:r>
        <w:rPr>
          <w:rFonts w:ascii="Times New Roman" w:hAnsi="Times New Roman"/>
          <w:i/>
          <w:caps w:val="false"/>
          <w:smallCaps w:val="false"/>
          <w:sz w:val="20"/>
        </w:rPr>
        <w:t>Form of Pre-Funded Warrant</w:t>
      </w:r>
      <w:r>
        <w:rPr>
          <w:rFonts w:ascii="Times New Roman" w:hAnsi="Times New Roman"/>
          <w:caps w:val="false"/>
          <w:smallCaps w:val="false"/>
          <w:sz w:val="20"/>
        </w:rPr>
        <w:t>. The Underwriter shall have received a form of Pre-Funded Warrant in form and substance reasonably satisfactory to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 Indemnification and Contribution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Indemnification of the Underwriter.</w:t>
      </w:r>
      <w:r>
        <w:rPr>
          <w:rFonts w:ascii="Times New Roman" w:hAnsi="Times New Roman"/>
          <w:caps w:val="false"/>
          <w:smallCaps w:val="false"/>
          <w:sz w:val="20"/>
        </w:rPr>
        <w:t xml:space="preserve"> The Company agrees to indemnify and hold harmless the Underwriter, its affiliates, directors and officers and each person, if any, who controls the Underwriter within the meaning of Section 15 of the Securities Act or Section 20 of the Exchange Act, from and against any and all losses, claims, damages and liabilities (including, without limitation, reasonable and documented legal fees and other expenses reasonably incurred in connection with any suit, action or proceeding or any claim asserted, as such fees and expenses are incurred)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the Underwriter furnished to the Company in writing by the Underwriter expressly for use therein, it being understood and agreed that the only such information furnished by any Underwriter consists of the information described as such in paragraph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Indemnification of the Company.</w:t>
      </w:r>
      <w:r>
        <w:rPr>
          <w:rFonts w:ascii="Times New Roman" w:hAnsi="Times New Roman"/>
          <w:caps w:val="false"/>
          <w:smallCaps w:val="false"/>
          <w:sz w:val="20"/>
        </w:rPr>
        <w:t xml:space="preserve"> The Underwriter agrees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(including, without limitation, reasonable and documented legal fees and other expenses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the Underwriter furnished to the Company in writing by the Underwriter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(the “Underwriter Information”) consists of the following information in the Prospectus furnished on behalf of the Underwriter: (i) the concession figure appearing in the second paragraph under the caption “Underwriting,” (ii) paragraphs one, two and three under the caption “Price Stabilization, Short Position and Penalty Bids,” and (iii) the second, third and fourth sentence in the first paragraph under “Electronic Offer, Sale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Notice and Procedures.</w:t>
      </w:r>
      <w:r>
        <w:rPr>
          <w:rFonts w:ascii="Times New Roman" w:hAnsi="Times New Roman"/>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and documented fees and expenses in such proceeding and shall pay the reasonably incurred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the Underwriter shall be designated in writing by the Underwriter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Contribution.</w:t>
      </w:r>
      <w:r>
        <w:rPr>
          <w:rFonts w:ascii="Times New Roman" w:hAnsi="Times New Roman"/>
          <w:caps w:val="false"/>
          <w:smallCaps w:val="false"/>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 on the other, in connection with the statements or omissions that resulted in such losses, claims, damages or liabilities, as well as any other relevant equitable considerations. The relative benefits received by the Company, on the one hand, and the Underwriter on the other, shall be deemed to be in the same respective proportions as the net proceeds (before deducting expenses) received by the Company from the sale of the Securities and the total underwriting discounts and commissions received by the Underwriter in connection therewith, in each case as set forth in the table on the cover of the Prospectus, bear to the aggregate offering price of the Securities. The relative fault of the Company, on the one hand, and the Underwriter on the other, shall be determined by reference to, among other things, whether the untrue or alleged untrue statement of a material fact or the omission or alleged omission to state a material fact relates to information supplied by the Company or by the Underwriter and the parties’ relative intent, knowledge, access to information and opportunity to correct or prevent such statement or omission.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Limitation on Liability.</w:t>
      </w:r>
      <w:r>
        <w:rPr>
          <w:rFonts w:ascii="Times New Roman" w:hAnsi="Times New Roman"/>
          <w:caps w:val="false"/>
          <w:smallCaps w:val="false"/>
          <w:sz w:val="20"/>
        </w:rPr>
        <w:t xml:space="preserve"> The Company and the Underwriter agree that it would not be just and equitable if contribution pursuant to paragraph (d) above were determined by </w:t>
      </w:r>
      <w:r>
        <w:rPr>
          <w:rFonts w:ascii="Times New Roman" w:hAnsi="Times New Roman"/>
          <w:caps w:val="false"/>
          <w:smallCaps w:val="false"/>
          <w:sz w:val="20"/>
          <w:u w:val="single"/>
        </w:rPr>
        <w:t>pro rata</w:t>
      </w:r>
      <w:r>
        <w:rPr>
          <w:rFonts w:ascii="Times New Roman" w:hAnsi="Times New Roman"/>
          <w:caps w:val="false"/>
          <w:smallCaps w:val="false"/>
          <w:sz w:val="20"/>
        </w:rPr>
        <w:t xml:space="preserve"> allocation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documented legal or other expenses reasonably incurred by such Indemnified Person in connection with any such action or claim. Notwithstanding the provisions of paragraphs (d) and (e), in no event shall the Underwriter be required to contribute any amount in excess of the amount by which the total underwriting discounts and commissions received by the Underwriter with respect to the offering of the Securities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Non-Exclusive Remedies.</w:t>
      </w:r>
      <w:r>
        <w:rPr>
          <w:rFonts w:ascii="Times New Roman" w:hAnsi="Times New Roman"/>
          <w:caps w:val="false"/>
          <w:smallCaps w:val="false"/>
          <w:sz w:val="20"/>
        </w:rPr>
        <w:t xml:space="preserve"> The remedies provided for in this Section 7 paragraphs (a) through (e) are not exclusive and shall not limit any rights or remedies which may otherwise be available to any Indemnified Person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Effectiveness of Agreement</w:t>
      </w:r>
      <w:r>
        <w:rPr>
          <w:rFonts w:ascii="Times New Roman" w:hAnsi="Times New Roman"/>
          <w:caps w:val="false"/>
          <w:smallCaps w:val="false"/>
          <w:sz w:val="20"/>
        </w:rPr>
        <w:t>. This Agreement shall become effective as of the date first written above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Termination</w:t>
      </w:r>
      <w:r>
        <w:rPr>
          <w:rFonts w:ascii="Times New Roman" w:hAnsi="Times New Roman"/>
          <w:caps w:val="false"/>
          <w:smallCaps w:val="false"/>
          <w:sz w:val="20"/>
        </w:rPr>
        <w:t>. This Agreement may be terminated in the absolute discretion of the Underwriter, by notice to the Company, if after the execution and delivery of this Agreement and on or prior to the Closing Date or, in the case of the Option Shares, prior to the Additional Closing Date (i) trading generally shall have been suspended or materially limited on or by either of the New York Stock Exchange or Nasdaq; (ii) trading of any securities issued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Underwriter,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Payment of Expenses</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Whether or not the transactions contemplated by this Agreement are consummated or this Agreement is terminated,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the Preliminary Prospectus, any Issuer Free Writing Prospectus, any Pricing Disclosure Package and the Prospectus (including all exhibits, amendments and supplements thereto) and the distribution thereof; (ii) the cost of printing or producing this Agreement, the Blue Sky survey, closing documents (including any compilations thereof) and any other documents in connection with the offering, purchase, sale and delivery of the Securities; (iii) all expenses in connection with the qualification of the Securities for offering and sale under state securities laws; (iv) all fees and expenses in connection with listing the Shares and the Warrant Shares on Nasdaq; (v) the filing fees incident to and in connection with, any required review by FINRA of the terms of the sale of the Securities; (vi) the cost of preparing stock certificates, if applicable; (vii) the cost and charges of any transfer agent, or registrar; (viii) the costs and expenses of the Company relating to investor presentations on any “road show” undertaken in connection with the marketing of the Securities, including without limitation, expenses associated with the production of road show slides and graphics, fees; and (ix) all other costs and expenses incident to the performance of its obligations hereunder which are not otherwise specifically provided for in this Section 10. It is understood, however, that, except as provided in this Section 10 and Section 7 hereof, the Underwriter will pay all of its own costs and expenses; provided, however, that the Company will reimburse the Underwriter for all out-of-pocket expenses (including fees and expenses of its counsel) reasonably incurred and documented by it in connection with its engagement hereunder in an aggregate amount that shall not exceed $150,000 without the prior written approval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If (i) this Agreement is terminated pursuant to Section 9, (ii) the Company for any reason fails to tender the Securities for delivery to the Underwriter or (iii) the Underwriter declines to purchase the Securities for any reason permitted under this Agreement, the Company agrees to reimburse the Underwriter for all out-of-pocket costs and expenses (including the fees and expenses of its counsel) reasonably incurred by the Underwriter in connection with this Agreement and the offering contemplated hereby in an aggregate amount that shall not exceed $150,000. For the avoidance of doubt, it is understood that the Company shall not pay or reimburse any costs, fees or expenses incurred by any Underwriter that defaults on its obligation to purchase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Persons Entitled to Benefit of Agreement</w:t>
      </w:r>
      <w:r>
        <w:rPr>
          <w:rFonts w:ascii="Times New Roman" w:hAnsi="Times New Roman"/>
          <w:caps w:val="false"/>
          <w:smallCaps w:val="false"/>
          <w:sz w:val="20"/>
        </w:rPr>
        <w:t>. This Agreement shall inure to the benefit of and be binding upon the parties hereto and their respective successors and the officers and directors and any controlling persons referred to herein, and the affiliates of the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Survival</w:t>
      </w:r>
      <w:r>
        <w:rPr>
          <w:rFonts w:ascii="Times New Roman" w:hAnsi="Times New Roman"/>
          <w:caps w:val="false"/>
          <w:smallCaps w:val="false"/>
          <w:sz w:val="20"/>
        </w:rPr>
        <w:t>. The respective indemnities, rights of contribution, representations, warranties and agreements of the Company and the Underwriter contained in this Agreement or made by or on behalf of the Company or the Underwriter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 or the directors, officers, controlling persons or affiliates referred to in Section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Certain Defined Terms</w:t>
      </w:r>
      <w:r>
        <w:rPr>
          <w:rFonts w:ascii="Times New Roman" w:hAnsi="Times New Roman"/>
          <w:caps w:val="false"/>
          <w:smallCaps w:val="false"/>
          <w:sz w:val="20"/>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Compliance with USA Patriot Act</w:t>
      </w:r>
      <w:r>
        <w:rPr>
          <w:rFonts w:ascii="Times New Roman" w:hAnsi="Times New Roman"/>
          <w:caps w:val="false"/>
          <w:smallCaps w:val="false"/>
          <w:sz w:val="20"/>
        </w:rPr>
        <w:t>. In accordance with the requirements of the USA Patriot Act (Title III of Pub. L. 107-56 (signed into law October 26, 2001)), the Underwriter is required to obtain, verify and record information that identifies its clients, including the Company, which information may include the name and address of its clients, as well as other information that will allow the Underwriter to properly identify its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Notices.</w:t>
      </w:r>
      <w:r>
        <w:rPr>
          <w:rFonts w:ascii="Times New Roman" w:hAnsi="Times New Roman"/>
          <w:caps w:val="false"/>
          <w:smallCaps w:val="false"/>
          <w:sz w:val="20"/>
        </w:rPr>
        <w:t xml:space="preserve"> All notices and other communications hereunder shall be in writing and shall be deemed to have been duly given if mailed or transmitted and confirmed by any standard form of telecommunication. Notices to the Underwriter shall be given to the Underwriter c/o Craig-Hallum Capital Group LLC, 1323 North Washington Avenue, Suite 300, Minneapolis, MN 55402, with a copy (which shall not constitute notice) to Faegre Drinker Biddle &amp; Reath LLP, 2200 Wells Fargo Center 90 S. Seventh Street, Minneapolis, Minnesota 55402, Attention: Jonathan Zimmerman. Notices to the Company shall be given to it at Creative Realities, Inc., 713100 Magisterial Drive, Suite 201, Louisville, KY 40223 Attention: Tamra Koshewa, Chief Financial Officer, with a copy to Taft Stettinius &amp; Hollister LLP, 80 South 8th Street, Suite 2200, Minneapolis, MN 55402, Attention: Bradley Pederson.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Governing Law.</w:t>
      </w:r>
      <w:r>
        <w:rPr>
          <w:rFonts w:ascii="Times New Roman" w:hAnsi="Times New Roman"/>
          <w:caps w:val="false"/>
          <w:smallCaps w:val="false"/>
          <w:sz w:val="20"/>
        </w:rPr>
        <w:t xml:space="preserve"> This Agreement and any claim, controversy or dispute arising under or related to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Submission to Jurisdiction</w:t>
      </w:r>
      <w:r>
        <w:rPr>
          <w:rFonts w:ascii="Times New Roman" w:hAnsi="Times New Roman"/>
          <w:caps w:val="false"/>
          <w:smallCaps w:val="false"/>
          <w:sz w:val="20"/>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Waiver of Jury Trial.</w:t>
      </w:r>
      <w:r>
        <w:rPr>
          <w:rFonts w:ascii="Times New Roman" w:hAnsi="Times New Roman"/>
          <w:caps w:val="false"/>
          <w:smallCaps w:val="false"/>
          <w:sz w:val="20"/>
        </w:rPr>
        <w:t xml:space="preserve"> Each of the parties hereto hereby waives any right to trial by jury in any suit or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Recognition of the U.S. Special Resolution Regimes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In the event that any Underwriter that is a Covered Entity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In the event that any Underwriter that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Section 15(e):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 w:hAnsi="Times New Roman"/>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caps w:val="false"/>
          <w:smallCaps w:val="false"/>
        </w:rPr>
      </w:pPr>
      <w:r>
        <w:rPr>
          <w:caps w:val="false"/>
          <w:smallCaps w:val="false"/>
        </w:rPr>
        <w:t>“</w:t>
      </w:r>
      <w:r>
        <w:rPr>
          <w:rFonts w:ascii="Times New Roman" w:hAnsi="Times New Roman"/>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a “covered FSI” as that term is defined in, and interpreted in accordance with, 12 C.F.R. § 382.2(b).</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w:t>
      </w:r>
      <w:r>
        <w:rPr>
          <w:rFonts w:ascii="Times New Roman" w:hAnsi="Times New Roman"/>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w:t>
      </w:r>
      <w:r>
        <w:rPr>
          <w:rFonts w:ascii="Times New Roman" w:hAnsi="Times New Roman"/>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Counterparts.</w:t>
      </w:r>
      <w:r>
        <w:rPr>
          <w:rFonts w:ascii="Times New Roman" w:hAnsi="Times New Roman"/>
          <w:caps w:val="false"/>
          <w:smallCaps w:val="false"/>
          <w:sz w:val="20"/>
        </w:rPr>
        <w:t xml:space="preserve"> This Agreement may be signed in counterparts (which may include counterparts delivered by any standard form of telecommunication), each of which shall be an original and all of which together shall constitute one and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i/>
          <w:caps w:val="false"/>
          <w:smallCaps w:val="false"/>
          <w:sz w:val="20"/>
        </w:rPr>
        <w:t>Amendments or Waivers.</w:t>
      </w:r>
      <w:r>
        <w:rPr>
          <w:rFonts w:ascii="Times New Roman" w:hAnsi="Times New Roman"/>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i/>
          <w:caps w:val="false"/>
          <w:smallCaps w:val="false"/>
          <w:sz w:val="20"/>
        </w:rPr>
        <w:t>Headings.</w:t>
      </w:r>
      <w:r>
        <w:rPr>
          <w:rFonts w:ascii="Times New Roman" w:hAnsi="Times New Roman"/>
          <w:caps w:val="false"/>
          <w:smallCaps w:val="false"/>
          <w:sz w:val="20"/>
        </w:rPr>
        <w:t xml:space="preserve"> The headings herein are included for convenience of reference only and are not intended to be part of, or to affect the meaning or interpretation of, this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 w:name="signature-table"/>
      <w:bookmarkStart w:id="5" w:name="signature-table"/>
      <w:bookmarkEnd w:id="5"/>
    </w:p>
    <w:tbl>
      <w:tblPr>
        <w:tblW w:w="10205" w:type="dxa"/>
        <w:jc w:val="left"/>
        <w:tblInd w:w="0" w:type="dxa"/>
        <w:tblLayout w:type="fixed"/>
        <w:tblCellMar>
          <w:top w:w="0" w:type="dxa"/>
          <w:left w:w="0" w:type="dxa"/>
          <w:bottom w:w="0" w:type="dxa"/>
          <w:right w:w="0" w:type="dxa"/>
        </w:tblCellMar>
      </w:tblPr>
      <w:tblGrid>
        <w:gridCol w:w="2066"/>
        <w:gridCol w:w="322"/>
        <w:gridCol w:w="3681"/>
        <w:gridCol w:w="2066"/>
        <w:gridCol w:w="2070"/>
      </w:tblGrid>
      <w:tr>
        <w:trPr/>
        <w:tc>
          <w:tcPr>
            <w:tcW w:w="2066" w:type="dxa"/>
            <w:tcBorders/>
            <w:vAlign w:val="center"/>
          </w:tcPr>
          <w:p>
            <w:pPr>
              <w:pStyle w:val="TableContents"/>
              <w:bidi w:val="0"/>
              <w:spacing w:before="0" w:after="0"/>
              <w:ind w:left="0" w:right="0" w:hanging="0"/>
              <w:jc w:val="left"/>
              <w:rPr/>
            </w:pPr>
            <w:r>
              <w:rPr/>
              <w:t> </w:t>
            </w:r>
          </w:p>
        </w:tc>
        <w:tc>
          <w:tcPr>
            <w:tcW w:w="4003" w:type="dxa"/>
            <w:gridSpan w:val="2"/>
            <w:tcBorders/>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br/>
              <w:t>CREATIVE REALITIES, INC.</w:t>
            </w:r>
          </w:p>
        </w:tc>
        <w:tc>
          <w:tcPr>
            <w:tcW w:w="2066" w:type="dxa"/>
            <w:tcBorders/>
            <w:vAlign w:val="center"/>
          </w:tcPr>
          <w:p>
            <w:pPr>
              <w:pStyle w:val="TableContents"/>
              <w:bidi w:val="0"/>
              <w:spacing w:before="0" w:after="0"/>
              <w:ind w:left="0" w:right="0" w:hanging="0"/>
              <w:jc w:val="left"/>
              <w:rPr/>
            </w:pPr>
            <w:r>
              <w:rPr/>
              <w:t> </w:t>
            </w:r>
          </w:p>
        </w:tc>
        <w:tc>
          <w:tcPr>
            <w:tcW w:w="2070" w:type="dxa"/>
            <w:tcBorders/>
            <w:vAlign w:val="center"/>
          </w:tcPr>
          <w:p>
            <w:pPr>
              <w:pStyle w:val="TableContents"/>
              <w:bidi w:val="0"/>
              <w:spacing w:before="0" w:after="0"/>
              <w:ind w:left="0" w:right="0" w:hanging="0"/>
              <w:jc w:val="left"/>
              <w:rPr/>
            </w:pPr>
            <w:r>
              <w:rPr/>
              <w:t> </w:t>
            </w:r>
          </w:p>
        </w:tc>
      </w:tr>
      <w:tr>
        <w:trPr/>
        <w:tc>
          <w:tcPr>
            <w:tcW w:w="206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3681" w:type="dxa"/>
            <w:tcBorders/>
            <w:vAlign w:val="center"/>
          </w:tcPr>
          <w:p>
            <w:pPr>
              <w:pStyle w:val="TableContents"/>
              <w:bidi w:val="0"/>
              <w:spacing w:before="0" w:after="0"/>
              <w:ind w:left="0" w:right="0" w:hanging="0"/>
              <w:jc w:val="left"/>
              <w:rPr/>
            </w:pPr>
            <w:r>
              <w:rPr/>
              <w:t> </w:t>
            </w:r>
          </w:p>
        </w:tc>
        <w:tc>
          <w:tcPr>
            <w:tcW w:w="2066" w:type="dxa"/>
            <w:tcBorders/>
            <w:vAlign w:val="center"/>
          </w:tcPr>
          <w:p>
            <w:pPr>
              <w:pStyle w:val="TableContents"/>
              <w:bidi w:val="0"/>
              <w:spacing w:before="0" w:after="0"/>
              <w:ind w:left="0" w:right="0" w:hanging="0"/>
              <w:jc w:val="left"/>
              <w:rPr/>
            </w:pPr>
            <w:r>
              <w:rPr/>
              <w:t> </w:t>
            </w:r>
          </w:p>
        </w:tc>
        <w:tc>
          <w:tcPr>
            <w:tcW w:w="2070" w:type="dxa"/>
            <w:tcBorders/>
            <w:vAlign w:val="center"/>
          </w:tcPr>
          <w:p>
            <w:pPr>
              <w:pStyle w:val="TableContents"/>
              <w:bidi w:val="0"/>
              <w:spacing w:before="0" w:after="0"/>
              <w:ind w:left="0" w:right="0" w:hanging="0"/>
              <w:jc w:val="left"/>
              <w:rPr/>
            </w:pPr>
            <w:r>
              <w:rPr/>
              <w:t> </w:t>
            </w:r>
          </w:p>
        </w:tc>
      </w:tr>
      <w:tr>
        <w:trPr/>
        <w:tc>
          <w:tcPr>
            <w:tcW w:w="206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3681" w:type="dxa"/>
            <w:tcBorders/>
            <w:vAlign w:val="center"/>
          </w:tcPr>
          <w:p>
            <w:pPr>
              <w:pStyle w:val="TableContents"/>
              <w:bidi w:val="0"/>
              <w:spacing w:before="0" w:after="0"/>
              <w:ind w:left="0" w:right="0" w:hanging="0"/>
              <w:jc w:val="left"/>
              <w:rPr/>
            </w:pPr>
            <w:r>
              <w:rPr/>
              <w:t> </w:t>
            </w:r>
          </w:p>
        </w:tc>
        <w:tc>
          <w:tcPr>
            <w:tcW w:w="2066" w:type="dxa"/>
            <w:tcBorders/>
            <w:vAlign w:val="center"/>
          </w:tcPr>
          <w:p>
            <w:pPr>
              <w:pStyle w:val="TableContents"/>
              <w:bidi w:val="0"/>
              <w:spacing w:before="0" w:after="0"/>
              <w:ind w:left="0" w:right="0" w:hanging="0"/>
              <w:jc w:val="left"/>
              <w:rPr/>
            </w:pPr>
            <w:r>
              <w:rPr/>
              <w:t> </w:t>
            </w:r>
          </w:p>
        </w:tc>
        <w:tc>
          <w:tcPr>
            <w:tcW w:w="2070" w:type="dxa"/>
            <w:tcBorders/>
            <w:vAlign w:val="center"/>
          </w:tcPr>
          <w:p>
            <w:pPr>
              <w:pStyle w:val="TableContents"/>
              <w:bidi w:val="0"/>
              <w:spacing w:before="0" w:after="0"/>
              <w:ind w:left="0" w:right="0" w:hanging="0"/>
              <w:jc w:val="left"/>
              <w:rPr/>
            </w:pPr>
            <w:r>
              <w:rPr/>
              <w:t> </w:t>
            </w:r>
          </w:p>
        </w:tc>
      </w:tr>
      <w:tr>
        <w:trPr/>
        <w:tc>
          <w:tcPr>
            <w:tcW w:w="2066" w:type="dxa"/>
            <w:tcBorders/>
            <w:vAlign w:val="center"/>
          </w:tcPr>
          <w:p>
            <w:pPr>
              <w:pStyle w:val="TableContents"/>
              <w:bidi w:val="0"/>
              <w:spacing w:before="0" w:after="0"/>
              <w:ind w:left="0" w:right="0" w:hanging="0"/>
              <w:jc w:val="left"/>
              <w:rPr/>
            </w:pPr>
            <w:r>
              <w:rPr/>
              <w:t> </w:t>
            </w:r>
          </w:p>
        </w:tc>
        <w:tc>
          <w:tcPr>
            <w:tcW w:w="32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681"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Richard Mills</w:t>
            </w:r>
          </w:p>
        </w:tc>
        <w:tc>
          <w:tcPr>
            <w:tcW w:w="2066" w:type="dxa"/>
            <w:tcBorders/>
            <w:vAlign w:val="center"/>
          </w:tcPr>
          <w:p>
            <w:pPr>
              <w:pStyle w:val="TableContents"/>
              <w:bidi w:val="0"/>
              <w:spacing w:before="0" w:after="0"/>
              <w:ind w:left="0" w:right="0" w:hanging="0"/>
              <w:jc w:val="left"/>
              <w:rPr/>
            </w:pPr>
            <w:r>
              <w:rPr/>
              <w:t> </w:t>
            </w:r>
          </w:p>
        </w:tc>
        <w:tc>
          <w:tcPr>
            <w:tcW w:w="2070" w:type="dxa"/>
            <w:tcBorders/>
            <w:vAlign w:val="center"/>
          </w:tcPr>
          <w:p>
            <w:pPr>
              <w:pStyle w:val="TableContents"/>
              <w:bidi w:val="0"/>
              <w:spacing w:before="0" w:after="0"/>
              <w:ind w:left="0" w:right="0" w:hanging="0"/>
              <w:jc w:val="left"/>
              <w:rPr/>
            </w:pPr>
            <w:r>
              <w:rPr/>
              <w:t> </w:t>
            </w:r>
          </w:p>
        </w:tc>
      </w:tr>
      <w:tr>
        <w:trPr/>
        <w:tc>
          <w:tcPr>
            <w:tcW w:w="206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36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Richard Mills</w:t>
            </w:r>
          </w:p>
        </w:tc>
        <w:tc>
          <w:tcPr>
            <w:tcW w:w="2066" w:type="dxa"/>
            <w:tcBorders/>
            <w:vAlign w:val="center"/>
          </w:tcPr>
          <w:p>
            <w:pPr>
              <w:pStyle w:val="TableContents"/>
              <w:bidi w:val="0"/>
              <w:spacing w:before="0" w:after="0"/>
              <w:ind w:left="0" w:right="0" w:hanging="0"/>
              <w:jc w:val="left"/>
              <w:rPr/>
            </w:pPr>
            <w:r>
              <w:rPr/>
              <w:t> </w:t>
            </w:r>
          </w:p>
        </w:tc>
        <w:tc>
          <w:tcPr>
            <w:tcW w:w="2070" w:type="dxa"/>
            <w:tcBorders/>
            <w:vAlign w:val="center"/>
          </w:tcPr>
          <w:p>
            <w:pPr>
              <w:pStyle w:val="TableContents"/>
              <w:bidi w:val="0"/>
              <w:spacing w:before="0" w:after="0"/>
              <w:ind w:left="0" w:right="0" w:hanging="0"/>
              <w:jc w:val="left"/>
              <w:rPr/>
            </w:pPr>
            <w:r>
              <w:rPr/>
              <w:t> </w:t>
            </w:r>
          </w:p>
        </w:tc>
      </w:tr>
      <w:tr>
        <w:trPr/>
        <w:tc>
          <w:tcPr>
            <w:tcW w:w="2066" w:type="dxa"/>
            <w:tcBorders/>
            <w:vAlign w:val="center"/>
          </w:tcPr>
          <w:p>
            <w:pPr>
              <w:pStyle w:val="TableContents"/>
              <w:bidi w:val="0"/>
              <w:spacing w:before="0" w:after="0"/>
              <w:ind w:left="0" w:right="0" w:hanging="0"/>
              <w:jc w:val="left"/>
              <w:rPr/>
            </w:pPr>
            <w:r>
              <w:rPr/>
              <w:t> </w:t>
            </w:r>
          </w:p>
        </w:tc>
        <w:tc>
          <w:tcPr>
            <w:tcW w:w="322" w:type="dxa"/>
            <w:tcBorders/>
            <w:vAlign w:val="center"/>
          </w:tcPr>
          <w:p>
            <w:pPr>
              <w:pStyle w:val="TableContents"/>
              <w:bidi w:val="0"/>
              <w:spacing w:before="0" w:after="0"/>
              <w:ind w:left="0" w:right="0" w:hanging="0"/>
              <w:jc w:val="left"/>
              <w:rPr/>
            </w:pPr>
            <w:r>
              <w:rPr/>
              <w:t> </w:t>
            </w:r>
          </w:p>
        </w:tc>
        <w:tc>
          <w:tcPr>
            <w:tcW w:w="36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Executive Officer</w:t>
            </w:r>
          </w:p>
        </w:tc>
        <w:tc>
          <w:tcPr>
            <w:tcW w:w="2066" w:type="dxa"/>
            <w:tcBorders/>
            <w:vAlign w:val="center"/>
          </w:tcPr>
          <w:p>
            <w:pPr>
              <w:pStyle w:val="TableContents"/>
              <w:bidi w:val="0"/>
              <w:spacing w:before="0" w:after="0"/>
              <w:ind w:left="0" w:right="0" w:hanging="0"/>
              <w:jc w:val="left"/>
              <w:rPr/>
            </w:pPr>
            <w:r>
              <w:rPr/>
              <w:t> </w:t>
            </w:r>
          </w:p>
        </w:tc>
        <w:tc>
          <w:tcPr>
            <w:tcW w:w="2070" w:type="dxa"/>
            <w:tcBorders/>
            <w:vAlign w:val="center"/>
          </w:tcPr>
          <w:p>
            <w:pPr>
              <w:pStyle w:val="TableContents"/>
              <w:bidi w:val="0"/>
              <w:spacing w:before="0" w:after="0"/>
              <w:ind w:left="0" w:right="0" w:hanging="0"/>
              <w:jc w:val="left"/>
              <w:rPr/>
            </w:pPr>
            <w:r>
              <w:rPr/>
              <w:t> </w:t>
            </w:r>
          </w:p>
        </w:tc>
      </w:tr>
    </w:tbl>
    <w:p>
      <w:pPr>
        <w:pStyle w:val="Normal"/>
        <w:bidi w:val="0"/>
        <w:spacing w:before="0" w:after="0"/>
        <w:jc w:val="left"/>
        <w:rPr>
          <w:sz w:val="4"/>
          <w:szCs w:val="4"/>
        </w:rPr>
      </w:pPr>
      <w:r>
        <w:rPr>
          <w:sz w:val="4"/>
          <w:szCs w:val="4"/>
        </w:rPr>
      </w:r>
      <w:bookmarkStart w:id="6" w:name="signature-table1"/>
      <w:bookmarkStart w:id="7" w:name="signature-table1"/>
      <w:bookmarkEnd w:id="7"/>
    </w:p>
    <w:tbl>
      <w:tblPr>
        <w:tblW w:w="3694" w:type="dxa"/>
        <w:jc w:val="left"/>
        <w:tblInd w:w="0" w:type="dxa"/>
        <w:tblLayout w:type="fixed"/>
        <w:tblCellMar>
          <w:top w:w="0" w:type="dxa"/>
          <w:left w:w="0" w:type="dxa"/>
          <w:bottom w:w="0" w:type="dxa"/>
          <w:right w:w="0" w:type="dxa"/>
        </w:tblCellMar>
      </w:tblPr>
      <w:tblGrid>
        <w:gridCol w:w="355"/>
        <w:gridCol w:w="3159"/>
        <w:gridCol w:w="60"/>
        <w:gridCol w:w="60"/>
        <w:gridCol w:w="60"/>
      </w:tblGrid>
      <w:tr>
        <w:trPr/>
        <w:tc>
          <w:tcPr>
            <w:tcW w:w="35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Accepted: As of the date first written above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CRAIG-HALLUM CAPITAL GROUP LLC</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55" w:type="dxa"/>
            <w:tcBorders/>
            <w:vAlign w:val="center"/>
          </w:tcPr>
          <w:p>
            <w:pPr>
              <w:pStyle w:val="TableContents"/>
              <w:bidi w:val="0"/>
              <w:spacing w:before="0" w:after="0"/>
              <w:ind w:left="0" w:right="0" w:hanging="0"/>
              <w:jc w:val="left"/>
              <w:rPr/>
            </w:pPr>
            <w:r>
              <w:rPr/>
              <w:t> </w:t>
            </w:r>
          </w:p>
        </w:tc>
        <w:tc>
          <w:tcPr>
            <w:tcW w:w="315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55" w:type="dxa"/>
            <w:tcBorders/>
            <w:vAlign w:val="center"/>
          </w:tcPr>
          <w:p>
            <w:pPr>
              <w:pStyle w:val="TableContents"/>
              <w:bidi w:val="0"/>
              <w:spacing w:before="0" w:after="0"/>
              <w:ind w:left="0" w:right="0" w:hanging="0"/>
              <w:jc w:val="left"/>
              <w:rPr/>
            </w:pPr>
            <w:r>
              <w:rPr/>
              <w:t> </w:t>
            </w:r>
          </w:p>
        </w:tc>
        <w:tc>
          <w:tcPr>
            <w:tcW w:w="315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159" w:type="dxa"/>
            <w:tcBorders>
              <w:bottom w:val="single" w:sz="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Rick Hartfiel</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55" w:type="dxa"/>
            <w:tcBorders/>
            <w:vAlign w:val="center"/>
          </w:tcPr>
          <w:p>
            <w:pPr>
              <w:pStyle w:val="TableContents"/>
              <w:bidi w:val="0"/>
              <w:spacing w:before="0" w:after="0"/>
              <w:ind w:left="0" w:right="0" w:hanging="0"/>
              <w:jc w:val="left"/>
              <w:rPr/>
            </w:pPr>
            <w:r>
              <w:rPr/>
              <w:t> </w:t>
            </w:r>
          </w:p>
        </w:tc>
        <w:tc>
          <w:tcPr>
            <w:tcW w:w="315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Rick Hartfiel</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355" w:type="dxa"/>
            <w:tcBorders/>
            <w:vAlign w:val="center"/>
          </w:tcPr>
          <w:p>
            <w:pPr>
              <w:pStyle w:val="TableContents"/>
              <w:bidi w:val="0"/>
              <w:spacing w:before="0" w:after="0"/>
              <w:ind w:left="0" w:right="0" w:hanging="0"/>
              <w:jc w:val="left"/>
              <w:rPr/>
            </w:pPr>
            <w:r>
              <w:rPr/>
              <w:t> </w:t>
            </w:r>
          </w:p>
        </w:tc>
        <w:tc>
          <w:tcPr>
            <w:tcW w:w="315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Head of Investment Banking</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8" w:name="ex_982182.htm"/>
      <w:bookmarkStart w:id="9" w:name="ksex_982182"/>
      <w:bookmarkEnd w:id="8"/>
      <w:bookmarkEnd w:id="9"/>
      <w:r>
        <w:rPr>
          <w:rFonts w:ascii="Times New Roman;Times;serif" w:hAnsi="Times New Roman;Times;serif"/>
          <w:b/>
          <w:sz w:val="20"/>
        </w:rPr>
        <w:t>Exhibit 4.1</w:t>
      </w:r>
      <w:r>
        <w:rPr>
          <w:rFonts w:ascii="Times New Roman;Times;serif" w:hAnsi="Times New Roman;Times;serif"/>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PRE-FUNDED PURCHASE WARRANT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CREATIVE REALITIES,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1670"/>
        <w:gridCol w:w="60"/>
        <w:gridCol w:w="2615"/>
      </w:tblGrid>
      <w:tr>
        <w:trPr/>
        <w:tc>
          <w:tcPr>
            <w:tcW w:w="1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 Shares: [__]</w:t>
            </w:r>
          </w:p>
        </w:tc>
        <w:tc>
          <w:tcPr>
            <w:tcW w:w="60"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Initial Exercise Date: [__], 2026</w:t>
            </w:r>
          </w:p>
        </w:tc>
      </w:tr>
      <w:tr>
        <w:trPr/>
        <w:tc>
          <w:tcPr>
            <w:tcW w:w="16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0" w:right="0" w:hanging="0"/>
              <w:jc w:val="left"/>
              <w:rPr/>
            </w:pPr>
            <w:r>
              <w:rPr/>
              <w:t> </w:t>
            </w:r>
          </w:p>
        </w:tc>
      </w:tr>
      <w:tr>
        <w:trPr/>
        <w:tc>
          <w:tcPr>
            <w:tcW w:w="16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6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Issue Date: [__],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PRE-FUNDED PURCHASE WARRANT (the “</w:t>
      </w:r>
      <w:r>
        <w:rPr>
          <w:rFonts w:ascii="Times New Roman" w:hAnsi="Times New Roman"/>
          <w:caps w:val="false"/>
          <w:smallCaps w:val="false"/>
          <w:sz w:val="20"/>
          <w:u w:val="single"/>
        </w:rPr>
        <w:t>Warrant</w:t>
      </w:r>
      <w:r>
        <w:rPr>
          <w:rFonts w:ascii="Times New Roman" w:hAnsi="Times New Roman"/>
          <w:caps w:val="false"/>
          <w:smallCaps w:val="false"/>
          <w:sz w:val="20"/>
        </w:rPr>
        <w:t>”) certifies that, for value received, [_________________] or its assigns (the “</w:t>
      </w:r>
      <w:r>
        <w:rPr>
          <w:rFonts w:ascii="Times New Roman" w:hAnsi="Times New Roman"/>
          <w:caps w:val="false"/>
          <w:smallCaps w:val="false"/>
          <w:sz w:val="20"/>
          <w:u w:val="single"/>
        </w:rPr>
        <w:t>Holder</w:t>
      </w:r>
      <w:r>
        <w:rPr>
          <w:rFonts w:ascii="Times New Roman" w:hAnsi="Times New Roman"/>
          <w:caps w:val="false"/>
          <w:smallCaps w:val="false"/>
          <w:sz w:val="20"/>
        </w:rPr>
        <w:t>”) is entitled, upon the terms and subject to the limitations on exercise and the conditions hereinafter set forth, at any time on or after [__], 2026 (the “</w:t>
      </w:r>
      <w:r>
        <w:rPr>
          <w:rFonts w:ascii="Times New Roman" w:hAnsi="Times New Roman"/>
          <w:caps w:val="false"/>
          <w:smallCaps w:val="false"/>
          <w:sz w:val="20"/>
          <w:u w:val="single"/>
        </w:rPr>
        <w:t>Initial Exercise Date</w:t>
      </w:r>
      <w:r>
        <w:rPr>
          <w:rFonts w:ascii="Times New Roman" w:hAnsi="Times New Roman"/>
          <w:caps w:val="false"/>
          <w:smallCaps w:val="false"/>
          <w:sz w:val="20"/>
        </w:rPr>
        <w:t>”) and until this Warrant is exercised in full (the “</w:t>
      </w:r>
      <w:r>
        <w:rPr>
          <w:rFonts w:ascii="Times New Roman" w:hAnsi="Times New Roman"/>
          <w:caps w:val="false"/>
          <w:smallCaps w:val="false"/>
          <w:sz w:val="20"/>
          <w:u w:val="single"/>
        </w:rPr>
        <w:t>Termination Date</w:t>
      </w:r>
      <w:r>
        <w:rPr>
          <w:rFonts w:ascii="Times New Roman" w:hAnsi="Times New Roman"/>
          <w:caps w:val="false"/>
          <w:smallCaps w:val="false"/>
          <w:sz w:val="20"/>
        </w:rPr>
        <w:t>”), but not thereafter, to subscribe for and purchase from Creative Realities, Inc., a Minnesota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up to [__] shares of the Company’s common stock, par value $0.01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(as subject to adjustment hereunder, the “</w:t>
      </w:r>
      <w:r>
        <w:rPr>
          <w:rFonts w:ascii="Times New Roman" w:hAnsi="Times New Roman"/>
          <w:caps w:val="false"/>
          <w:smallCaps w:val="false"/>
          <w:sz w:val="20"/>
          <w:u w:val="single"/>
        </w:rPr>
        <w:t>Warrant Shares</w:t>
      </w:r>
      <w:r>
        <w:rPr>
          <w:rFonts w:ascii="Times New Roman" w:hAnsi="Times New Roman"/>
          <w:caps w:val="false"/>
          <w:smallCaps w:val="false"/>
          <w:sz w:val="20"/>
        </w:rPr>
        <w:t>”). This Warrant was issued pursuant to Section 2 of that certain Underwriting Agreement, dated as of June 29, 2026, by and between the Company and Craig-Hallum Capital Group LLC (as may be amended, amended and restated, supplemented or otherwise modified from time to time in accordance with its terms, the “</w:t>
      </w:r>
      <w:r>
        <w:rPr>
          <w:rFonts w:ascii="Times New Roman" w:hAnsi="Times New Roman"/>
          <w:caps w:val="false"/>
          <w:smallCaps w:val="false"/>
          <w:sz w:val="20"/>
          <w:u w:val="single"/>
        </w:rPr>
        <w:t>Underwriting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1</w:t>
      </w:r>
      <w:r>
        <w:rPr>
          <w:rFonts w:ascii="Times New Roman" w:hAnsi="Times New Roman"/>
          <w:caps w:val="false"/>
          <w:smallCaps w:val="false"/>
          <w:sz w:val="20"/>
        </w:rPr>
        <w:t xml:space="preserve">. </w:t>
      </w:r>
      <w:r>
        <w:rPr>
          <w:rFonts w:ascii="Times New Roman" w:hAnsi="Times New Roman"/>
          <w:caps w:val="false"/>
          <w:smallCaps w:val="false"/>
          <w:sz w:val="20"/>
          <w:u w:val="single"/>
        </w:rPr>
        <w:t>Definitions</w:t>
      </w:r>
      <w:r>
        <w:rPr>
          <w:rFonts w:ascii="Times New Roman" w:hAnsi="Times New Roman"/>
          <w:caps w:val="false"/>
          <w:smallCaps w:val="false"/>
          <w:sz w:val="20"/>
        </w:rPr>
        <w:t>. Capitalized terms used and not otherwise defined herein shall have the meanings set forth in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2</w:t>
      </w:r>
      <w:r>
        <w:rPr>
          <w:rFonts w:ascii="Times New Roman" w:hAnsi="Times New Roman"/>
          <w:caps w:val="false"/>
          <w:smallCaps w:val="false"/>
          <w:sz w:val="20"/>
        </w:rPr>
        <w:t xml:space="preserve">. </w:t>
      </w:r>
      <w:r>
        <w:rPr>
          <w:rFonts w:ascii="Times New Roman" w:hAnsi="Times New Roman"/>
          <w:caps w:val="false"/>
          <w:smallCaps w:val="false"/>
          <w:sz w:val="20"/>
          <w:u w:val="single"/>
        </w:rPr>
        <w:t>Exercise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197"/>
        <w:gridCol w:w="9847"/>
      </w:tblGrid>
      <w:tr>
        <w:trPr/>
        <w:tc>
          <w:tcPr>
            <w:tcW w:w="161"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8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Exercise of Warrant</w:t>
            </w:r>
            <w:r>
              <w:rPr>
                <w:rFonts w:ascii="Times New Roman" w:hAnsi="Times New Roman"/>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hAnsi="Times New Roman"/>
                <w:caps w:val="false"/>
                <w:smallCaps w:val="false"/>
                <w:sz w:val="20"/>
                <w:u w:val="single"/>
              </w:rPr>
              <w:t>Notice of Exercise</w:t>
            </w:r>
            <w:r>
              <w:rPr>
                <w:rFonts w:ascii="Times New Roman" w:hAnsi="Times New Roman"/>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unpaid portion of the aggregate Exercise Price for the Warrant Shares specified in the applicable Notice of Exercise by wire transfer or cashier’s check drawn on a United States bank, in either case in immediately available funds,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Notwithstanding the foregoing, with respect to any Notice(s) of Exercise delivered on or prior to 4:00 p.m. (New York City time) on the Trading Date prior to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 </w:t>
            </w:r>
            <w:r>
              <w:rPr>
                <w:rFonts w:ascii="Times New Roman" w:hAnsi="Times New Roman"/>
                <w:b/>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caps w:val="false"/>
                <w:smallCaps w:val="false"/>
                <w:sz w:val="20"/>
              </w:rPr>
              <w:t> “</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other than Saturday, Sunday or other day on which commercial banks in The City of New York are authorized or required by law to remain closed;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0"/>
              <w:ind w:left="0" w:right="0" w:hanging="0"/>
              <w:jc w:val="left"/>
              <w:rPr/>
            </w:pPr>
            <w:r>
              <w:rPr/>
              <w:t> </w:t>
            </w:r>
          </w:p>
        </w:tc>
        <w:tc>
          <w:tcPr>
            <w:tcW w:w="1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Exercise Price</w:t>
            </w:r>
            <w:r>
              <w:rPr>
                <w:rFonts w:ascii="Times New Roman" w:hAnsi="Times New Roman"/>
                <w:caps w:val="false"/>
                <w:smallCaps w:val="false"/>
                <w:sz w:val="20"/>
              </w:rPr>
              <w:t>. The aggregate exercise price of this Warrant, except for a nominal exercise price of $0.01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hAnsi="Times New Roman"/>
                <w:caps w:val="false"/>
                <w:smallCaps w:val="false"/>
                <w:sz w:val="20"/>
                <w:u w:val="single"/>
              </w:rPr>
              <w:t>Exercise Price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0"/>
              <w:ind w:left="0" w:right="0" w:hanging="0"/>
              <w:jc w:val="left"/>
              <w:rPr/>
            </w:pPr>
            <w:r>
              <w:rPr/>
              <w:t> </w:t>
            </w:r>
          </w:p>
        </w:tc>
        <w:tc>
          <w:tcPr>
            <w:tcW w:w="1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Cashless Exercise</w:t>
            </w:r>
            <w:r>
              <w:rPr>
                <w:rFonts w:ascii="Times New Roman" w:hAnsi="Times New Roman"/>
                <w:caps w:val="false"/>
                <w:smallCaps w:val="false"/>
                <w:sz w:val="20"/>
              </w:rPr>
              <w:t>. This Warrant may also be exercised, in whole or in part, at such time by means of a “cashless exercise” in which the Holder shall be entitled to receive a number of Warrant Shares determined according to the following formula: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Net Number = </w:t>
      </w:r>
      <w:r>
        <w:rPr>
          <w:rFonts w:ascii="Times New Roman" w:hAnsi="Times New Roman"/>
          <w:caps w:val="false"/>
          <w:smallCaps w:val="false"/>
          <w:sz w:val="20"/>
          <w:u w:val="single"/>
        </w:rPr>
        <w:t>(A x B) - (A x C)</w:t>
      </w:r>
      <w:r>
        <w:rPr>
          <w:rFonts w:ascii="Times New Roman" w:hAnsi="Times New Roman"/>
          <w:caps w:val="false"/>
          <w:smallCaps w:val="false"/>
          <w:sz w:val="20"/>
        </w:rPr>
        <w:t xml:space="preserve"> </w:t>
      </w:r>
    </w:p>
    <w:p>
      <w:pPr>
        <w:pStyle w:val="TextBody"/>
        <w:bidi w:val="0"/>
        <w:spacing w:before="0" w:after="0"/>
        <w:ind w:left="2880" w:right="0" w:hanging="0"/>
        <w:jc w:val="both"/>
        <w:rPr>
          <w:rFonts w:ascii="Times New Roman" w:hAnsi="Times New Roman"/>
          <w:caps w:val="false"/>
          <w:smallCaps w:val="false"/>
          <w:sz w:val="20"/>
        </w:rPr>
      </w:pPr>
      <w:r>
        <w:rPr>
          <w:rFonts w:ascii="Times New Roman" w:hAnsi="Times New Roman"/>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the foregoing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 = the total number of Warrant Shares with respect to which this Warrant is then being exercised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 = as applicable: (i) the VWAP on the Trading Day immediately preceding the date on which the Holder delivers a duly executed copy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VWAP on the Trading Day immediately preceding the date of the applicable Notice of Exercise if such Notice of Exercise is delivered pursuant to Section 2(a) hereof during “regular trading hours” on a Trading Day or within two (2) hours thereafter, or (iii) the VWAP on the date on which the Holder delivers a duly executed copy of the applicable Notice of Exercise if the delivery date of such Notice of Exercise is a Trading Day and such Notice of Exercise is delivered pursuant to Section 2(a) hereof after two (2) hours following the close of “regular trading hours” on such Trading Day; and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 = the Exercise Price then in effect for the applicable Warrant Shares at the time of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Warrant Shares are issued in a cashless exercise other than pursuant to an effective registration statement, the parties hereto acknowledge and agree that, to the extent such issuance is made pursuant to Section 3(a)(9) of the Securities Act, the Warrant Shares shall take on the characteristics of this Warrant for purposes of Rule 144 promulgated under the Securities Act, and the holding period of this Warrant may be tacked onto the holding period of the Warrant Shares being issued. The Company agrees not to take any position contrary to this Section 2(c) when such tacking is available under applicable law. Nothing in this Section 2(c) shall be construed to limit issuance of Warrant Shares pursuant to an effective registration statement. Notwithstanding anything to the contrary, without limiting the rights of the Holder to receive cash payments pursuant to Section 2(d)(i) and Section 2(d)(iv) herein and the right of the Holder to exercise this Warrant on a “cashless exercise” basis pursuant to this Section 2(c), no provision of this Warrant shall require the Company to make any cash payments or net cash settle this Warrant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Trading Market</w:t>
      </w:r>
      <w:r>
        <w:rPr>
          <w:rFonts w:ascii="Times New Roman" w:hAnsi="Times New Roman"/>
          <w:caps w:val="false"/>
          <w:smallCaps w:val="false"/>
          <w:sz w:val="20"/>
        </w:rPr>
        <w:t>” means any of the following markets or exchanges on which the shares of Common Stock are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VWAP</w:t>
      </w:r>
      <w:r>
        <w:rPr>
          <w:rFonts w:ascii="Times New Roman" w:hAnsi="Times New Roman"/>
          <w:caps w:val="false"/>
          <w:smallCaps w:val="false"/>
          <w:sz w:val="20"/>
        </w:rPr>
        <w:t>” means, for any date, the price determined by the first of the following clauses that applies: (a) if the shares of Common Stock are then listed or quoted on a Trading Market, the daily volume weighted average price of the shares of Common Stock for such date (or the nearest preceding date) on the Trading Market on which the shares of Common Stock are then listed or quoted as reported by Bloomberg L.P. (based on a Trading Day from 9:30 a.m. (New York City time) to 4:02 p.m. (New York City time)), (b) if OTCQB or OTCQX is not a Trading Market, the volume weighted average price of the shares of Common Stock for such date (or the nearest preceding date) on OTCQB or OTCQX as applicable, (c) if the shares of Common Stock are not then listed or quoted for trading on OTCQB or OTCQX and if prices for the shares of Common Stock are then reported on the Pink Open Market (or a similar organization or agency succeeding to its functions of reporting prices), the most recent bid price per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herein to the contrary, on the Termination Date, this Warrant shall be automatically exercised via cashless exercise pursuant to this Section 2(c) as if the Notice of Exercise was executed and delivered after the closing of “regular trading hours” on the Termination Date.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140" w:type="dxa"/>
        <w:jc w:val="left"/>
        <w:tblInd w:w="0" w:type="dxa"/>
        <w:tblLayout w:type="fixed"/>
        <w:tblCellMar>
          <w:top w:w="0" w:type="dxa"/>
          <w:left w:w="0" w:type="dxa"/>
          <w:bottom w:w="0" w:type="dxa"/>
          <w:right w:w="0" w:type="dxa"/>
        </w:tblCellMar>
      </w:tblPr>
      <w:tblGrid>
        <w:gridCol w:w="60"/>
        <w:gridCol w:w="185"/>
        <w:gridCol w:w="1895"/>
      </w:tblGrid>
      <w:tr>
        <w:trPr/>
        <w:tc>
          <w:tcPr>
            <w:tcW w:w="6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Mechanics of Exercise</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Delivery of Warrant Shares Upon Exercise</w:t>
            </w:r>
            <w:r>
              <w:rPr>
                <w:rFonts w:ascii="Times New Roman" w:hAnsi="Times New Roman"/>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hAnsi="Times New Roman"/>
                <w:caps w:val="false"/>
                <w:smallCaps w:val="false"/>
                <w:sz w:val="20"/>
                <w:u w:val="single"/>
              </w:rPr>
              <w:t>DWAC</w:t>
            </w:r>
            <w:r>
              <w:rPr>
                <w:rFonts w:ascii="Times New Roman" w:hAnsi="Times New Roman"/>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subject to receipt from the Holder by the Company and the Transfer Agent of customary representations reasonably acceptable to the Company and the Transfer Agent in connection with such request, and otherwise by physical delivery of a certificate (or an account statement reflecting shares of Common Stock)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Trading Day after the delivery to the Company of the Notice of Exercise, and (ii) the number of Trading Days comprising the Standard Settlement Period after the delivery to the Company of the Notice of Exercise, in either case, provided that payment of the aggregate Exercise Price (other than in the instance of a cashless exercise) is received by the Company by such date (such date, the “</w:t>
            </w:r>
            <w:r>
              <w:rPr>
                <w:rFonts w:ascii="Times New Roman" w:hAnsi="Times New Roman"/>
                <w:caps w:val="false"/>
                <w:smallCaps w:val="false"/>
                <w:sz w:val="20"/>
                <w:u w:val="single"/>
              </w:rPr>
              <w:t>Warrant Share Delivery Date</w:t>
            </w:r>
            <w:r>
              <w:rPr>
                <w:rFonts w:ascii="Times New Roman" w:hAnsi="Times New Roman"/>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on or prior to the Warrant Share Delivery Date. If the Company fails for any reason to deliver to the Holder the Warrant Shares subject to a Notice of Exercise by the Warrant Share Delivery Date, provided that payment of the aggregate Exercise Price (other than in the instance of a cashless exercise) is received by the Company on or prior to the Warrant Share Delivery Date, the Company shall pay to the Holder, in cash, as liquidated damages and not as a penalty, for each $1,000 of Warrant Shares subject to such exercise (based on the VWAP of the Common Stock on the delivery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hAnsi="Times New Roman"/>
                <w:caps w:val="false"/>
                <w:smallCaps w:val="false"/>
                <w:sz w:val="20"/>
                <w:u w:val="single"/>
              </w:rPr>
              <w:t>Standard Settlement Period</w:t>
            </w:r>
            <w:r>
              <w:rPr>
                <w:rFonts w:ascii="Times New Roman" w:hAnsi="Times New Roman"/>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anything to the contrary contained herein,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ii.</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Delivery of New Warrants Upon Exercise</w:t>
            </w:r>
            <w:r>
              <w:rPr>
                <w:rFonts w:ascii="Times New Roman" w:hAnsi="Times New Roman"/>
                <w:caps w:val="false"/>
                <w:smallCaps w:val="false"/>
                <w:sz w:val="20"/>
              </w:rPr>
              <w:t>. If this Warrant shall have been exercised in part, the Company shall, at the request of a Holder and upon surrender of this Warrant certificate, at the time of delivery of the Warrant Shares or as promptly as practicable thereafter, deliver to the Holder a new Warrant evidencing the rights of the Holder to purchase the unpurchased Warrant Shares called for by this Warrant, which new Warrant shall in all other respects be identical with this Warrant.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iii.</w:t>
            </w:r>
          </w:p>
        </w:tc>
        <w:tc>
          <w:tcPr>
            <w:tcW w:w="9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Rescission Rights</w:t>
            </w:r>
            <w:r>
              <w:rPr>
                <w:rFonts w:ascii="Times New Roman" w:hAnsi="Times New Roman"/>
                <w:caps w:val="false"/>
                <w:smallCaps w:val="false"/>
                <w:sz w:val="20"/>
              </w:rPr>
              <w:t>. If the Company fails to cause Computershare Limited, or the then current transfer agent of the Company (the “</w:t>
            </w:r>
            <w:r>
              <w:rPr>
                <w:rFonts w:ascii="Times New Roman" w:hAnsi="Times New Roman"/>
                <w:caps w:val="false"/>
                <w:smallCaps w:val="false"/>
                <w:sz w:val="20"/>
                <w:u w:val="single"/>
              </w:rPr>
              <w:t>Transfer Agent</w:t>
            </w:r>
            <w:r>
              <w:rPr>
                <w:rFonts w:ascii="Times New Roman" w:hAnsi="Times New Roman"/>
                <w:caps w:val="false"/>
                <w:smallCaps w:val="false"/>
                <w:sz w:val="20"/>
              </w:rPr>
              <w:t>”) to transmit to the Holder the Warrant Shares pursuant to Section 2(d)(i) by the Warrant Share Delivery Date, then the Holder will have the right to rescind such exercise by delivering written notice (which may be by email) to the Company at any time prior to the delivery of such Warrant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iv.</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Compensation for Buy-In on Failure to Timely Deliver Warrant Shares Upon Exercise</w:t>
            </w:r>
            <w:r>
              <w:rPr>
                <w:rFonts w:ascii="Times New Roman" w:hAnsi="Times New Roman"/>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solely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caps w:val="false"/>
                <w:smallCaps w:val="false"/>
                <w:sz w:val="20"/>
                <w:u w:val="single"/>
              </w:rPr>
              <w:t>Buy-In</w:t>
            </w:r>
            <w:r>
              <w:rPr>
                <w:rFonts w:ascii="Times New Roman" w:hAnsi="Times New Roman"/>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for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Fractional Shares or Scrip</w:t>
            </w:r>
            <w:r>
              <w:rPr>
                <w:rFonts w:ascii="Times New Roman" w:hAnsi="Times New Roman"/>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vi.</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Charges, Taxes and Expenses</w:t>
            </w:r>
            <w:r>
              <w:rPr>
                <w:rFonts w:ascii="Times New Roman" w:hAnsi="Times New Roman"/>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90"/>
        <w:gridCol w:w="9855"/>
      </w:tblGrid>
      <w:tr>
        <w:trPr/>
        <w:tc>
          <w:tcPr>
            <w:tcW w:w="60"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vii.</w:t>
            </w:r>
          </w:p>
        </w:tc>
        <w:tc>
          <w:tcPr>
            <w:tcW w:w="98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Closing of Books</w:t>
            </w:r>
            <w:r>
              <w:rPr>
                <w:rFonts w:ascii="Times New Roman" w:hAnsi="Times New Roman"/>
                <w:caps w:val="false"/>
                <w:smallCaps w:val="false"/>
                <w:sz w:val="20"/>
              </w:rPr>
              <w:t>. The Company will not close its stockholder books or records in any manner which prevents the timely exercise of this Warrant, pursuant to the terms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1"/>
        <w:gridCol w:w="10034"/>
      </w:tblGrid>
      <w:tr>
        <w:trPr/>
        <w:tc>
          <w:tcPr>
            <w:tcW w:w="60"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Holder’s Exercise Limitations</w:t>
            </w:r>
            <w:r>
              <w:rPr>
                <w:rFonts w:ascii="Times New Roman" w:hAnsi="Times New Roman"/>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hAnsi="Times New Roman"/>
                <w:caps w:val="false"/>
                <w:smallCaps w:val="false"/>
                <w:sz w:val="20"/>
                <w:u w:val="single"/>
              </w:rPr>
              <w:t>Attribution Parties</w:t>
            </w:r>
            <w:r>
              <w:rPr>
                <w:rFonts w:ascii="Times New Roman" w:hAnsi="Times New Roman"/>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hAnsi="Times New Roman"/>
                <w:caps w:val="false"/>
                <w:smallCaps w:val="false"/>
                <w:sz w:val="20"/>
                <w:u w:val="single"/>
              </w:rPr>
              <w:t>Beneficial Ownership Limitation</w:t>
            </w:r>
            <w:r>
              <w:rPr>
                <w:rFonts w:ascii="Times New Roman" w:hAnsi="Times New Roman"/>
                <w:caps w:val="false"/>
                <w:smallCaps w:val="false"/>
                <w:sz w:val="20"/>
              </w:rPr>
              <w:t>” shall be 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 or decrease in the Beneficial Ownership Limitation will not be effective until the sixty-first (61</w:t>
            </w:r>
            <w:r>
              <w:rPr>
                <w:rFonts w:ascii="Times New Roman" w:hAnsi="Times New Roman"/>
                <w:caps w:val="false"/>
                <w:smallCaps w:val="false"/>
                <w:position w:val="7"/>
                <w:sz w:val="16"/>
                <w:sz w:val="20"/>
              </w:rPr>
              <w:t>st</w:t>
            </w:r>
            <w:r>
              <w:rPr>
                <w:rFonts w:ascii="Times New Roman" w:hAnsi="Times New Roman"/>
                <w:caps w:val="false"/>
                <w:smallCaps w:val="false"/>
                <w:sz w:val="20"/>
              </w:rPr>
              <w: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360" w:right="0" w:firstLine="36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Affiliates and any other Persons whose beneficial ownership of Common Stock would be aggregated with the Holder’s for purposes of Section 13(d) of the Exchange Act and the rules and regulations promulgated thereunder, including any “group” of which the Holder is a member, to exceed 19.99%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19.99% of the combined voting power of all of the securities of the Company then outstanding following such exercise, in each case unless Company shareholder approval is obtained to exceed more than such 19.99% of the total number of issued and outstanding shares of Common Stock of the Company following such exercise in accordance with the rules of The Nasdaq Stock Market. For purposes of this Section 2(e),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3</w:t>
      </w:r>
      <w:r>
        <w:rPr>
          <w:rFonts w:ascii="Times New Roman" w:hAnsi="Times New Roman"/>
          <w:caps w:val="false"/>
          <w:smallCaps w:val="false"/>
          <w:sz w:val="20"/>
        </w:rPr>
        <w:t xml:space="preserve">. </w:t>
      </w:r>
      <w:r>
        <w:rPr>
          <w:rFonts w:ascii="Times New Roman" w:hAnsi="Times New Roman"/>
          <w:caps w:val="false"/>
          <w:smallCaps w:val="false"/>
          <w:sz w:val="20"/>
          <w:u w:val="single"/>
        </w:rPr>
        <w:t>Certain Adjustments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4"/>
        <w:gridCol w:w="10031"/>
      </w:tblGrid>
      <w:tr>
        <w:trPr/>
        <w:tc>
          <w:tcPr>
            <w:tcW w:w="60" w:type="dxa"/>
            <w:tcBorders/>
            <w:vAlign w:val="center"/>
          </w:tcPr>
          <w:p>
            <w:pPr>
              <w:pStyle w:val="TableContents"/>
              <w:bidi w:val="0"/>
              <w:spacing w:before="0" w:after="0"/>
              <w:ind w:left="0" w:right="0" w:hanging="0"/>
              <w:jc w:val="left"/>
              <w:rPr/>
            </w:pPr>
            <w:r>
              <w:rPr/>
              <w:t> </w:t>
            </w:r>
          </w:p>
        </w:tc>
        <w:tc>
          <w:tcPr>
            <w:tcW w:w="1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Stock Dividends and Splits</w:t>
            </w:r>
            <w:r>
              <w:rPr>
                <w:rFonts w:ascii="Times New Roman" w:hAnsi="Times New Roman"/>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of Common Stock,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495" w:type="dxa"/>
        <w:jc w:val="left"/>
        <w:tblInd w:w="0" w:type="dxa"/>
        <w:tblLayout w:type="fixed"/>
        <w:tblCellMar>
          <w:top w:w="0" w:type="dxa"/>
          <w:left w:w="0" w:type="dxa"/>
          <w:bottom w:w="0" w:type="dxa"/>
          <w:right w:w="0" w:type="dxa"/>
        </w:tblCellMar>
      </w:tblPr>
      <w:tblGrid>
        <w:gridCol w:w="60"/>
        <w:gridCol w:w="185"/>
        <w:gridCol w:w="1250"/>
      </w:tblGrid>
      <w:tr>
        <w:trPr/>
        <w:tc>
          <w:tcPr>
            <w:tcW w:w="6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2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u w:val="single"/>
              </w:rPr>
              <w:t>[RESERVED</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4"/>
        <w:gridCol w:w="10031"/>
      </w:tblGrid>
      <w:tr>
        <w:trPr/>
        <w:tc>
          <w:tcPr>
            <w:tcW w:w="60" w:type="dxa"/>
            <w:tcBorders/>
            <w:vAlign w:val="center"/>
          </w:tcPr>
          <w:p>
            <w:pPr>
              <w:pStyle w:val="TableContents"/>
              <w:bidi w:val="0"/>
              <w:spacing w:before="0" w:after="0"/>
              <w:ind w:left="0" w:right="0" w:hanging="0"/>
              <w:jc w:val="left"/>
              <w:rPr/>
            </w:pPr>
            <w:r>
              <w:rPr/>
              <w:t> </w:t>
            </w:r>
          </w:p>
        </w:tc>
        <w:tc>
          <w:tcPr>
            <w:tcW w:w="1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Subsequent Rights Offerings</w:t>
            </w:r>
            <w:r>
              <w:rPr>
                <w:rFonts w:ascii="Times New Roman" w:hAnsi="Times New Roman"/>
                <w:caps w:val="false"/>
                <w:smallCaps w:val="false"/>
                <w:sz w:val="20"/>
              </w:rPr>
              <w:t>. In addition to (but without duplication of)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caps w:val="false"/>
                <w:smallCaps w:val="false"/>
                <w:sz w:val="20"/>
                <w:u w:val="single"/>
              </w:rPr>
              <w:t>Purchase Rights</w:t>
            </w:r>
            <w:r>
              <w:rPr>
                <w:rFonts w:ascii="Times New Roman" w:hAnsi="Times New Roman"/>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0"/>
              <w:ind w:left="0" w:right="0" w:hanging="0"/>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 Rata Distributions</w:t>
            </w:r>
            <w:r>
              <w:rPr>
                <w:rFonts w:ascii="Times New Roman" w:hAnsi="Times New Roman"/>
                <w:caps w:val="false"/>
                <w:smallCaps w:val="false"/>
                <w:sz w:val="20"/>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aps w:val="false"/>
                <w:smallCaps w:val="false"/>
                <w:sz w:val="20"/>
                <w:u w:val="single"/>
              </w:rPr>
              <w:t>Distribution</w:t>
            </w:r>
            <w:r>
              <w:rPr>
                <w:rFonts w:ascii="Times New Roman" w:hAnsi="Times New Roman"/>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1"/>
        <w:gridCol w:w="10034"/>
      </w:tblGrid>
      <w:tr>
        <w:trPr/>
        <w:tc>
          <w:tcPr>
            <w:tcW w:w="60" w:type="dxa"/>
            <w:tcBorders/>
            <w:vAlign w:val="center"/>
          </w:tcPr>
          <w:p>
            <w:pPr>
              <w:pStyle w:val="TableContents"/>
              <w:bidi w:val="0"/>
              <w:spacing w:before="0" w:after="0"/>
              <w:ind w:left="0" w:right="0" w:hanging="0"/>
              <w:jc w:val="left"/>
              <w:rPr/>
            </w:pPr>
            <w:r>
              <w:rPr/>
              <w:t> </w:t>
            </w:r>
          </w:p>
        </w:tc>
        <w:tc>
          <w:tcPr>
            <w:tcW w:w="1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Fundamental Transaction</w:t>
            </w:r>
            <w:r>
              <w:rPr>
                <w:rFonts w:ascii="Times New Roman" w:hAnsi="Times New Roman"/>
                <w:caps w:val="false"/>
                <w:smallCaps w:val="false"/>
                <w:sz w:val="20"/>
              </w:rPr>
              <w:t>. If, at any time while this Warrant is outstanding, (i) the Company, directly or indirectly, in one or more related transactions effects any merger or consolidation of the Company with or into another Person (other than for the purpose of changing the Company’s name and/or the jurisdiction of incorporation of the Company to a different state, or a holding company for the Company or a similar transaction pursuant to which the surviving company remains a public company), (ii) the Company (and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the outstanding equity securities of the Company having voting power, including the power to vote on the election of directors of the Company, are permitted to sell, tender or exchange their securities for other securities, cash or property and has been accepted by the holders of outstanding equity securities representing more than 50% of the aggregate voting power, including the power to vote on the election of directors of the Company, of the issued and outstanding equity securities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securities representing more than 50% of the aggregate voting power, including the power to vote on the election of directors of the Company, of the issued and outstanding shares equity securities of the Company (not including any securities held by the other Person or other Persons making or party to, or associated or affiliated with the other Persons making or party to, such stock or share purchase agreement or other business combination) and in connection with such transaction the Common Stock is converted into or exchanged for other securities, cash or property (each a “</w:t>
            </w:r>
            <w:r>
              <w:rPr>
                <w:rFonts w:ascii="Times New Roman" w:hAnsi="Times New Roman"/>
                <w:caps w:val="false"/>
                <w:smallCaps w:val="false"/>
                <w:sz w:val="20"/>
                <w:u w:val="single"/>
              </w:rPr>
              <w:t>Fundamental Transaction</w:t>
            </w:r>
            <w:r>
              <w:rPr>
                <w:rFonts w:ascii="Times New Roman" w:hAnsi="Times New Roman"/>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securities, cash and other property of the successor or acquiring corporation (or ultimate parent company thereof) or of the Company, if it is the surviving corporation, as applicable (the “</w:t>
            </w:r>
            <w:r>
              <w:rPr>
                <w:rFonts w:ascii="Times New Roman" w:hAnsi="Times New Roman"/>
                <w:caps w:val="false"/>
                <w:smallCaps w:val="false"/>
                <w:sz w:val="20"/>
                <w:u w:val="single"/>
              </w:rPr>
              <w:t>Alternate Consideration</w:t>
            </w:r>
            <w:r>
              <w:rPr>
                <w:rFonts w:ascii="Times New Roman" w:hAnsi="Times New Roman"/>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caps w:val="false"/>
                <w:smallCaps w:val="false"/>
                <w:sz w:val="20"/>
                <w:u w:val="single"/>
              </w:rPr>
              <w:t>Successor Entity</w:t>
            </w:r>
            <w:r>
              <w:rPr>
                <w:rFonts w:ascii="Times New Roman" w:hAnsi="Times New Roman"/>
                <w:caps w:val="false"/>
                <w:smallCaps w:val="false"/>
                <w:sz w:val="20"/>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the Alternate Consideration, and with an exercise price which applies the exercise price hereunder to such Alternate Consideration (but taking into account the relative value of the shares of Common Stock pursuant to such Fundamental Transaction and the value of such Alternate Consideration,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Underwriting Agreement referring to the “Company” shall refer instead to the Successor Entity), and may exercise every right and power of the Company and shall assume all of the obligations of the Company under this Warrant and the Underwriting Agreement with the same effect as if such Successor Entity had been named as the Company herein.</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98"/>
        <w:gridCol w:w="10047"/>
      </w:tblGrid>
      <w:tr>
        <w:trPr/>
        <w:tc>
          <w:tcPr>
            <w:tcW w:w="60" w:type="dxa"/>
            <w:tcBorders/>
            <w:vAlign w:val="center"/>
          </w:tcPr>
          <w:p>
            <w:pPr>
              <w:pStyle w:val="TableContents"/>
              <w:bidi w:val="0"/>
              <w:spacing w:before="0" w:after="0"/>
              <w:ind w:left="0" w:right="0" w:hanging="0"/>
              <w:jc w:val="left"/>
              <w:rPr/>
            </w:pPr>
            <w:r>
              <w:rPr/>
              <w:t> </w:t>
            </w:r>
          </w:p>
        </w:tc>
        <w:tc>
          <w:tcPr>
            <w:tcW w:w="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Calculations</w:t>
            </w:r>
            <w:r>
              <w:rPr>
                <w:rFonts w:ascii="Times New Roman" w:hAnsi="Times New Roman"/>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185"/>
        <w:gridCol w:w="1475"/>
      </w:tblGrid>
      <w:tr>
        <w:trPr/>
        <w:tc>
          <w:tcPr>
            <w:tcW w:w="6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1475"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u w:val="single"/>
              </w:rPr>
              <w:t>Notice to Holder</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Adjustment to Exercise Price</w:t>
            </w:r>
            <w:r>
              <w:rPr>
                <w:rFonts w:ascii="Times New Roman" w:hAnsi="Times New Roman"/>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ii.</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Notice to Allow Exercise by Holder</w:t>
            </w:r>
            <w:r>
              <w:rPr>
                <w:rFonts w:ascii="Times New Roman" w:hAnsi="Times New Roman"/>
                <w:caps w:val="false"/>
                <w:smallCaps w:val="false"/>
                <w:sz w:val="20"/>
              </w:rPr>
              <w:t>. If (A) the Company shall declare a dividend (or any other distribution in whatever form) on the shares of Common Stock, (B) the Company shall declare a special nonrecurring cash dividend on or a redemption of the shares of Common Stock, (C) the Company shall authorize the granting to all holders of the shares of Common Stock rights or warrants to subscribe for or purchase any capital stock of any class or of any rights, (D) the approval of any stockholders of the Company shall be required in connection with any reclassification of the shares of Common Stock, any consolidation or merger to which the Company is a party, any sale or transfer of all or substantially all of the assets of the Company, or any compulsory share exchange whereby the shares of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five (5)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stock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stock exchange; provided that the failure to deliver such notice or any defect therein or in the delivery thereof shall not affect the validity of the corporate action required to be specified in such notice and provided further, that no notice shall be required if the information is disseminated in a press release or document publicly filed with the Commission. To the extent that any notice provided in this Warrant constitutes, or contains, material, non-public information regarding the Company,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iii.</w:t>
            </w:r>
          </w:p>
        </w:tc>
        <w:tc>
          <w:tcPr>
            <w:tcW w:w="9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Voluntary Adjustments by the Company</w:t>
            </w:r>
            <w:r>
              <w:rPr>
                <w:rFonts w:ascii="Times New Roman" w:hAnsi="Times New Roman"/>
                <w:caps w:val="false"/>
                <w:smallCaps w:val="false"/>
                <w:sz w:val="20"/>
              </w:rPr>
              <w:t>. The Company may, subject to the rules and regulations of the Trading Market, at any time during the term of this Warrant, reduce the then current Exercise Price to any amount and extend the term of this Warrant for any period of time deemed appropriate by the Board of Directors of the Company, with the prior written consent of the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4</w:t>
      </w:r>
      <w:r>
        <w:rPr>
          <w:rFonts w:ascii="Times New Roman" w:hAnsi="Times New Roman"/>
          <w:caps w:val="false"/>
          <w:smallCaps w:val="false"/>
          <w:sz w:val="20"/>
        </w:rPr>
        <w:t xml:space="preserve">. </w:t>
      </w:r>
      <w:r>
        <w:rPr>
          <w:rFonts w:ascii="Times New Roman" w:hAnsi="Times New Roman"/>
          <w:caps w:val="false"/>
          <w:smallCaps w:val="false"/>
          <w:sz w:val="20"/>
          <w:u w:val="single"/>
        </w:rPr>
        <w:t>Transfer of Warrant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4"/>
        <w:gridCol w:w="10031"/>
      </w:tblGrid>
      <w:tr>
        <w:trPr/>
        <w:tc>
          <w:tcPr>
            <w:tcW w:w="60" w:type="dxa"/>
            <w:tcBorders/>
            <w:vAlign w:val="center"/>
          </w:tcPr>
          <w:p>
            <w:pPr>
              <w:pStyle w:val="TableContents"/>
              <w:bidi w:val="0"/>
              <w:spacing w:before="0" w:after="0"/>
              <w:ind w:left="0" w:right="0" w:hanging="0"/>
              <w:jc w:val="left"/>
              <w:rPr/>
            </w:pPr>
            <w:r>
              <w:rPr/>
              <w:t> </w:t>
            </w:r>
          </w:p>
        </w:tc>
        <w:tc>
          <w:tcPr>
            <w:tcW w:w="1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Transferability</w:t>
            </w:r>
            <w:r>
              <w:rPr>
                <w:rFonts w:ascii="Times New Roman" w:hAnsi="Times New Roman"/>
                <w:caps w:val="false"/>
                <w:smallCaps w:val="false"/>
                <w:sz w:val="20"/>
              </w:rPr>
              <w:t>. Subject to compliance with any applicable securities laws and the conditions set forth in Section 4(d) hereof,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0"/>
              <w:ind w:left="0" w:right="0" w:hanging="0"/>
              <w:jc w:val="left"/>
              <w:rPr/>
            </w:pPr>
            <w:r>
              <w:rPr/>
              <w:t> </w:t>
            </w:r>
          </w:p>
        </w:tc>
        <w:tc>
          <w:tcPr>
            <w:tcW w:w="1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New Warrants</w:t>
            </w:r>
            <w:r>
              <w:rPr>
                <w:rFonts w:ascii="Times New Roman" w:hAnsi="Times New Roman"/>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Warrant Register</w:t>
            </w:r>
            <w:r>
              <w:rPr>
                <w:rFonts w:ascii="Times New Roman" w:hAnsi="Times New Roman"/>
                <w:caps w:val="false"/>
                <w:smallCaps w:val="false"/>
                <w:sz w:val="20"/>
              </w:rPr>
              <w:t>. The Company shall register this Warrant, upon records to be maintained by the Company for that purpose (the “</w:t>
            </w:r>
            <w:r>
              <w:rPr>
                <w:rFonts w:ascii="Times New Roman" w:hAnsi="Times New Roman"/>
                <w:caps w:val="false"/>
                <w:smallCaps w:val="false"/>
                <w:sz w:val="20"/>
                <w:u w:val="single"/>
              </w:rPr>
              <w:t>Warrant Register</w:t>
            </w:r>
            <w:r>
              <w:rPr>
                <w:rFonts w:ascii="Times New Roman" w:hAnsi="Times New Roman"/>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0"/>
              <w:ind w:left="0" w:right="0" w:hanging="0"/>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00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Transfer Restrictions</w:t>
            </w:r>
            <w:r>
              <w:rPr>
                <w:rFonts w:ascii="Times New Roman" w:hAnsi="Times New Roman"/>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deliver customary representations, certificates and, if requested by the Company, an opinion of counsel reasonably satisfactory to the Company and the Transfer Agent confirming that such transfer complies with the Securities Act and applicable state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6"/>
        <w:gridCol w:w="10019"/>
      </w:tblGrid>
      <w:tr>
        <w:trPr/>
        <w:tc>
          <w:tcPr>
            <w:tcW w:w="60" w:type="dxa"/>
            <w:tcBorders/>
            <w:vAlign w:val="center"/>
          </w:tcPr>
          <w:p>
            <w:pPr>
              <w:pStyle w:val="TableContents"/>
              <w:bidi w:val="0"/>
              <w:spacing w:before="0" w:after="0"/>
              <w:ind w:left="0" w:right="0" w:hanging="0"/>
              <w:jc w:val="left"/>
              <w:rPr/>
            </w:pPr>
            <w:r>
              <w:rPr/>
              <w:t> </w:t>
            </w:r>
          </w:p>
        </w:tc>
        <w:tc>
          <w:tcPr>
            <w:tcW w:w="1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Compliance with Securities Laws</w:t>
            </w:r>
            <w:r>
              <w:rPr>
                <w:rFonts w:ascii="Times New Roman" w:hAnsi="Times New Roman"/>
                <w:caps w:val="false"/>
                <w:smallCaps w:val="false"/>
                <w:sz w:val="20"/>
              </w:rPr>
              <w:t>. The Holder, by acceptance hereof, agrees that it will not offer, sell, transfer or otherwise dispose of this Warrant or any Warrant Shares except pursuant to an effective registration statement under the Securities Act or an available exemption from, or in a transaction not subject to, the registration requirements of the Securities Act and in accordance with applicable state securities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Section 5</w:t>
      </w:r>
      <w:r>
        <w:rPr>
          <w:rFonts w:ascii="Times New Roman" w:hAnsi="Times New Roman"/>
          <w:caps w:val="false"/>
          <w:smallCaps w:val="false"/>
          <w:sz w:val="20"/>
        </w:rPr>
        <w:t xml:space="preserve">.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Rights as Stockholder Until Exercise</w:t>
            </w:r>
            <w:r>
              <w:rPr>
                <w:rFonts w:ascii="Times New Roman" w:hAnsi="Times New Roman"/>
                <w:caps w:val="false"/>
                <w:smallCaps w:val="false"/>
                <w:sz w:val="20"/>
              </w:rPr>
              <w:t>. This Warrant does not entitle the Holder to any voting rights, dividends or other rights as a stockholder of the Company prior to the exercise hereof as set forth in Section 2(d)(i), except as expressly set forth in Section 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100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Loss, Theft, Destruction or Mutilation of Warrant</w:t>
            </w:r>
            <w:r>
              <w:rPr>
                <w:rFonts w:ascii="Times New Roman" w:hAnsi="Times New Roman"/>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Saturdays, Sundays, Holidays, etc</w:t>
            </w:r>
            <w:r>
              <w:rPr>
                <w:rFonts w:ascii="Times New Roman" w:hAnsi="Times New Roman"/>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60"/>
        <w:gridCol w:w="185"/>
        <w:gridCol w:w="1550"/>
      </w:tblGrid>
      <w:tr>
        <w:trPr/>
        <w:tc>
          <w:tcPr>
            <w:tcW w:w="60"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1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Authorized Shares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both"/>
        <w:rPr>
          <w:rFonts w:ascii="Times New Roman" w:hAnsi="Times New Roman"/>
          <w:caps w:val="false"/>
          <w:smallCaps w:val="false"/>
          <w:sz w:val="20"/>
        </w:rPr>
      </w:pPr>
      <w:r>
        <w:rPr>
          <w:rFonts w:ascii="Times New Roman" w:hAnsi="Times New Roman"/>
          <w:caps w:val="false"/>
          <w:smallCaps w:val="false"/>
          <w:sz w:val="20"/>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shares of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0"/>
              <w:ind w:left="0" w:right="0" w:hanging="0"/>
              <w:jc w:val="left"/>
              <w:rPr/>
            </w:pPr>
            <w:r>
              <w:rPr/>
              <w:t> </w:t>
            </w:r>
          </w:p>
        </w:tc>
        <w:tc>
          <w:tcPr>
            <w:tcW w:w="1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1000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Jurisdiction and Governing Law</w:t>
            </w:r>
            <w:r>
              <w:rPr>
                <w:rFonts w:ascii="Times New Roman" w:hAnsi="Times New Roman"/>
                <w:caps w:val="false"/>
                <w:smallCaps w:val="false"/>
                <w:sz w:val="20"/>
              </w:rPr>
              <w:t>. All questions concerning the construction, validity, enforcement and interpretation of this Warrant shall be determined in accordance with Sections 15(b), 15(c) and 15(d) of the Underwriting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7"/>
        <w:gridCol w:w="10038"/>
      </w:tblGrid>
      <w:tr>
        <w:trPr/>
        <w:tc>
          <w:tcPr>
            <w:tcW w:w="60" w:type="dxa"/>
            <w:tcBorders/>
            <w:vAlign w:val="center"/>
          </w:tcPr>
          <w:p>
            <w:pPr>
              <w:pStyle w:val="TableContents"/>
              <w:bidi w:val="0"/>
              <w:spacing w:before="0" w:after="0"/>
              <w:ind w:left="0" w:right="0" w:hanging="0"/>
              <w:jc w:val="left"/>
              <w:rPr/>
            </w:pPr>
            <w:r>
              <w:rPr/>
              <w:t> </w:t>
            </w:r>
          </w:p>
        </w:tc>
        <w:tc>
          <w:tcPr>
            <w:tcW w:w="1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w:t>
            </w:r>
          </w:p>
        </w:tc>
        <w:tc>
          <w:tcPr>
            <w:tcW w:w="100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Restrictions</w:t>
            </w:r>
            <w:r>
              <w:rPr>
                <w:rFonts w:ascii="Times New Roman" w:hAnsi="Times New Roman"/>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0"/>
              <w:ind w:left="0" w:right="0" w:hanging="0"/>
              <w:jc w:val="left"/>
              <w:rPr/>
            </w:pPr>
            <w:r>
              <w:rPr/>
              <w:t> </w:t>
            </w:r>
          </w:p>
        </w:tc>
        <w:tc>
          <w:tcPr>
            <w:tcW w:w="1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100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Nonwaiver and Expenses</w:t>
            </w:r>
            <w:r>
              <w:rPr>
                <w:rFonts w:ascii="Times New Roman" w:hAnsi="Times New Roman"/>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Notices</w:t>
            </w:r>
            <w:r>
              <w:rPr>
                <w:rFonts w:ascii="Times New Roman" w:hAnsi="Times New Roman"/>
                <w:caps w:val="false"/>
                <w:smallCaps w:val="false"/>
                <w:sz w:val="20"/>
              </w:rPr>
              <w:t>. Any notice, request or other document required or permitted to be given or delivered to the Holder by the Company shall be delivered in accordance with the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To Holder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Attention</w:t>
      </w:r>
      <w:r>
        <w:rPr>
          <w:rFonts w:ascii="Times New Roman" w:hAnsi="Times New Roman"/>
          <w:caps w:val="false"/>
          <w:smallCaps w:val="false"/>
          <w:sz w:val="20"/>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Address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To 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Attention</w:t>
      </w:r>
      <w:r>
        <w:rPr>
          <w:rFonts w:ascii="Times New Roman" w:hAnsi="Times New Roman"/>
          <w:caps w:val="false"/>
          <w:smallCaps w:val="false"/>
          <w:sz w:val="20"/>
        </w:rPr>
        <w:t>: Tamra Koshewa, Chief Financial Officer</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Address</w:t>
      </w:r>
      <w:r>
        <w:rPr>
          <w:rFonts w:ascii="Times New Roman" w:hAnsi="Times New Roman"/>
          <w:caps w:val="false"/>
          <w:smallCaps w:val="false"/>
          <w:sz w:val="20"/>
        </w:rPr>
        <w:t>: 713100 Magisterial Drive, Ste. 201</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Louisville, KY 40223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b/>
          <w:caps w:val="false"/>
          <w:smallCaps w:val="false"/>
          <w:sz w:val="20"/>
        </w:rPr>
        <w:t>With a copy to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Attention</w:t>
      </w:r>
      <w:r>
        <w:rPr>
          <w:rFonts w:ascii="Times New Roman" w:hAnsi="Times New Roman"/>
          <w:caps w:val="false"/>
          <w:smallCaps w:val="false"/>
          <w:sz w:val="20"/>
        </w:rPr>
        <w:t>: Bradley Pederson, Partner</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 w:hAnsi="Times New Roman"/>
          <w:caps w:val="false"/>
          <w:smallCaps w:val="false"/>
          <w:sz w:val="20"/>
        </w:rPr>
        <w:t>Taft Stettinius &amp; Hollister LLP</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Address</w:t>
      </w:r>
      <w:r>
        <w:rPr>
          <w:rFonts w:ascii="Times New Roman" w:hAnsi="Times New Roman"/>
          <w:caps w:val="false"/>
          <w:smallCaps w:val="false"/>
          <w:sz w:val="20"/>
        </w:rPr>
        <w:t>: 80 South 8</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Street, Ste. 2200</w:t>
      </w:r>
    </w:p>
    <w:p>
      <w:pPr>
        <w:pStyle w:val="TextBody"/>
        <w:bidi w:val="0"/>
        <w:spacing w:before="0" w:after="0"/>
        <w:ind w:left="1440" w:right="0" w:hanging="0"/>
        <w:jc w:val="both"/>
        <w:rPr>
          <w:caps w:val="false"/>
          <w:smallCaps w:val="false"/>
        </w:rPr>
      </w:pPr>
      <w:r>
        <w:rPr>
          <w:caps w:val="false"/>
          <w:smallCaps w:val="false"/>
        </w:rPr>
        <w:t> </w:t>
      </w:r>
      <w:r>
        <w:rPr>
          <w:rFonts w:ascii="Times New Roman" w:hAnsi="Times New Roman"/>
          <w:caps w:val="false"/>
          <w:smallCaps w:val="false"/>
          <w:sz w:val="20"/>
        </w:rPr>
        <w:t>Minneapolis, MN 55402</w:t>
      </w:r>
    </w:p>
    <w:p>
      <w:pPr>
        <w:pStyle w:val="TextBody"/>
        <w:bidi w:val="0"/>
        <w:spacing w:before="0" w:after="0"/>
        <w:ind w:left="144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5"/>
        <w:gridCol w:w="10050"/>
      </w:tblGrid>
      <w:tr>
        <w:trPr/>
        <w:tc>
          <w:tcPr>
            <w:tcW w:w="60" w:type="dxa"/>
            <w:tcBorders/>
            <w:vAlign w:val="center"/>
          </w:tcPr>
          <w:p>
            <w:pPr>
              <w:pStyle w:val="TableContents"/>
              <w:bidi w:val="0"/>
              <w:spacing w:before="0" w:after="0"/>
              <w:ind w:left="0" w:right="0" w:hanging="0"/>
              <w:jc w:val="left"/>
              <w:rPr/>
            </w:pPr>
            <w:r>
              <w:rPr/>
              <w:t> </w:t>
            </w:r>
          </w:p>
        </w:tc>
        <w:tc>
          <w:tcPr>
            <w:tcW w:w="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tc>
        <w:tc>
          <w:tcPr>
            <w:tcW w:w="10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Limitation of Liability</w:t>
            </w:r>
            <w:r>
              <w:rPr>
                <w:rFonts w:ascii="Times New Roman" w:hAnsi="Times New Roman"/>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3"/>
        <w:gridCol w:w="10052"/>
      </w:tblGrid>
      <w:tr>
        <w:trPr/>
        <w:tc>
          <w:tcPr>
            <w:tcW w:w="60" w:type="dxa"/>
            <w:tcBorders/>
            <w:vAlign w:val="center"/>
          </w:tcPr>
          <w:p>
            <w:pPr>
              <w:pStyle w:val="TableContents"/>
              <w:bidi w:val="0"/>
              <w:spacing w:before="0" w:after="0"/>
              <w:ind w:left="0" w:right="0" w:hanging="0"/>
              <w:jc w:val="left"/>
              <w:rPr/>
            </w:pPr>
            <w:r>
              <w:rPr/>
              <w:t> </w:t>
            </w:r>
          </w:p>
        </w:tc>
        <w:tc>
          <w:tcPr>
            <w:tcW w:w="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w:t>
            </w:r>
          </w:p>
        </w:tc>
        <w:tc>
          <w:tcPr>
            <w:tcW w:w="100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Remedies</w:t>
            </w:r>
            <w:r>
              <w:rPr>
                <w:rFonts w:ascii="Times New Roman" w:hAnsi="Times New Roman"/>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w:t>
            </w:r>
          </w:p>
        </w:tc>
        <w:tc>
          <w:tcPr>
            <w:tcW w:w="10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Successors and Assigns</w:t>
            </w:r>
            <w:r>
              <w:rPr>
                <w:rFonts w:ascii="Times New Roman" w:hAnsi="Times New Roman"/>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9"/>
        <w:gridCol w:w="10026"/>
      </w:tblGrid>
      <w:tr>
        <w:trPr/>
        <w:tc>
          <w:tcPr>
            <w:tcW w:w="60" w:type="dxa"/>
            <w:tcBorders/>
            <w:vAlign w:val="center"/>
          </w:tcPr>
          <w:p>
            <w:pPr>
              <w:pStyle w:val="TableContents"/>
              <w:bidi w:val="0"/>
              <w:spacing w:before="0" w:after="0"/>
              <w:ind w:left="0" w:right="0" w:hanging="0"/>
              <w:jc w:val="left"/>
              <w:rPr/>
            </w:pPr>
            <w:r>
              <w:rPr/>
              <w:t> </w:t>
            </w:r>
          </w:p>
        </w:tc>
        <w:tc>
          <w:tcPr>
            <w:tcW w:w="1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w:t>
            </w:r>
          </w:p>
        </w:tc>
        <w:tc>
          <w:tcPr>
            <w:tcW w:w="100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Amendment</w:t>
            </w:r>
            <w:r>
              <w:rPr>
                <w:rFonts w:ascii="Times New Roman" w:hAnsi="Times New Roman"/>
                <w:caps w:val="false"/>
                <w:smallCaps w:val="false"/>
                <w:sz w:val="20"/>
              </w:rPr>
              <w:t>. This Warrant may be modified or amended or the provisions hereof waived with the written consent of the Company, on the one hand, and the Holder, on the other hand.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0"/>
              <w:ind w:left="0" w:right="0" w:hanging="0"/>
              <w:jc w:val="left"/>
              <w:rPr/>
            </w:pPr>
            <w:r>
              <w:rPr/>
              <w:t> </w:t>
            </w:r>
          </w:p>
        </w:tc>
        <w:tc>
          <w:tcPr>
            <w:tcW w:w="1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w:t>
            </w:r>
          </w:p>
        </w:tc>
        <w:tc>
          <w:tcPr>
            <w:tcW w:w="99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Severability</w:t>
            </w:r>
            <w:r>
              <w:rPr>
                <w:rFonts w:ascii="Times New Roman" w:hAnsi="Times New Roman"/>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3"/>
        <w:gridCol w:w="9972"/>
      </w:tblGrid>
      <w:tr>
        <w:trPr/>
        <w:tc>
          <w:tcPr>
            <w:tcW w:w="60"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w:t>
            </w:r>
          </w:p>
        </w:tc>
        <w:tc>
          <w:tcPr>
            <w:tcW w:w="99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Headings</w:t>
            </w:r>
            <w:r>
              <w:rPr>
                <w:rFonts w:ascii="Times New Roman" w:hAnsi="Times New Roman"/>
                <w:caps w:val="false"/>
                <w:smallCaps w:val="false"/>
                <w:sz w:val="20"/>
              </w:rPr>
              <w:t>. The headings used in this Warrant are for the convenience of reference only and shall not, for any purpose, be deemed a part of this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Follows)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signature-table2"/>
      <w:bookmarkStart w:id="11" w:name="signature-table2"/>
      <w:bookmarkEnd w:id="11"/>
    </w:p>
    <w:tbl>
      <w:tblPr>
        <w:tblW w:w="10205" w:type="dxa"/>
        <w:jc w:val="left"/>
        <w:tblInd w:w="0" w:type="dxa"/>
        <w:tblLayout w:type="fixed"/>
        <w:tblCellMar>
          <w:top w:w="0" w:type="dxa"/>
          <w:left w:w="0" w:type="dxa"/>
          <w:bottom w:w="0" w:type="dxa"/>
          <w:right w:w="0" w:type="dxa"/>
        </w:tblCellMar>
      </w:tblPr>
      <w:tblGrid>
        <w:gridCol w:w="879"/>
        <w:gridCol w:w="1101"/>
        <w:gridCol w:w="7344"/>
        <w:gridCol w:w="881"/>
      </w:tblGrid>
      <w:tr>
        <w:trPr/>
        <w:tc>
          <w:tcPr>
            <w:tcW w:w="879" w:type="dxa"/>
            <w:tcBorders/>
            <w:vAlign w:val="center"/>
          </w:tcPr>
          <w:p>
            <w:pPr>
              <w:pStyle w:val="TableContents"/>
              <w:bidi w:val="0"/>
              <w:spacing w:before="0" w:after="0"/>
              <w:ind w:left="0" w:right="0" w:hanging="0"/>
              <w:jc w:val="left"/>
              <w:rPr/>
            </w:pPr>
            <w:r>
              <w:rPr/>
              <w:t> </w:t>
            </w:r>
          </w:p>
        </w:tc>
        <w:tc>
          <w:tcPr>
            <w:tcW w:w="8445" w:type="dxa"/>
            <w:gridSpan w:val="2"/>
            <w:tcBorders/>
          </w:tcPr>
          <w:p>
            <w:pPr>
              <w:pStyle w:val="TableContents"/>
              <w:bidi w:val="0"/>
              <w:spacing w:before="0" w:after="0"/>
              <w:jc w:val="left"/>
              <w:rPr>
                <w:rFonts w:ascii="Times New Roman" w:hAnsi="Times New Roman"/>
                <w:b/>
                <w:sz w:val="20"/>
              </w:rPr>
            </w:pPr>
            <w:r>
              <w:rPr>
                <w:rFonts w:ascii="Times New Roman" w:hAnsi="Times New Roman"/>
                <w:b/>
                <w:sz w:val="20"/>
              </w:rPr>
              <w:t>CREATIVE REALITIES, INC.</w:t>
            </w:r>
          </w:p>
        </w:tc>
        <w:tc>
          <w:tcPr>
            <w:tcW w:w="881" w:type="dxa"/>
            <w:tcBorders/>
            <w:vAlign w:val="center"/>
          </w:tcPr>
          <w:p>
            <w:pPr>
              <w:pStyle w:val="TableContents"/>
              <w:bidi w:val="0"/>
              <w:spacing w:before="0" w:after="0"/>
              <w:ind w:left="0" w:right="0" w:hanging="0"/>
              <w:jc w:val="left"/>
              <w:rPr/>
            </w:pPr>
            <w:r>
              <w:rPr/>
              <w:t> </w:t>
            </w:r>
          </w:p>
        </w:tc>
      </w:tr>
      <w:tr>
        <w:trPr/>
        <w:tc>
          <w:tcPr>
            <w:tcW w:w="879"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left"/>
              <w:rPr/>
            </w:pPr>
            <w:r>
              <w:rPr/>
              <w:t> </w:t>
            </w:r>
          </w:p>
        </w:tc>
        <w:tc>
          <w:tcPr>
            <w:tcW w:w="7344" w:type="dxa"/>
            <w:tcBorders/>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left"/>
              <w:rPr/>
            </w:pPr>
            <w:r>
              <w:rPr/>
              <w:t> </w:t>
            </w:r>
          </w:p>
        </w:tc>
      </w:tr>
      <w:tr>
        <w:trPr/>
        <w:tc>
          <w:tcPr>
            <w:tcW w:w="879" w:type="dxa"/>
            <w:tcBorders/>
            <w:vAlign w:val="center"/>
          </w:tcPr>
          <w:p>
            <w:pPr>
              <w:pStyle w:val="TableContents"/>
              <w:bidi w:val="0"/>
              <w:spacing w:before="0" w:after="0"/>
              <w:ind w:left="0" w:right="0" w:hanging="0"/>
              <w:jc w:val="left"/>
              <w:rPr/>
            </w:pPr>
            <w:r>
              <w:rPr/>
              <w:t> </w:t>
            </w:r>
          </w:p>
        </w:tc>
        <w:tc>
          <w:tcPr>
            <w:tcW w:w="1101" w:type="dxa"/>
            <w:tcBorders/>
          </w:tcPr>
          <w:p>
            <w:pPr>
              <w:pStyle w:val="TableContents"/>
              <w:bidi w:val="0"/>
              <w:spacing w:before="0" w:after="0"/>
              <w:jc w:val="left"/>
              <w:rPr>
                <w:rFonts w:ascii="Times New Roman" w:hAnsi="Times New Roman"/>
                <w:b/>
                <w:sz w:val="20"/>
              </w:rPr>
            </w:pPr>
            <w:r>
              <w:rPr>
                <w:rFonts w:ascii="Times New Roman" w:hAnsi="Times New Roman"/>
                <w:b/>
                <w:sz w:val="20"/>
              </w:rPr>
              <w:t>By:</w:t>
            </w:r>
          </w:p>
        </w:tc>
        <w:tc>
          <w:tcPr>
            <w:tcW w:w="734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1" w:type="dxa"/>
            <w:tcBorders/>
            <w:vAlign w:val="center"/>
          </w:tcPr>
          <w:p>
            <w:pPr>
              <w:pStyle w:val="TableContents"/>
              <w:bidi w:val="0"/>
              <w:spacing w:before="0" w:after="0"/>
              <w:ind w:left="0" w:right="0" w:hanging="0"/>
              <w:jc w:val="left"/>
              <w:rPr/>
            </w:pPr>
            <w:r>
              <w:rPr/>
              <w:t> </w:t>
            </w:r>
          </w:p>
        </w:tc>
      </w:tr>
      <w:tr>
        <w:trPr/>
        <w:tc>
          <w:tcPr>
            <w:tcW w:w="879" w:type="dxa"/>
            <w:tcBorders/>
            <w:vAlign w:val="center"/>
          </w:tcPr>
          <w:p>
            <w:pPr>
              <w:pStyle w:val="TableContents"/>
              <w:bidi w:val="0"/>
              <w:spacing w:before="0" w:after="0"/>
              <w:ind w:left="0" w:right="0" w:hanging="0"/>
              <w:jc w:val="left"/>
              <w:rPr/>
            </w:pPr>
            <w:r>
              <w:rPr/>
              <w:t> </w:t>
            </w:r>
          </w:p>
        </w:tc>
        <w:tc>
          <w:tcPr>
            <w:tcW w:w="844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881" w:type="dxa"/>
            <w:tcBorders/>
            <w:vAlign w:val="center"/>
          </w:tcPr>
          <w:p>
            <w:pPr>
              <w:pStyle w:val="TableContents"/>
              <w:bidi w:val="0"/>
              <w:spacing w:before="0" w:after="0"/>
              <w:ind w:left="0" w:right="0" w:hanging="0"/>
              <w:jc w:val="left"/>
              <w:rPr/>
            </w:pPr>
            <w:r>
              <w:rPr/>
              <w:t> </w:t>
            </w:r>
          </w:p>
        </w:tc>
      </w:tr>
      <w:tr>
        <w:trPr/>
        <w:tc>
          <w:tcPr>
            <w:tcW w:w="879" w:type="dxa"/>
            <w:tcBorders/>
            <w:vAlign w:val="center"/>
          </w:tcPr>
          <w:p>
            <w:pPr>
              <w:pStyle w:val="TableContents"/>
              <w:bidi w:val="0"/>
              <w:spacing w:before="0" w:after="0"/>
              <w:ind w:left="0" w:right="0" w:hanging="0"/>
              <w:jc w:val="left"/>
              <w:rPr/>
            </w:pPr>
            <w:r>
              <w:rPr/>
              <w:t> </w:t>
            </w:r>
          </w:p>
        </w:tc>
        <w:tc>
          <w:tcPr>
            <w:tcW w:w="844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88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rFonts w:ascii="Times New Roman;Times;serif" w:hAnsi="Times New Roman;Times;serif"/>
          <w:sz w:val="20"/>
        </w:rPr>
      </w:pPr>
      <w:bookmarkStart w:id="12" w:name="ex_982183.htm"/>
      <w:bookmarkStart w:id="13" w:name="ksex_982183"/>
      <w:bookmarkEnd w:id="12"/>
      <w:bookmarkEnd w:id="13"/>
      <w:r>
        <w:rPr>
          <w:rFonts w:ascii="Times New Roman;Times;serif" w:hAnsi="Times New Roman;Times;serif"/>
          <w:b/>
          <w:sz w:val="20"/>
        </w:rPr>
        <w:t>Exhibit 5.1</w:t>
      </w:r>
      <w:r>
        <w:rPr>
          <w:rFonts w:ascii="Times New Roman;Times;serif" w:hAnsi="Times New Roman;Times;serif"/>
          <w:sz w:val="20"/>
        </w:rPr>
        <w:t xml:space="preserve"> </w:t>
      </w:r>
      <w:r>
        <w:br w:type="page"/>
      </w:r>
    </w:p>
    <w:p>
      <w:pPr>
        <w:pStyle w:val="TextBody"/>
        <w:bidi w:val="0"/>
        <w:ind w:left="0" w:right="0" w:hanging="0"/>
        <w:jc w:val="right"/>
        <w:rPr/>
      </w:pPr>
      <w:r>
        <w:rPr/>
        <w:t> </w:t>
      </w:r>
    </w:p>
    <w:tbl>
      <w:tblPr>
        <w:tblW w:w="4557" w:type="dxa"/>
        <w:jc w:val="left"/>
        <w:tblInd w:w="0" w:type="dxa"/>
        <w:tblLayout w:type="fixed"/>
        <w:tblCellMar>
          <w:top w:w="28" w:type="dxa"/>
          <w:left w:w="28" w:type="dxa"/>
          <w:bottom w:w="28" w:type="dxa"/>
          <w:right w:w="28" w:type="dxa"/>
        </w:tblCellMar>
      </w:tblPr>
      <w:tblGrid>
        <w:gridCol w:w="1646"/>
        <w:gridCol w:w="2911"/>
      </w:tblGrid>
      <w:tr>
        <w:trPr/>
        <w:tc>
          <w:tcPr>
            <w:tcW w:w="1646" w:type="dxa"/>
            <w:tcBorders/>
            <w:vAlign w:val="center"/>
          </w:tcPr>
          <w:p>
            <w:pPr>
              <w:pStyle w:val="TableContents"/>
              <w:bidi w:val="0"/>
              <w:spacing w:before="0" w:after="283"/>
              <w:ind w:left="0" w:right="0" w:hanging="0"/>
              <w:jc w:val="left"/>
              <w:rPr/>
            </w:pPr>
            <w:r>
              <w:rPr/>
              <w:drawing>
                <wp:inline distT="0" distB="0" distL="0" distR="0">
                  <wp:extent cx="98107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409575"/>
                          </a:xfrm>
                          <a:prstGeom prst="rect">
                            <a:avLst/>
                          </a:prstGeom>
                        </pic:spPr>
                      </pic:pic>
                    </a:graphicData>
                  </a:graphic>
                </wp:inline>
              </w:drawing>
            </w:r>
          </w:p>
        </w:tc>
        <w:tc>
          <w:tcPr>
            <w:tcW w:w="2911" w:type="dxa"/>
            <w:tcBorders/>
            <w:vAlign w:val="center"/>
          </w:tcPr>
          <w:p>
            <w:pPr>
              <w:pStyle w:val="TableContents"/>
              <w:bidi w:val="0"/>
              <w:ind w:left="0" w:right="0" w:hanging="0"/>
              <w:jc w:val="left"/>
              <w:rPr>
                <w:rFonts w:ascii="Times New Roman" w:hAnsi="Times New Roman"/>
                <w:sz w:val="16"/>
              </w:rPr>
            </w:pPr>
            <w:r>
              <w:rPr>
                <w:rFonts w:ascii="Times New Roman" w:hAnsi="Times New Roman"/>
                <w:sz w:val="16"/>
              </w:rPr>
              <w:t>2200 IDS Center, 80 South 8th Street</w:t>
            </w:r>
          </w:p>
          <w:p>
            <w:pPr>
              <w:pStyle w:val="TableContents"/>
              <w:bidi w:val="0"/>
              <w:ind w:left="0" w:right="0" w:hanging="0"/>
              <w:jc w:val="left"/>
              <w:rPr>
                <w:rFonts w:ascii="Times New Roman" w:hAnsi="Times New Roman"/>
                <w:sz w:val="16"/>
              </w:rPr>
            </w:pPr>
            <w:r>
              <w:rPr>
                <w:rFonts w:ascii="Times New Roman" w:hAnsi="Times New Roman"/>
                <w:sz w:val="16"/>
              </w:rPr>
              <w:t>Minneapolis, MN 55402-2210</w:t>
            </w:r>
          </w:p>
          <w:p>
            <w:pPr>
              <w:pStyle w:val="TableContents"/>
              <w:bidi w:val="0"/>
              <w:ind w:left="0" w:right="0" w:hanging="0"/>
              <w:jc w:val="left"/>
              <w:rPr>
                <w:rFonts w:ascii="Times New Roman" w:hAnsi="Times New Roman"/>
                <w:sz w:val="16"/>
              </w:rPr>
            </w:pPr>
            <w:r>
              <w:rPr>
                <w:rFonts w:ascii="Times New Roman" w:hAnsi="Times New Roman"/>
                <w:sz w:val="16"/>
              </w:rPr>
              <w:t>Tel: 612.977.8400 | Fax: 612.977.8650</w:t>
            </w:r>
          </w:p>
          <w:p>
            <w:pPr>
              <w:pStyle w:val="TableContents"/>
              <w:bidi w:val="0"/>
              <w:spacing w:before="0" w:after="283"/>
              <w:ind w:left="0" w:right="0" w:hanging="0"/>
              <w:jc w:val="left"/>
              <w:rPr>
                <w:rFonts w:ascii="Times New Roman" w:hAnsi="Times New Roman"/>
                <w:sz w:val="16"/>
              </w:rPr>
            </w:pPr>
            <w:r>
              <w:rPr>
                <w:rFonts w:ascii="Times New Roman" w:hAnsi="Times New Roman"/>
                <w:sz w:val="16"/>
              </w:rPr>
              <w:t>taftlaw.com</w:t>
            </w:r>
          </w:p>
        </w:tc>
      </w:tr>
    </w:tbl>
    <w:p>
      <w:pPr>
        <w:pStyle w:val="TextBody"/>
        <w:bidi w:val="0"/>
        <w:ind w:left="0" w:right="0" w:hanging="0"/>
        <w:jc w:val="righ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29, 2026</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Inc.</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13100 Magisterial Drive, Suite 201</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Louisville, KY 40223</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68"/>
        <w:gridCol w:w="9676"/>
      </w:tblGrid>
      <w:tr>
        <w:trPr/>
        <w:tc>
          <w:tcPr>
            <w:tcW w:w="161"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w:t>
            </w:r>
          </w:p>
        </w:tc>
        <w:tc>
          <w:tcPr>
            <w:tcW w:w="9676"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Registration Statement on Form S-3 (File No. 333-296498); Up to 2,957,185 shares of Common Stock and Pre-Funded Warrants to purchase up to 900,000 shares of Common Stock</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Creative Realities, Inc., a Minnesota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in connection with the offering by the Company of up to 2,957,185 shares (the “</w:t>
      </w:r>
      <w:r>
        <w:rPr>
          <w:rFonts w:ascii="Times New Roman" w:hAnsi="Times New Roman"/>
          <w:caps w:val="false"/>
          <w:smallCaps w:val="false"/>
          <w:sz w:val="20"/>
          <w:u w:val="single"/>
        </w:rPr>
        <w:t>Shares</w:t>
      </w:r>
      <w:r>
        <w:rPr>
          <w:rFonts w:ascii="Times New Roman" w:hAnsi="Times New Roman"/>
          <w:caps w:val="false"/>
          <w:smallCaps w:val="false"/>
          <w:sz w:val="20"/>
        </w:rPr>
        <w:t>”) of the Company’s common stock, par value $0.01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and pre-funded warrants to purchase up to 900,000 shares of Common Stock (the “</w:t>
      </w:r>
      <w:r>
        <w:rPr>
          <w:rFonts w:ascii="Times New Roman" w:hAnsi="Times New Roman"/>
          <w:caps w:val="false"/>
          <w:smallCaps w:val="false"/>
          <w:sz w:val="20"/>
          <w:u w:val="single"/>
        </w:rPr>
        <w:t>Pre-Funded Warrants</w:t>
      </w:r>
      <w:r>
        <w:rPr>
          <w:rFonts w:ascii="Times New Roman" w:hAnsi="Times New Roman"/>
          <w:caps w:val="false"/>
          <w:smallCaps w:val="false"/>
          <w:sz w:val="20"/>
        </w:rPr>
        <w:t>”). The offering of the Shares, the Pre-Funded Warrants, and shares of Common Stock initially issuable upon exercise of the Pre-Funded Warrants (the “</w:t>
      </w:r>
      <w:r>
        <w:rPr>
          <w:rFonts w:ascii="Times New Roman" w:hAnsi="Times New Roman"/>
          <w:caps w:val="false"/>
          <w:smallCaps w:val="false"/>
          <w:sz w:val="20"/>
          <w:u w:val="single"/>
        </w:rPr>
        <w:t>Warrant Shares</w:t>
      </w:r>
      <w:r>
        <w:rPr>
          <w:rFonts w:ascii="Times New Roman" w:hAnsi="Times New Roman"/>
          <w:caps w:val="false"/>
          <w:smallCaps w:val="false"/>
          <w:sz w:val="20"/>
        </w:rPr>
        <w:t>”) is included in a registration statement on Form S-3 (File No. 333-296498)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filed with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under the Securities Act of 1933, as amended (the “</w:t>
      </w:r>
      <w:r>
        <w:rPr>
          <w:rFonts w:ascii="Times New Roman" w:hAnsi="Times New Roman"/>
          <w:caps w:val="false"/>
          <w:smallCaps w:val="false"/>
          <w:sz w:val="20"/>
          <w:u w:val="single"/>
        </w:rPr>
        <w:t>Act</w:t>
      </w:r>
      <w:r>
        <w:rPr>
          <w:rFonts w:ascii="Times New Roman" w:hAnsi="Times New Roman"/>
          <w:caps w:val="false"/>
          <w:smallCaps w:val="false"/>
          <w:sz w:val="20"/>
        </w:rPr>
        <w:t>”), a base prospectus dated June 16, 2026, filed with the Commission on June 18, 2026 (the “</w:t>
      </w:r>
      <w:r>
        <w:rPr>
          <w:rFonts w:ascii="Times New Roman" w:hAnsi="Times New Roman"/>
          <w:caps w:val="false"/>
          <w:smallCaps w:val="false"/>
          <w:sz w:val="20"/>
          <w:u w:val="single"/>
        </w:rPr>
        <w:t>Base Prospectus</w:t>
      </w:r>
      <w:r>
        <w:rPr>
          <w:rFonts w:ascii="Times New Roman" w:hAnsi="Times New Roman"/>
          <w:caps w:val="false"/>
          <w:smallCaps w:val="false"/>
          <w:sz w:val="20"/>
        </w:rPr>
        <w:t>”) and a prospectus supplement dated June 29, 2026 filed with the Commission pursuant to Rule 424(b) under the Act (together with the Base Prospectus, the “</w:t>
      </w:r>
      <w:r>
        <w:rPr>
          <w:rFonts w:ascii="Times New Roman" w:hAnsi="Times New Roman"/>
          <w:caps w:val="false"/>
          <w:smallCaps w:val="false"/>
          <w:sz w:val="20"/>
          <w:u w:val="single"/>
        </w:rPr>
        <w:t>Prospectus</w:t>
      </w:r>
      <w:r>
        <w:rPr>
          <w:rFonts w:ascii="Times New Roman" w:hAnsi="Times New Roman"/>
          <w:caps w:val="false"/>
          <w:smallCaps w:val="false"/>
          <w:sz w:val="20"/>
        </w:rPr>
        <w:t>”). The Shares and Pre-Funded Warrants are being sold pursuant to an underwriting agreement (the “</w:t>
      </w:r>
      <w:r>
        <w:rPr>
          <w:rFonts w:ascii="Times New Roman" w:hAnsi="Times New Roman"/>
          <w:caps w:val="false"/>
          <w:smallCaps w:val="false"/>
          <w:sz w:val="20"/>
          <w:u w:val="single"/>
        </w:rPr>
        <w:t>Underwriting Agreement</w:t>
      </w:r>
      <w:r>
        <w:rPr>
          <w:rFonts w:ascii="Times New Roman" w:hAnsi="Times New Roman"/>
          <w:caps w:val="false"/>
          <w:smallCaps w:val="false"/>
          <w:sz w:val="20"/>
        </w:rPr>
        <w:t>”) dated June 29, 2026 between the Company and Craig-Hallum Capital Group LLC, as underwriter, and include Shares that may be sold by the Company pursuant to the exercise of an over-allotment option granted to the underwriter by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 the Warrant Shares, and Pre-Funded Warrants.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as to the Minnesota Business Corporation Act, and we express no opinion with respect to any other laws.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foregoing and in reliance thereon and subject to the assumptions, qualifications and limitations set forth herein, we are of the opinion that:</w:t>
      </w:r>
    </w:p>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5"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The Shares have been duly authorized for issuance by all necessary corporate action on the part of the Company and, when issued and sold by the Company against payment therefor in the manner contemplated by the Underwriting Agreement and as set forth in the Prospectus, will be validly issued, fully paid and nonassessable.</w:t>
            </w:r>
          </w:p>
        </w:tc>
      </w:tr>
    </w:tbl>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10"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issuance of the Pre-Funded Warrants has been duly authorized by all necessary corporate action on the part of the Company, and, when the Pre-Funded Warrants have been duly issued by the Company against payment therefor in the manner contemplated by the Underwriting Agreement and as set forth in the Prospectus, the Pre-Funded Warrants will constitute legally valid and binding obligations of the Company, enforceable against the Company in accordance with their terms.</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r>
        <w:rPr>
          <w:rFonts w:ascii="Times New Roman" w:hAnsi="Times New Roman"/>
          <w:caps w:val="false"/>
          <w:smallCaps w:val="false"/>
          <w:sz w:val="18"/>
        </w:rPr>
        <w:t xml:space="preserve">Taft Stettinius &amp; Hollister LLP </w:t>
      </w:r>
      <w:r>
        <w:rPr>
          <w:rFonts w:ascii="Times New Roman" w:hAnsi="Times New Roman"/>
          <w:b/>
          <w:caps w:val="false"/>
          <w:smallCaps w:val="false"/>
          <w:sz w:val="18"/>
        </w:rPr>
        <w:t>/</w:t>
      </w:r>
      <w:r>
        <w:rPr>
          <w:rFonts w:ascii="Times New Roman" w:hAnsi="Times New Roman"/>
          <w:caps w:val="false"/>
          <w:smallCaps w:val="false"/>
          <w:sz w:val="18"/>
        </w:rPr>
        <w:t xml:space="preserve"> Taftlaw.com </w:t>
      </w:r>
      <w:r>
        <w:rPr>
          <w:rFonts w:ascii="Times New Roman" w:hAnsi="Times New Roman"/>
          <w:b/>
          <w:caps w:val="false"/>
          <w:smallCaps w:val="false"/>
          <w:sz w:val="18"/>
        </w:rPr>
        <w:t>/</w:t>
      </w:r>
      <w:r>
        <w:rPr>
          <w:rFonts w:ascii="Times New Roman" w:hAnsi="Times New Roman"/>
          <w:caps w:val="false"/>
          <w:smallCaps w:val="false"/>
          <w:sz w:val="18"/>
        </w:rPr>
        <w:t xml:space="preserve"> The Modern Law Firm</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Creative Realities, Inc.</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29, 2026</w:t>
      </w:r>
    </w:p>
    <w:p>
      <w:pPr>
        <w:pStyle w:val="TextBody"/>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9"/>
        <w:gridCol w:w="10006"/>
      </w:tblGrid>
      <w:tr>
        <w:trPr/>
        <w:tc>
          <w:tcPr>
            <w:tcW w:w="60" w:type="dxa"/>
            <w:tcBorders/>
            <w:vAlign w:val="center"/>
          </w:tcPr>
          <w:p>
            <w:pPr>
              <w:pStyle w:val="TableContents"/>
              <w:bidi w:val="0"/>
              <w:spacing w:before="0" w:after="0"/>
              <w:ind w:left="0" w:right="0" w:hanging="0"/>
              <w:jc w:val="left"/>
              <w:rPr/>
            </w:pPr>
            <w:r>
              <w:rPr/>
              <w:t> </w:t>
            </w:r>
          </w:p>
        </w:tc>
        <w:tc>
          <w:tcPr>
            <w:tcW w:w="139" w:type="dxa"/>
            <w:tcBorders/>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6"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The Warrant Shares have been duly authorized and if, as, and when the Warrant Shares are issued and delivered by the Company upon exercise of the Pre-Funded Warrants in accordance with the terms thereof, including, without limitation, the payment in full of applicable consideration, the Warrant Shares will be validly issued, fully paid and non-assessable.</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opinion letter has been prepared for use in connection with the filing by the Company of a Current Report on Form 8-K relating to the offer and sale of the Shares, which Current Report on Form 8-K will be incorporated by reference into the Registration Statement and Prospectus, and speaks as of the date hereof. We assume no obligation to advise you of any changes in the foregoing subsequent to the delivery of this letter.</w:t>
      </w:r>
    </w:p>
    <w:p>
      <w:pPr>
        <w:pStyle w:val="TextBody"/>
        <w:bidi w:val="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letter as Exhibit 5.1 to the above-described Current Report on Form 8-K and to the reference to this firm under the caption “Legal Matters” in the Prospectus. In giving this consent, we do not thereby admit that we are an “expert” within the meaning of the Act.</w:t>
      </w:r>
    </w:p>
    <w:p>
      <w:pPr>
        <w:pStyle w:val="TextBody"/>
        <w:bidi w:val="0"/>
        <w:ind w:left="0" w:right="0" w:hanging="0"/>
        <w:jc w:val="left"/>
        <w:rPr>
          <w:caps w:val="false"/>
          <w:smallCaps w:val="false"/>
        </w:rPr>
      </w:pPr>
      <w:r>
        <w:rPr>
          <w:caps w:val="false"/>
          <w:smallCaps w:val="false"/>
        </w:rPr>
        <w:t> </w:t>
      </w:r>
    </w:p>
    <w:tbl>
      <w:tblPr>
        <w:tblW w:w="3042" w:type="dxa"/>
        <w:jc w:val="left"/>
        <w:tblInd w:w="0" w:type="dxa"/>
        <w:tblLayout w:type="fixed"/>
        <w:tblCellMar>
          <w:top w:w="28" w:type="dxa"/>
          <w:left w:w="28" w:type="dxa"/>
          <w:bottom w:w="28" w:type="dxa"/>
          <w:right w:w="28" w:type="dxa"/>
        </w:tblCellMar>
      </w:tblPr>
      <w:tblGrid>
        <w:gridCol w:w="161"/>
        <w:gridCol w:w="2881"/>
      </w:tblGrid>
      <w:tr>
        <w:trPr/>
        <w:tc>
          <w:tcPr>
            <w:tcW w:w="161"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ind w:left="0" w:right="0" w:hanging="0"/>
              <w:jc w:val="left"/>
              <w:rPr>
                <w:caps w:val="false"/>
                <w:smallCaps w:val="false"/>
              </w:rPr>
            </w:pPr>
            <w:r>
              <w:rPr>
                <w:caps w:val="false"/>
                <w:smallCaps w:val="false"/>
              </w:rPr>
              <w:t> </w:t>
            </w:r>
          </w:p>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caps w:val="false"/>
                <w:smallCaps w:val="false"/>
                <w:sz w:val="20"/>
              </w:rPr>
              <w:t>/s/ Taft Stettinius &amp; Hollister LLP</w:t>
            </w:r>
          </w:p>
        </w:tc>
      </w:tr>
    </w:tbl>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14" w:name="ex_982184.htm"/>
      <w:bookmarkStart w:id="15" w:name="ksex_982184"/>
      <w:bookmarkEnd w:id="14"/>
      <w:bookmarkEnd w:id="15"/>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FOR IMMEDIATE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Creative Realities Announces Pricing of $12 Million Public Offering</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LOUISVILLE, KY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June 29, 2026 </w:t>
      </w:r>
      <w:r>
        <w:rPr>
          <w:rFonts w:ascii="Times New Roman" w:hAnsi="Times New Roman"/>
          <w:caps w:val="false"/>
          <w:smallCaps w:val="false"/>
          <w:sz w:val="20"/>
        </w:rPr>
        <w:t>– Creative Realities, Inc. (“Creative Realities,” “we,” “us,” “our,” or the “Company”), a leading provider of digital signage, media and AdTech solutions, today announced the pricing of its underwritten public offering of 2,528,571 shares of its common stock at a price to the public of $3.50 per share and pre-funded warrants to purchase up to 900,000 shares of common stock at a price to the public of $3.49 per pre-funded warrant, which represents the per share public offering price of each share of common stock, less the $0.01 per share exercise price for each pre-funded warrant. All of the shares and pre-funded warrants in the offering are being sold by Creative Realities. In addition, the Company has granted the underwriter a 30-day option to purchase up to an additional 428,614 shares of its common stock at the public offering price per share, less underwriting discounts and commissions. The gross proceeds to the Company from the offering are expected to be approximately $12.0 million, before deducting underwriting discounts and commissions and other offering expenses. The offering is expected to close on or about June 30,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intends to use the net proceeds from the offering for working capital, general corporate purposes, debt paydown and potential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Craig-Hallum is acting as sole managing underwriter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shelf registration statement on Form S-3 (333-296498) relating to these securities has been filed with the Securities and Exchange Commission and has been declared effective. The offering is being made only by means of a prospectus supplement and accompanying prospectus. A copy of the final prospectus supplement and an accompany prospectus related to the offering, when available, can be obtained for free by visiting the Securities and Exchange Commission’s website at http://www.sec.gov or by contacting: Craig-Hallum Capital Group LLC, Attention: Equity Capital Markets, 323 North Washington Ave., Suite 300, Minneapolis, MN 55401, by telephone at (612) 334-6300 or by email at prospectus@chlm.com.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shall not constitute an offer to sell or the solicitation of an offer to buy these securities, nor shall there be any offer, solicitation or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Creative Realities,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Creative Realities designs, develops and deploys digital signage-based experiences for enterprise-level networks utilizing its Clarity™, ReflectView™, and iShowroom™ Content Management System (CMS) platforms. The Company is actively providing recurring SaaS and support services across diverse vertical markets, including, but not limited to, retail, automotive, digital out-of-home (DOOH) advertising networks, convenience stores, foodservice/QSR, gaming, theater, and stadium venues. In addition, the Company assists clients in utilizing place-based digital media to achieve business objectives such as increased revenue, enhanced customer experiences, and improved productivity. This includes the design, deployment, and day-to-day management of retail media networks to monetize on-premise foot traffic utilizing its AdLogic™ and CPM+™ programmatic advertising platforms.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Cautionary Note on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“projects,” “expects,” “anticipates,” “forecasts,” “plans,” “intends,” “believes,” “seeks,” “may,” “will,” “should,” “future,” “propose” and variations of these words or similar expressions (or the negative versions of such words or expressions) are intended to identify forward-looking statements. Except for historical information, all the statements, expectations and assumptions contained in this press release are forward-looking statements. The forward-looking statements are based on the Company’s current beliefs and expectations and include, but are not limited to, the Company’s expectations regarding the expected closing of the offering and the anticipated use of proceeds therefrom. Actual results may differ from those set forth in this press release due to the risks and uncertainties associated with market conditions and the satisfaction of customary closing conditions related to the offering, as well as risks and uncertainties inherent in the Company’s business described in the Company’s prior filings with the SEC, including under the heading “Risk Factors” in the Company’s Annual Report on Form 10-K for the fiscal year ended December 31, 2025, and in any subsequent filings with the SEC. Important factors, among others, that may affect actual results or outcomes include: our ability to integrate the recently acquired business of Cineplex Digital Media Inc. (“CDM”) into our own, maintain or improve the financial performance of CDM’s business and realize anticipated synergies, our strategy for customer retention, growth, product development, market position, financial results and reserves, our ability to execute on our business plan, our ability to retain key personnel, our ability to remain listed on the Nasdaq Capital Market, our ability to realize the revenues included in our future guidance and backlog reports, our ability to satisfy our upcoming debt obligations and other liabilities, the ability of the Company to continue as a going concern, potential litigation, supply chain shortages, and general economic and market conditions impacting demand for our products and services. You are cautioned not to place undue reliance on these forward-looking statements, which speak only as of the date hereof, and the Company undertakes no obligation to update such statements to reflect events that occur or circumstances after the date hereof. All forward-looking statements are qualified in their entirety by this cautionary statement, which is made under the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Idea Grove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creativerealities@ideagrove.com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 Witty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cwitty@darrowir.com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646-438-9385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ir@cri.com</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https://investors.cri.com/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30768</Words>
  <Characters>163408</Characters>
  <CharactersWithSpaces>195454</CharactersWithSpaces>
  <Paragraphs>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