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4000" w:right="900" w:hanging="3128"/>
        <w:spacing w:after="0" w:line="503" w:lineRule="auto"/>
        <w:tabs>
          <w:tab w:leader="none" w:pos="11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June 30, 2024</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420" w:right="880" w:hanging="2548"/>
        <w:spacing w:after="0" w:line="503" w:lineRule="auto"/>
        <w:tabs>
          <w:tab w:leader="none" w:pos="118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5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8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100, Louisville KY</w:t>
            </w:r>
          </w:p>
        </w:tc>
        <w:tc>
          <w:tcPr>
            <w:tcW w:w="35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9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 791-8800</w:t>
            </w:r>
          </w:p>
        </w:tc>
        <w:tc>
          <w:tcPr>
            <w:tcW w:w="14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8"/>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19"/>
                <w:szCs w:val="19"/>
                <w:color w:val="auto"/>
              </w:rPr>
            </w:pP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47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CREX</w:t>
            </w:r>
          </w:p>
        </w:tc>
        <w:tc>
          <w:tcPr>
            <w:tcW w:w="1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w:t>
            </w:r>
          </w:p>
        </w:tc>
        <w:tc>
          <w:tcPr>
            <w:tcW w:w="22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spacing w:after="0"/>
              <w:rPr>
                <w:sz w:val="18"/>
                <w:szCs w:val="18"/>
                <w:color w:val="auto"/>
              </w:rPr>
            </w:pP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14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filer</w:t>
            </w:r>
          </w:p>
        </w:tc>
        <w:tc>
          <w:tcPr>
            <w:tcW w:w="2280" w:type="dxa"/>
            <w:vAlign w:val="bottom"/>
            <w:vMerge w:val="continue"/>
          </w:tcPr>
          <w:p>
            <w:pPr>
              <w:spacing w:after="0"/>
              <w:rPr>
                <w:sz w:val="15"/>
                <w:szCs w:val="15"/>
                <w:color w:val="auto"/>
              </w:rPr>
            </w:pPr>
          </w:p>
        </w:tc>
        <w:tc>
          <w:tcPr>
            <w:tcW w:w="402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August 13, 2024, the registrant had 10,446,659 shares of common stock outstanding.</w:t>
      </w:r>
    </w:p>
    <w:p>
      <w:pPr>
        <w:sectPr>
          <w:pgSz w:w="11900" w:h="16838" w:orient="portrait"/>
          <w:cols w:equalWidth="0" w:num="1">
            <w:col w:w="11240"/>
          </w:cols>
          <w:pgMar w:left="320" w:top="1116" w:right="339" w:bottom="177"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term debt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portion of contingent consideration, at fair value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related party term debt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contingent consideration, at fair value</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41,946</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10,447 and 10,409 shares issued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(53,346)</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5,024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13,115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6,327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9,753</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6,788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12,552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4,531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6,196</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change in fair value of contingent consideration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1,059</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80" w:type="dxa"/>
            <w:vAlign w:val="bottom"/>
          </w:tcPr>
          <w:p>
            <w:pPr>
              <w:spacing w:after="0"/>
              <w:rPr>
                <w:sz w:val="17"/>
                <w:szCs w:val="17"/>
                <w:color w:val="auto"/>
              </w:rPr>
            </w:pPr>
          </w:p>
        </w:tc>
        <w:tc>
          <w:tcPr>
            <w:tcW w:w="10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7,406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10,434</w:t>
            </w:r>
          </w:p>
        </w:tc>
        <w:tc>
          <w:tcPr>
            <w:tcW w:w="30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7,406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10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change in fair value of contingent consideration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13,860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(15,147)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w:t>
            </w:r>
          </w:p>
        </w:tc>
        <w:tc>
          <w:tcPr>
            <w:tcW w:w="120" w:type="dxa"/>
            <w:vAlign w:val="bottom"/>
            <w:vMerge w:val="restart"/>
          </w:tcPr>
          <w:p>
            <w:pPr>
              <w:spacing w:after="0"/>
              <w:rPr>
                <w:sz w:val="18"/>
                <w:szCs w:val="18"/>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(53,455)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(54,070)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ind w:right="1900"/>
        <w:spacing w:after="0" w:line="258" w:lineRule="auto"/>
        <w:rPr>
          <w:sz w:val="20"/>
          <w:szCs w:val="20"/>
          <w:color w:val="auto"/>
        </w:rPr>
      </w:pPr>
      <w:r>
        <w:rPr>
          <w:rFonts w:ascii="Times New Roman" w:cs="Times New Roman" w:eastAsia="Times New Roman" w:hAnsi="Times New Roman"/>
          <w:sz w:val="18"/>
          <w:szCs w:val="18"/>
          <w:color w:val="auto"/>
        </w:rPr>
        <w:t>Balance as of December 31, 2023 Stock-based compensation</w:t>
      </w:r>
    </w:p>
    <w:p>
      <w:pPr>
        <w:spacing w:after="0" w:line="250" w:lineRule="auto"/>
        <w:rPr>
          <w:sz w:val="20"/>
          <w:szCs w:val="20"/>
          <w:color w:val="auto"/>
        </w:rPr>
      </w:pPr>
      <w:r>
        <w:rPr>
          <w:rFonts w:ascii="Times New Roman" w:cs="Times New Roman" w:eastAsia="Times New Roman" w:hAnsi="Times New Roman"/>
          <w:sz w:val="18"/>
          <w:szCs w:val="18"/>
          <w:color w:val="auto"/>
        </w:rPr>
        <w:t>Shares issued to employees pursuant to the Retention Bonus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76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10,409,027</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37,632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-856615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-582295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340" w:space="280"/>
            <w:col w:w="6620"/>
          </w:cols>
          <w:pgMar w:left="320" w:top="8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March 31,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right="880"/>
        <w:spacing w:after="0" w:line="271" w:lineRule="auto"/>
        <w:rPr>
          <w:sz w:val="20"/>
          <w:szCs w:val="20"/>
          <w:color w:val="auto"/>
        </w:rPr>
      </w:pPr>
      <w:r>
        <w:rPr>
          <w:rFonts w:ascii="Times New Roman" w:cs="Times New Roman" w:eastAsia="Times New Roman" w:hAnsi="Times New Roman"/>
          <w:sz w:val="18"/>
          <w:szCs w:val="18"/>
          <w:color w:val="auto"/>
        </w:rPr>
        <w:t>Shares issued to vendors as compensation Net loss</w:t>
      </w:r>
    </w:p>
    <w:p>
      <w:pPr>
        <w:spacing w:after="0"/>
        <w:rPr>
          <w:sz w:val="20"/>
          <w:szCs w:val="20"/>
          <w:color w:val="auto"/>
        </w:rPr>
      </w:pPr>
      <w:r>
        <w:rPr>
          <w:rFonts w:ascii="Times New Roman" w:cs="Times New Roman" w:eastAsia="Times New Roman" w:hAnsi="Times New Roman"/>
          <w:sz w:val="18"/>
          <w:szCs w:val="18"/>
          <w:color w:val="auto"/>
        </w:rPr>
        <w:t>Balance as of June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7,394,407</w:t>
            </w:r>
          </w:p>
        </w:tc>
        <w:tc>
          <w:tcPr>
            <w:tcW w:w="240" w:type="dxa"/>
            <w:vAlign w:val="bottom"/>
          </w:tcPr>
          <w:p>
            <w:pPr>
              <w:spacing w:after="0"/>
              <w:rPr>
                <w:sz w:val="24"/>
                <w:szCs w:val="24"/>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25,082</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14,620</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7,409,027</w:t>
            </w:r>
          </w:p>
        </w:tc>
        <w:tc>
          <w:tcPr>
            <w:tcW w:w="2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76,618</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(52,834)</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-161925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900" w:space="720"/>
            <w:col w:w="662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2023</w:t>
            </w:r>
          </w:p>
        </w:tc>
        <w:tc>
          <w:tcPr>
            <w:tcW w:w="120" w:type="dxa"/>
            <w:vAlign w:val="bottom"/>
            <w:vMerge w:val="restart"/>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7,266,382</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51,616</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vendors as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28,554</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employees pursuant to the Retention Bonus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62,475</w:t>
            </w: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7,409,027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(52,834)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NATURE OF ORGANIZATION AND OPERATIONS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references in these Notes to the accompanying Condensed Consolidated Financial Statements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Creative Realities, Inc. and its subsidiaries.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Allure Global Solutions, Inc., a Georgia corporation (“Allure”), Creative Realities Canada, Inc., a Canadian corporation (“CRI Canada”), and Reflect Systems, Inc., a Delaware corporation (“Reflect”).</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Liquidity and Financial Condition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2014-15, </w:t>
      </w:r>
      <w:r>
        <w:rPr>
          <w:rFonts w:ascii="Times New Roman" w:cs="Times New Roman" w:eastAsia="Times New Roman" w:hAnsi="Times New Roman"/>
          <w:sz w:val="18"/>
          <w:szCs w:val="18"/>
          <w:i w:val="1"/>
          <w:iCs w:val="1"/>
          <w:color w:val="auto"/>
        </w:rPr>
        <w:t>Disclosure of Uncertainties about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 (Subtopic 205-40)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205-40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Company has evaluated whether there are certain conditions and events, considered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that raise substantial doubt about the Company’s ability to continue as a going concern within one year after the date that the Condensed Consolidated Financial Statements are issued.</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At June 30, 2024, the Company has an accumulated deficit of $54,045 and negative working capital of $9,184. For the six months ended June 30, 2024, the Company generated operating income of $516 and positive net cash flows from operations of $4,206. The Company’s contingent consideration obligation is dependent upon the market value of the Company’s share price at a future date, February 17, 2025, and contractually must be settled in cash. The estimate for financial statement accounting purposes is $10,196 as of June 30, 2024. While the Company is currently generating cash from operations and has refinanced its debt, the Credit Agreement (as defined in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 xml:space="preserve"> below) limits, via specific reserve, utilization of the Company’s line of credit to no more than $4,000 for payments to satisfy the contingent consideration. Should the contingent consideration require a cash payment at maturity in excess of the Company’s availability under the Credit Agreement, inclusive of such reserve, the Company may not have sufficient liquidity to settle this obligation without receipt of a waiver under the Credit Agreement or a reduction in the amount of the contingent consideration. The conditions and events raise substantial doubt about the Company's ability to continue as a going concern under the technical framework within ASU 205-40.</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response to these conditions, the Company continues to evaluate its available options for amending its debt facilities or accessing the capital markets via equity financing. However, these plans have not been finalized, are subject to market conditions, in some respects are not within the Company’s control, and therefore cannot be deemed probable. As a result, the Company has concluded that management's plans do not alleviate substantial doubt about the Company's ability to continue as a going concern.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Condensed Consolidated Financial Statements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Article 10 of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2023, included in the Company’s Annual Report on Form 10-K filed with the Securities and Exchange Commission on March 21, 2024, as amended on April 26, 2024.</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Creative Realities, Inc. and our wholly owned subsidiaries Allure, CRI Canada, and Reflect. All intercompany balances and transactions have been eliminated in consolidation, as applicable. Certain amounts have been reclassified to conform to current period presentation.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Recently Issued Accounting Pronouncements Not Yet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Revenue Recognition</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arrangement involves multiple performance obligations, the obligations are analyzed to determine the separate units of accounting, whether the obligations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 with material extended payment terms as payment is typically due at or shortly after the time of the sale, typically ranging between thirty and ninety days. In those instances where the Company has material extended payment terms (most commonly in multi-year arrangements where the Company acts as an agent to a transaction on behalf of its customers), the Company evaluates and applies constraints to arrive at the revenue recognized in the period in which a contract is entered.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contract assets or unbilled receivables related to revenue recognized for services completed but not yet invoiced to the customers. A contract liability is recognized as deferred revenue when the Company invoices customers in advance of performing the related services under the terms of a contract. Deferred revenue is recognized as revenue when the Company has satisfied the related performance obligation.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Allowance for Credit Losses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the following activity for its allowance for credit losses for the six month ended June 30,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8000" w:type="dxa"/>
            <w:vAlign w:val="bottom"/>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accrued</w:t>
            </w: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Inventories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determined by the first-in, first-out (FIFO) method, and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4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6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2,372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46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r>
      <w:tr>
        <w:trPr>
          <w:trHeight w:val="25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56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2,995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413"/>
        </w:trPr>
        <w:tc>
          <w:tcPr>
            <w:tcW w:w="3400" w:type="dxa"/>
            <w:vAlign w:val="bottom"/>
            <w:tcBorders>
              <w:top w:val="single" w:sz="8" w:color="CCEEFF"/>
            </w:tcBorders>
          </w:tcPr>
          <w:p>
            <w:pPr>
              <w:spacing w:after="0"/>
              <w:rPr>
                <w:sz w:val="24"/>
                <w:szCs w:val="24"/>
                <w:color w:val="auto"/>
              </w:rPr>
            </w:pPr>
          </w:p>
        </w:tc>
        <w:tc>
          <w:tcPr>
            <w:tcW w:w="4600" w:type="dxa"/>
            <w:vAlign w:val="bottom"/>
            <w:tcBorders>
              <w:top w:val="single" w:sz="8" w:color="CCEEFF"/>
            </w:tcBorders>
          </w:tcPr>
          <w:p>
            <w:pPr>
              <w:jc w:val="right"/>
              <w:ind w:right="225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40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6. Impairment of Long-Lived Assets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review the carrying value of all long-lived assets, including property and equipment, for impairment in accordance with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Impairment or Disposal of Long-Lived Assets</w:t>
      </w:r>
      <w:r>
        <w:rPr>
          <w:rFonts w:ascii="Times New Roman" w:cs="Times New Roman" w:eastAsia="Times New Roman" w:hAnsi="Times New Roman"/>
          <w:sz w:val="18"/>
          <w:szCs w:val="18"/>
          <w:color w:val="auto"/>
        </w:rPr>
        <w:t>. Under ASC 360, impairment losses are recorded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value of an asset may not be recoverable.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Basic and Diluted Loss per Common Share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and diluted 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reserved for outstanding stock options, including stock options with performance restricted vesting, and warrants totaling approximately 6,219,800 and 7,391,651 at June 30, 2024 and 2023, respectively, were excluded from the computation of loss per share as the options and warrants were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Income Taxes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June 30, 2024 and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 Goodwill and Intangible Assets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follow the provisions of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Pursuant to ASC 350, goodwill acquired in a purchase business combination is not amortized, but instead tested for impairment at least annually. The Company uses an annual measurement date of September 30 to assess impairment of goodwill and indefinite-lived intangible assets, or as indicators are identified.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Definite-lived intangible assets are amortized straight-line in accordance with their identified useful lives.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 Use of Estimates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valuation of the contingent consideration, allowance for credit losses,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11. Contingent Consideration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12, 2021, the Company, Reflect, and other parties, entered into an Agreement and Plan of Merger (as amended on February 8, 2022 and February 11, 2023, the “Merger Agreement") pursuant to which a direct, wholly owned subsidiary of Creative Realities, CRI Acquisition Corporation, would merge with and into Reflect, with Reflect surviving the merger and becoming our wholly owned subsidiary, which transaction is referred to herein as the “Merger.” On February 17, 2022, the parties consummated the Merger. The Merger Agreement requires the Company to pay to the former Reflect stockholders additional contingent supplemental cash payments (the “Guaranteed Consideration”), if any, payable on or after February 17, 2025 (subject to the Extension Option described below, the “Guarantee Date”), in an amount by which the value of the CREX shares on such anniversary is less than $6.40 per share (such applicable amount, the “Guaranteed Price”), multiplied by the amount of CREX shares held by the Reflect stockholders on the Guarantee Date (subject to the Extension Option described below). The Company has recorded contingent liabilities related to the Guaranteed Consideration to reflect the Company's 1-for-3 reverse stock split that occurred on March 23, 2023. Accordingly, the amount of the Company's potential liability related to the contingent consideration is recorded at $19.20 per share.</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exercise an extension option (the “Extension Option”) to extend the Guarantee Date by six (6) months, from February 17, 2025 to August 17, 2025, if (i) the Extension Threshold Price is greater than or equal to 70% of the Guaranteed Price described above, and (ii) the Company provides written notice of its election to exercise the Extension Option no later than February 7, 2025. The “Extension Threshold Price” means the average closing price per share of Creative Realities common stock as reported on the Nasdaq Capital Market (or NYSE) in the fifteen (15) consecutive trading day period ending February 2, 2025. The Merger Agreement provides that if the Extension Threshold Price is less than 80% of the Guaranteed Price, then the Guaranteed Price will be increased by $1.00 per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FAIR VALUE MEASUREMENT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unobservable and involve management judgment and the reporting entity’s own assumptions about market participants and pricing.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calculation of the fair value of the contingent consideration contains inputs which are unobservable and involve management judgment and are considered Level 3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applies ASC 606 for revenue recognition. The following table disaggregates the Company’s revenue by major source for the three and six months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7,759</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4,847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7,907</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Installation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8,091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11,381</w:t>
            </w:r>
          </w:p>
        </w:tc>
      </w:tr>
      <w:tr>
        <w:trPr>
          <w:trHeight w:val="210"/>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19,140</w:t>
            </w:r>
          </w:p>
        </w:tc>
      </w:tr>
      <w:tr>
        <w:trPr>
          <w:trHeight w:val="413"/>
        </w:trPr>
        <w:tc>
          <w:tcPr>
            <w:tcW w:w="5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as a service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license sales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sells support services that include access to technical support personnel for software and hardware troubleshooting. The Company offers a hosting service through our network operations center, or NOC, allowing the ability to monitor and support our customers’ networks 7 days a week, 24 hours a day. These contracts are generally 12-36 months in length and typically have autorenewal terms. Revenue is recognized over the term of the agreement in proportion to the costs incurred in fulfilling performance obligations under the contract.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fees are based on the level of service provided to end customers, which can range from monitoring the health of a customer’s network, supporting a sophisticated web-portal, or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performs time and materials-based maintenance and repair work for customers. Revenue is recognized at a point in time when the performance obligation has been fully satisfied.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Installation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installation services associated with system hardware sales to customers and recognizes revenue upon completion of the installations. Installation services also include engineering and configuration services required to be performed to design and deploy a digital signage system that subsequently becomes an installation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system hardware sales include installation services to be performed by the Company, the goods and services in the contract are, in certain instances, not distinct as the customer contract contemplates an installed solution, inclusive of system hardware. In those instances, the arrangement is accounted for as a single performance obligation. Our customers may control the work-in-process and can make changes to the design specifications over the contract term. In these circumstances, revenues are recognized over time as the installation services are completed based on the relative portion of labor hours completed as a percentage of the budgeted hours for the installation. Typically, in large scale deployments that include installation services, the contract terms segregate performance obligations related to hardware sales and installation services by providing for different legal transfer of title and risk of loss. In those circumstances, installation services are deemed to be a separate performance obligation. In each instance, installation services are recognized at the time of completion.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design and development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design and custom development sales represent fixed fee orders for work on a time and materials basis and are recognized as revenue when the application, feature, or custom software code has been received and delivery has occurred to the customer. Revenue is recognized generally upon customer acceptance (point-in-time) of the software product and verification that it meets the required specifications. Software is delivered to customers electronically.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Media sales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Media revenues are derived from selling (i) promotion and sponsorship packages to monetize customer infrastructure assets, including mobile takeover or physical presence, or (ii) digital advertising inventory to advertisers on digital displays or other outdoor structures, owned or controlled by our customers, each within physical venues. We sell advertising or sponsorship opportunities on behalf of our media network owner customers to brands and advertisers. We generally do not own the devices that display the sold digital advertising. The Company has concluded that it acts as an agent and reports media revenues on a net basis, with the Company recording its commission, which typically is between thirty percent (30%) and forty percent (40%) of the total media sales contract, as revenue in the consolidated financial statements.</w:t>
      </w:r>
    </w:p>
    <w:p>
      <w:pPr>
        <w:spacing w:after="0" w:line="187" w:lineRule="exact"/>
        <w:rPr>
          <w:sz w:val="20"/>
          <w:szCs w:val="20"/>
          <w:color w:val="auto"/>
        </w:rPr>
      </w:pPr>
    </w:p>
    <w:p>
      <w:pPr>
        <w:ind w:left="160" w:right="120" w:firstLine="648"/>
        <w:spacing w:after="0" w:line="261" w:lineRule="auto"/>
        <w:rPr>
          <w:sz w:val="20"/>
          <w:szCs w:val="20"/>
          <w:color w:val="auto"/>
        </w:rPr>
      </w:pPr>
      <w:r>
        <w:rPr>
          <w:rFonts w:ascii="Times New Roman" w:cs="Times New Roman" w:eastAsia="Times New Roman" w:hAnsi="Times New Roman"/>
          <w:sz w:val="18"/>
          <w:szCs w:val="18"/>
          <w:color w:val="auto"/>
        </w:rPr>
        <w:t>The media sales contracts we facilitate on behalf of our customers range from a single day to eight years. The Company invoices advertisers on behalf of our customers and remits the net cash to our customer after the advertiser has paid the Company the fees owed for such advertising.</w:t>
      </w:r>
    </w:p>
    <w:p>
      <w:pPr>
        <w:ind w:left="160" w:right="460"/>
        <w:spacing w:after="0" w:line="255" w:lineRule="auto"/>
        <w:rPr>
          <w:sz w:val="20"/>
          <w:szCs w:val="20"/>
          <w:color w:val="auto"/>
        </w:rPr>
      </w:pPr>
      <w:r>
        <w:rPr>
          <w:rFonts w:ascii="Times New Roman" w:cs="Times New Roman" w:eastAsia="Times New Roman" w:hAnsi="Times New Roman"/>
          <w:sz w:val="18"/>
          <w:szCs w:val="18"/>
          <w:color w:val="auto"/>
        </w:rPr>
        <w:t>Media revenue services are recognized when the Company has completed its performance obligations under the contract with our customers, which typically has concluded upon facilitating execution of contracts between our customer and a brand/advertiser. The Company applies time-based constraints in accordance with ASC 606 to evaluate the earned portion of the contract to record at execution.</w:t>
      </w:r>
    </w:p>
    <w:p>
      <w:pPr>
        <w:spacing w:after="0" w:line="186" w:lineRule="exact"/>
        <w:rPr>
          <w:sz w:val="20"/>
          <w:szCs w:val="20"/>
          <w:color w:val="auto"/>
        </w:rPr>
      </w:pPr>
    </w:p>
    <w:p>
      <w:pPr>
        <w:ind w:left="160" w:right="80" w:firstLine="648"/>
        <w:spacing w:after="0" w:line="282" w:lineRule="auto"/>
        <w:rPr>
          <w:sz w:val="20"/>
          <w:szCs w:val="20"/>
          <w:color w:val="auto"/>
        </w:rPr>
      </w:pPr>
      <w:r>
        <w:rPr>
          <w:rFonts w:ascii="Times New Roman" w:cs="Times New Roman" w:eastAsia="Times New Roman" w:hAnsi="Times New Roman"/>
          <w:sz w:val="18"/>
          <w:szCs w:val="18"/>
          <w:color w:val="auto"/>
        </w:rPr>
        <w:t>For revenues generated through the use of a subcontracted advertising agency, commissions are calculated based on a stated percentage of gross advertising revenue and reported in the Condensed Consolidated Statements of Operations within Sales and Marketing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SUPPLEMENTAL CASH FLOW STATEMENT INFORMATION</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in 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Capitalized deferred financing costs in 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 information for cash flow</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57"/>
        </w:trPr>
        <w:tc>
          <w:tcPr>
            <w:tcW w:w="8000" w:type="dxa"/>
            <w:vAlign w:val="bottom"/>
            <w:gridSpan w:val="3"/>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INTANGIBLE ASSETS, INCLUDING GOODWILL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at June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18"/>
                <w:szCs w:val="18"/>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38"/>
        </w:trPr>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 platform</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3,702</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3,054</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Non-compete</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0"/>
        </w:trPr>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of amortizable intangible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23,745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and 2023, amortization of intangible assets charged to operations was $878 and $755, respectively. For the six months ended June 30, 2024 and 2023, amortization of intangible assets charged to operations was $1,668 and $1,508,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Goodwill is subject to an impairment review at a reporting unit level, evaluated on an annual basis at September 30th each fiscal year, when an event occurs, or circumstances change that would indicate potential impairment. The Company has only one reporting unit, and therefore the entire goodwill is allocated to that reporting unit.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assessed the carrying value of goodwill at the reporting unit level based on an estimate of the fair value of its reporting unit. Fair value of the reporting unit was estimated using both (1) a market approach, leveraging recent industry merger and acquisition activity as well as comparable public company information, and (2) a discounted cash flow analyses consisting of various assumptions, including expectations of future cash flows based on projections or forecasts derived from analysis of business prospects and economic or market trends that may occur. Specifically, the Company gave significant consideration to actual historic financial results, including revenue growth rates in the current and preceding three years, further informed by known backlog and customer acquisitions. Based on the Company’s assessment, we determined that the fair value of our reporting unit exceeded its carrying value, and accordingly, the goodwill associated with the reporting unit was not considered to be impaired at September 30, 2023. No indicators of impairment were identified at June 30, 2024.</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that any changes in our projected 2024 results could potentially have a material impact on our assessment of goodwill impairment. The Company will continue to monitor the actual performance of its operations against expectations and assess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DEBT</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Debt for the Company consists of the following:</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5/23/2024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5/23/2027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None</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Term Loan</w:t>
            </w:r>
          </w:p>
        </w:tc>
        <w:tc>
          <w:tcPr>
            <w:tcW w:w="1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2/17/2022</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833,334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Consolidation Term Loan</w:t>
            </w:r>
          </w:p>
        </w:tc>
        <w:tc>
          <w:tcPr>
            <w:tcW w:w="1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2/17/2022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898,165</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gross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15,147</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13,519</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3,690</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 net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9,829</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23, 2024, the Company entered into a Credit Agreement (the "Credit Agreement") with First Merchants Bank (the "Bank"). The Credit Agreement provides the Company with a $22,100 secured revolving credit facility, with an uncommitted accordion feature that provides for additional borrowing capacity of up to $5,000, subject to the Bank's approval and other customary terms and conditions set forth in the Credit Agreement. The revolving credit facility matures on May 23, 2027, subject to any earlier default under the Credit Agreement. The Credit Agreement requires the Company to pay the entire unpaid principal balance of the revolving credit facility on the maturity date, May 23, 2027, subject to any earlier default under the Credit Agreement. The Credit Agreement includes, among other things, the occurrence of any event which could reasonably be anticipated to cause or result in a “Material Adverse Effect” (as defined in the Credit Agreement) as an event of default under which the outstanding balance could become due and payable to the Bank. The Company has determined that the risk of such event is not probable and therefore has classified the outstanding balance in long-term liabilities in the Condensed Consolidated Balance Sheets based on the maturity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23, 2024, the Company borrowed $13,667 under the revolving credit facility to repay all obligations owing to its prior lender, Slipstream Communications, LLC, including the outstanding principal balance of $10,000 on the Acquisition Term Loan, the outstanding principal balance of $3,593 on the Consolidation Term Loan and accrued interest expense incurred through the payoff date of $74. The Company recognized a $1,059 loss on extinguishment of debt equal to the unamortized portion of debt discount at May 23, 2024 associated with the Acquisition Term Loan and Consolidation Term Loan.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accrues interest at a floating rate equal to the 1-month SOFR, plus 0.11%, plus a floating margin ranging from 2.00% to 3.50% that adjusts quarterly, depending upon the Company's Senior Funded Debt to EBITDA Ratio. The floating margin is determined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Funded Debt to EBITDA Ratio</w:t>
            </w:r>
          </w:p>
        </w:tc>
        <w:tc>
          <w:tcPr>
            <w:tcW w:w="4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Floating Margin</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 1.00 to 1</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1.00 to 1.00 but &lt; 2.00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2.00 to 1.00 but &lt; 3.00 to 1.00</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3.00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9" w:lineRule="exact"/>
        <w:rPr>
          <w:sz w:val="20"/>
          <w:szCs w:val="20"/>
          <w:color w:val="auto"/>
        </w:rPr>
      </w:pPr>
    </w:p>
    <w:p>
      <w:pPr>
        <w:jc w:val="both"/>
        <w:ind w:firstLine="710"/>
        <w:spacing w:after="0" w:line="282" w:lineRule="auto"/>
        <w:rPr>
          <w:sz w:val="20"/>
          <w:szCs w:val="20"/>
          <w:color w:val="auto"/>
        </w:rPr>
      </w:pPr>
      <w:r>
        <w:rPr>
          <w:rFonts w:ascii="Times New Roman" w:cs="Times New Roman" w:eastAsia="Times New Roman" w:hAnsi="Times New Roman"/>
          <w:sz w:val="18"/>
          <w:szCs w:val="18"/>
          <w:color w:val="auto"/>
        </w:rPr>
        <w:t>The effective interest rate at June 30, 2024 was 8.93%. The Company shall pay accrued interest monthly on the first day of each successive calendar month, beginning July 1, 2024, and continuing thereafter.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$281 of deferred financing costs that were capitalized during the three months ended June 30, 2024 and recorded as other non-current assets within the Condensed Consolidated Balance Sheets. Deferred financing costs will be amortized as interest expense over the respective debt instrument period, 36 months.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$13,819 in outstanding borrowings under the revolving credit facility as of June 30, 2024. Total availability under the revolving facility was $4,281, after accounting for $4,000 reserved under the Credit Agreement until resolution of the Contingent Consideration.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the Company was in compliance with all applicable debt covenants.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COMMITMENTS AND CONTINGENCIES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material legal proceedings, other than ordinary routine litigation incidental to the business, and there were no other such proceedings pending during the period covered by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and 2023, we reported tax liabilities of $25 and $45, respectively. At June 30, 2024, the net deferred tax liabilities were $95 after valuation allowance, compared to net tax liabilities of $73 at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outstanding warrants accounted for as equity instruments in the Company's Condensed Consolidated Financial Statements totaling 4,587,002 at June 30, 2024 and December 31, 2023 with a weighted average exercise price of $4.90. The weighted average remaining contractual life of the outstanding warrants was 3.61 and 4.11 at June 30, 2024 and December 31,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gridSpan w:val="3"/>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A summary of outstanding options is included below:</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Time Vesting Options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Range of Exercise</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Prices between</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00" w:type="dxa"/>
            <w:vAlign w:val="bottom"/>
            <w:gridSpan w:val="2"/>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$4.01 - $8.00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566,673</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566,673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3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92,791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659,464</w:t>
            </w:r>
          </w:p>
        </w:tc>
        <w:tc>
          <w:tcPr>
            <w:tcW w:w="80" w:type="dxa"/>
            <w:vAlign w:val="bottom"/>
            <w:tcBorders>
              <w:lef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659,464</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32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Performance Vesting Options</w:t>
            </w:r>
          </w:p>
        </w:tc>
        <w:tc>
          <w:tcPr>
            <w:tcW w:w="3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Market Vesting Options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Performance Vesting</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Market Vesting Options</w:t>
            </w:r>
          </w:p>
        </w:tc>
        <w:tc>
          <w:tcPr>
            <w:tcW w:w="26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gridSpan w:val="2"/>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 w:type="dxa"/>
            <w:vAlign w:val="bottom"/>
            <w:gridSpan w:val="2"/>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662,798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659,464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5.61 years as of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Awards</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recognized for the issuance of stock options to employees for the three and six months ended June 30, 2024 of $3 and $6, respectively, was included in general and administrative expense in the Condensed Consolidated Financial Statements. Stock-based compensation expense recognized for the issuance of stock options to employees for the three and six months ended June 30, 2023 of $151 and $377, respectively, was included in general and administrative expense in the Condensed Consolidated Financial Statements.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June 30, 2024, there was $9 of total unrecognized compensation expense related to unvested share-based awards with market vesting criteria for employees. Compensation expense related to market vesting options will be recognized over the next 8 months and will be adjusted for any future forfeitures as they occur.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Non-Employee Awards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recognized for the issuance of stock options to our non-employee Board of Directors, for the three and six months ended June 30, 2024 was $0 and included in general and administrative expense in the Condensed Consolidated Financial Statements. Stock-based compensation expense recognized for the issuance of stock options to our non-employee Board of Directors for the three and six months ended June 30, 2023 of $43 and $86, respectively, was included in general and administrative expense in the Condensed Consolidated Financial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2024, there was no unrecognized compensation expense related to share-based awards for non-employee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SIGNIFICANT CUSTOMERS/VENDORS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had three customers that accounted for 18%, 17%, and 13% of accounts receivable at June 30, 2024 and three customers that accounted for 28%, 25%, and 11% of accounts receivable at December 31,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four customers that accounted for 13%, 13%, 11%, and 10% of revenue for the three months ended June 30, 2024, compared to three customers that accounted for 13%, 11%, and 10% of revenue for the three months ended June 30,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three customers that accounted for 13%, 12% and 10% of revenue for the six months ended June 30, 2024, compared to two customers that accounted for 19% and 11% of revenue for the six months ended June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Vendors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one vendor that accounted for 28% of outstanding accounts payable at June 30, 2024, and one vendor that accounted for 38% of outstanding accounts payable at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2023 as filed with the Securities and Exchange Commission on March 21, 2024, as amended on April 26, 2024, and in the Company's Quarterly Report on Form 10-Q filed with the SEC on May 10, 2024.</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quick-serve restaurants (“QSR”)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color w:val="auto"/>
        </w:rPr>
        <w:t>When comparing us to other digital signage providers, our customers value the following competitive advantages:</w:t>
      </w:r>
    </w:p>
    <w:p>
      <w:pPr>
        <w:spacing w:after="0" w:line="221" w:lineRule="exact"/>
        <w:rPr>
          <w:sz w:val="20"/>
          <w:szCs w:val="20"/>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a wide breadth of solutions to our customers. Creative Realities is one of only a few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industry capable of providing the full portfolio of products and services required to implement and run an effective digital signage network. We leverage a ‘single vendor’ approach, providing customers with a one-stop-shop for sourcing digital signage solutions from design through day two services.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SaaS content management platforms power some of the largest and most complex digital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 management platform </w:t>
      </w:r>
      <w:r>
        <w:rPr>
          <w:rFonts w:ascii="Times New Roman" w:cs="Times New Roman" w:eastAsia="Times New Roman" w:hAnsi="Times New Roman"/>
          <w:sz w:val="18"/>
          <w:szCs w:val="18"/>
          <w:color w:val="auto"/>
        </w:rPr>
        <w:t>– Our customers are increasingly interested in monetizing their digital signage networks through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However, efficiently scheduling advertising content into digital signage playlists to meet campaign objectives can be a challenging and labor-intensive process for our customers. AdLogic, our home-grown, content management-agnostic platform, automates this process, allowing network owners to capture more revenue with less expense.</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 sales </w:t>
      </w:r>
      <w:r>
        <w:rPr>
          <w:rFonts w:ascii="Times New Roman" w:cs="Times New Roman" w:eastAsia="Times New Roman" w:hAnsi="Times New Roman"/>
          <w:sz w:val="18"/>
          <w:szCs w:val="18"/>
          <w:color w:val="auto"/>
        </w:rPr>
        <w:t>– Few digital signage solution providers offer their customers media sales as a service. We have in-house media sales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elevate conversations with our customers interested in better understanding network monetization. We believe this meaningful differentiation in the sales process provides us an additional revenue stream compared to our competitors.</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QSRs,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76" w:lineRule="exact"/>
        <w:rPr>
          <w:rFonts w:ascii="Times New Roman" w:cs="Times New Roman" w:eastAsia="Times New Roman" w:hAnsi="Times New Roman"/>
          <w:sz w:val="18"/>
          <w:szCs w:val="18"/>
          <w:color w:val="auto"/>
        </w:rPr>
      </w:pPr>
    </w:p>
    <w:p>
      <w:pPr>
        <w:ind w:left="324" w:hanging="324"/>
        <w:spacing w:after="0" w:line="28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NOC in Louisville, Kentucky. The NOC resolves many issues remotely and when field support is required, it can be dispatched quickly from the NOC, leveraging our managed labor pool to resolve customer issues quickly and effectively.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point of sale systems, our proven ability to build scalable applications and integrations is a key advantage that customers can leverage to deliver more compelling and engaging experiences for their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flexibility to select the appropriate hardware for any application knowing the entire network can still be served by a single digital signage platform, reducing complexity and improving the productivity of our customers.</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2360" w:hanging="324"/>
        <w:spacing w:after="0" w:line="53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 o Hardware system design/engineering</w:t>
      </w:r>
    </w:p>
    <w:p>
      <w:pPr>
        <w:jc w:val="both"/>
        <w:ind w:left="980" w:right="83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w:t>
      </w:r>
    </w:p>
    <w:p>
      <w:pPr>
        <w:ind w:left="980" w:right="68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 o Media sales</w:t>
      </w: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2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menu board solution, which has become a market leader for a range of restaurant and convenience store applications;</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 mobile device;</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 and</w:t>
      </w:r>
    </w:p>
    <w:p>
      <w:pPr>
        <w:spacing w:after="0" w:line="155" w:lineRule="exact"/>
        <w:rPr>
          <w:sz w:val="20"/>
          <w:szCs w:val="20"/>
          <w:color w:val="auto"/>
        </w:rPr>
      </w:pPr>
    </w:p>
    <w:p>
      <w:pPr>
        <w:ind w:left="130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Our Operating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are comprised of sales and marketing, and general and administrative expenses.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general and administrative expenses consist of corporate overhead, including administrative salaries, real property lease payments, salaries, and benefits for our corporate officers and other expenses such as legal and accounting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Company’s Condensed Consolidated Financial Statements included elsewhere in this Report. The Company’s Condensed Consolidated Financial Statements are prepared in conformity with GAAP.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share and per-share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1,229</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4,998</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(1,380)</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increased $3,919, or 43%, for the three months ending June 30, 2024 as compared to the same period in 2023. Hardware revenues were $5,024, an increase of $1,587, or 46%, for the three months ending June 30, 2024 as compared to the same period in 2023. Services and other revenues were $8,091, an increase of $2,332 or 40%, driven by increases in both installation and managed services revenues. Installation services revenue increased $870, or 74%, as a result of significant installation deployment activity during the period. Managed services revenue, which includes the Company’s SaaS subscription services, were $4,849, an increase of $1,014, or 26%, as compared to the same period in 2023. An increase in the quantity of licenses subject to software subscriptions on our platforms and an expansion in the average price per subscription license per month in part as a result of price increases during contract renewals drove the increase.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margin increased to 52% from 47% for the three months ending June 30, 2024 and 2023, driven primarily by economies of scale and reducing costs of delivery as a percentage of revenue as the Company increases revenue in any given period. While the Company’s revenue mix was less favorable in the current year (based on gross profit margins of the types of revenues), the overall revenue growth in hardware, installation services, managed services, and other services ultimately drove increased gross profit and enhanced gross profit margins. The Company anticipates further margin expansion as revenue expands more quickly than the associated cost of deployment and support of those enhanced levels of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increased by $436, or 35%, for the three-month period ended June 30, 2024 as compared to the same period in 2023, driven primarily by the Company’s enhanced investments into sales and marketing activities, increases of (1) $247 in fixed and variable sales costs as the Company continues to invest in new business development to strengthen its pipeline, and (2) $169 in variable third party media-related commissions.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$762, or 20% during the three months ending June 30, 2024 as compared to the same period in 2023. The change is driven by (1) an increase of $672 in personnel costs, including both the Company’s portion of employee benefits and other administrative and processing costs associated with employment, in the current year driven by increased headcount in development and administrative functions to support active and anticipated deployments for a growing number of customers and (2) an increase of $136 in systems infrastructure costs associated with implementation and enhancements to the Company’s operating systems. We expect these costs to begin reducing as we enter 2025 and sunset legacy applications for which activities have been or will be migrated to the new infrastructure and applications. Increases in general and administrative expenses were offset by a $191 decrease in stock compensation expense in the current period as all outstanding time vested and performance awards for employees and directors were fully expensed as of December 31,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300" w:type="dxa"/>
            <w:vAlign w:val="bottom"/>
          </w:tcPr>
          <w:p>
            <w:pPr>
              <w:spacing w:after="0"/>
              <w:rPr>
                <w:sz w:val="20"/>
                <w:szCs w:val="20"/>
                <w:color w:val="auto"/>
              </w:rPr>
            </w:pPr>
          </w:p>
        </w:tc>
        <w:tc>
          <w:tcPr>
            <w:tcW w:w="15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19,140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9,753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9,387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3,165</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2,365</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7,812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10,177</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1,859</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equity guarantee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(1,104)</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(2,337)</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1,647</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from income taxes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(2,425)</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1,701</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increased $6,260, or 33%, for the six months ending June 30, 2024 as compared to the same period in 2023. Hardware revenues were $9,168, an increase of $1,409, or 18%, for the six months ending June 30, 2024 as compared to the same period in 2023. Services and other revenues were $16,232, an increase of $4,851 or 43%, as compared to the same period in 2023. Managed services revenue, which includes the Company’s SaaS subscription services were $9,623, an increase of $1,716, or 22%, as compared to the same period in 2023. An increase in the quantity of licenses subject to software subscriptions on our platforms and an expansion in the average price per subscription license per month in part as a result of price increases during contract renewals drove the increase.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margin was approximately 49% for both the six months ending June 30, 2024 and 2023. The Company’s revenue mix varied in each period, with higher installation services revenue in the current year generating a drag on gross margin, offset by (1) an increase in other services revenue in the current year which generated an average gross margin in excess of the Company’s aggregate average, and (2) a reduction in hardware revenues as a percentage of total revenues in the current year, which typically have gross margins of approximately 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increased by $765, or 32%, for the six months ending June 30, 2024 as compared to the same period in 2023, driven primarily by the Company’s enhanced investments into sales and marketing activities, including increases of (1) $471 in fixed and variable sales costs as the Company continues to invest in new business development to strengthen its pipeline, (2) $187 in variable third party media-related commissions, and (3) $121 in industry trade show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$1,094, or 14% during the six months ending June 30, 2024 as compared to the same period in 2023. The change is driven by (1) an increase of $1,318 in personnel costs, including both the Company’s portion of employee benefits and other administrative and processing costs associated with employment, in the current year driven by increased headcount in development and administrative functions to support active and anticipated deployments for a growing number of customers and (2) an increase of $234 in systems infrastructure costs associated with implementation and enhancements to the Company’s operating systems. We expect these costs to begin reducing as we enter 2025 and sunset legacy applications for which activities have been or will be migrated to our new infrastructure and applications. Increases in general and administrative expenses were offset by a $485 decrease in stock compensation expense in the current period as all outstanding time vested and performance awards for employees and directors were fully expensed as of December 31,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Debt</w:t>
      </w:r>
      <w:r>
        <w:rPr>
          <w:rFonts w:ascii="Times New Roman" w:cs="Times New Roman" w:eastAsia="Times New Roman" w:hAnsi="Times New Roman"/>
          <w:sz w:val="18"/>
          <w:szCs w:val="18"/>
          <w:color w:val="auto"/>
        </w:rPr>
        <w:t xml:space="preserve"> to the Condensed Consolidated Financial Statements for a discussion of the Company’s debt and related interest expense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contingent consideration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 contingent consideration arrangement related to the Merger to potentially pay additional cash amounts in future periods based on the lack of achievement of certain share price performance goals of our common stock. See </w:t>
      </w:r>
      <w:r>
        <w:rPr>
          <w:rFonts w:ascii="Times New Roman" w:cs="Times New Roman" w:eastAsia="Times New Roman" w:hAnsi="Times New Roman"/>
          <w:sz w:val="18"/>
          <w:szCs w:val="18"/>
          <w:u w:val="single" w:color="auto"/>
          <w:color w:val="0000EE"/>
        </w:rPr>
        <w:t>Note 2 Section 11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Policies - Contingent Consideration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Condensed Consolidated Financial Statements for a discussion of the Company's obligations related to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contingent consideration arrangement. The contingent consideration arrangement is recorded at fair value and is classified as a liability on the acquisition date and is remeasured at each reporting period in accordance with ASC 805-30-35-1 using a Monte Carlo simulation model. The change in the period represents the mark-to-market adjustment as of the balance sheet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a $1,059 loss on extinguishment of debt equal to the remaining unamortized portion of debt discount associated with the Acquisition Term Loan and Consolidation Term Loan as of May 23, 2024, the date the Company entered into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Unaudited Quarterly Financial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earnings before interest, depreciation, and amortization (“EBITDA”) is a performance measure and not a liquidity measure, and therefore a reconciliation between net (loss) income, a GAAP financial measure, and EBITDA and Adjusted EBITDA has been provided. EBITDA should not be considered as an alternative to net (loss) 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Condensed Consolidated Financial Statements prepared in accordance with GAAP that are included elsewhere in this Report.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108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6"/>
                <w:szCs w:val="16"/>
                <w:color w:val="auto"/>
              </w:rPr>
            </w:pPr>
          </w:p>
        </w:tc>
        <w:tc>
          <w:tcPr>
            <w:tcW w:w="132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94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&amp; equipment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Nature of Organization and Operations</w:t>
      </w:r>
      <w:r>
        <w:rPr>
          <w:rFonts w:ascii="Times New Roman" w:cs="Times New Roman" w:eastAsia="Times New Roman" w:hAnsi="Times New Roman"/>
          <w:sz w:val="18"/>
          <w:szCs w:val="18"/>
          <w:color w:val="auto"/>
        </w:rPr>
        <w:t xml:space="preserve"> to the accompanying Condensed Consolidated Financial Statements for a discussion of liquidity and financial resources.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net cash provided by operating activities during the six months ended June 30, 2024 was $4,206, compared to $6,344 for the same period in 2023. During the six month period ending June 30, 2024, the Company generated a net loss of $699, which included depreciation and amortization expense (inclusive of amortization of debt discount) of $1,769, a loss on the extinguishment of debt of $1,059, and a gain on the change in fair value of contingent consideration of $1,012. The Company generated a $2,368 increase in cash as of June 30, 2024, provided by changes in operating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was $1,495, compared to $2,203 during the same period in 2023. We currently do not have any material commitments for capital expenditures as of June 30, 2024. The reduction in capital expenditures in 2024 compared to the prior period was anticipated as the Company has been reducing third-party development resources utilized for the previously disclosed modernization and internationalization of our automotive platform, which launched to user acceptance testing during the second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2024 was $1,535, compared to $2,510 for the same period in 2023. Net cash used in financing activities during the six month period ended June 30, 2024 is primarily the result of the repayment of related party term debt totaling $15,147, partially offset by proceeds from borrowings under the Company's revolving credit facility of $13,860.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we did not engage in any off-balance sheet arrangements set forth in Item 303(a)(4)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June 30, 2024, and were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2024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21, 2024, as amended on April 26, 2024, our Quarterly Report on Form 10-Q filed with the SEC on May 10, 2024, and subsequent filings made with the SEC. Such risks and uncertainties have the potential to affect our business, financial condition, results of operations, cash flow, strategies or prospects in a material and adverse manner.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12, 2024, the Company entered into standard indemnification agreements with each of its directors and officers. The indemnification agreements may require the Company, among other things, to indemnify its directors and officers against certain liabilities that may arise by reason of their status or service as directors or officers, to advance their expenses incurred as a result of any proceeding against them as to which they could be indemnified, and to obtain directors’ and officers’ insurance if available on reasonable terms. The form of indemnification agreement is attached as Exhibit 10.6 to this report, the substance of which is incorporated by reference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Release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14, 2024, the Company issued a press release announcing its financial condition and results of operations for the three and six months ended June 30, 2024. A copy of the press release is furnished as Exhibit 99.1 and is incorporated by reference into this Item 5 in lieu of separately furnishing such press release under Item 2.02 of Form 8-K. This disclosure, including Exhibit 99.1 hereto, shall not be deemed “filed” for purposes of Section 18 of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238"/>
        </w:trPr>
        <w:tc>
          <w:tcPr>
            <w:tcW w:w="60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5"/>
          </w:tcPr>
          <w:p>
            <w:pPr>
              <w:ind w:left="10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6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02"/>
        </w:trPr>
        <w:tc>
          <w:tcPr>
            <w:tcW w:w="940" w:type="dxa"/>
            <w:vAlign w:val="bottom"/>
            <w:tcBorders>
              <w:left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Borders>
              <w:right w:val="single" w:sz="8" w:color="auto"/>
            </w:tcBorders>
            <w:gridSpan w:val="15"/>
          </w:tcPr>
          <w:p>
            <w:pPr>
              <w:ind w:left="6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86"/>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right w:val="single" w:sz="8" w:color="auto"/>
            </w:tcBorders>
          </w:tcPr>
          <w:p>
            <w:pPr>
              <w:spacing w:after="0"/>
              <w:rPr>
                <w:sz w:val="14"/>
                <w:szCs w:val="14"/>
                <w:color w:val="auto"/>
              </w:rPr>
            </w:pPr>
          </w:p>
        </w:tc>
        <w:tc>
          <w:tcPr>
            <w:tcW w:w="4480" w:type="dxa"/>
            <w:vAlign w:val="bottom"/>
            <w:tcBorders>
              <w:bottom w:val="single" w:sz="8" w:color="0000EE"/>
            </w:tcBorders>
            <w:gridSpan w:val="10"/>
          </w:tcPr>
          <w:p>
            <w:pPr>
              <w:spacing w:after="0" w:line="169"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Credit Agreement dated May 23, 2024 by and among Creative</w:t>
              </w:r>
            </w:hyperlink>
          </w:p>
        </w:tc>
        <w:tc>
          <w:tcPr>
            <w:tcW w:w="480" w:type="dxa"/>
            <w:vAlign w:val="bottom"/>
            <w:tcBorders>
              <w:right w:val="single" w:sz="8" w:color="auto"/>
            </w:tcBorders>
            <w:gridSpan w:val="8"/>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001-33169</w:t>
            </w: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28, 2024</w:t>
            </w: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96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Realities, Inc., First Merchants Bank and other parties thereto*</w:t>
              </w:r>
            </w:hyperlink>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22,100,000 Revolving Credit Note dated May 23, 2024</w:t>
              </w:r>
            </w:hyperlink>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001-33169</w:t>
            </w: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28, 2024</w:t>
            </w: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Security Agreement dated May 23, 2024 by and among Creative</w:t>
              </w:r>
            </w:hyperlink>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001-33169</w:t>
            </w: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28, 2024</w:t>
            </w: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Realities, Inc., First Merchants Bank and other parties thereto*</w:t>
              </w:r>
            </w:hyperlink>
          </w:p>
        </w:tc>
        <w:tc>
          <w:tcPr>
            <w:tcW w:w="340" w:type="dxa"/>
            <w:vAlign w:val="bottom"/>
            <w:tcBorders>
              <w:right w:val="single" w:sz="8" w:color="auto"/>
            </w:tcBorders>
            <w:gridSpan w:val="5"/>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right w:val="single" w:sz="8" w:color="auto"/>
            </w:tcBorders>
          </w:tcPr>
          <w:p>
            <w:pPr>
              <w:spacing w:after="0"/>
              <w:rPr>
                <w:sz w:val="14"/>
                <w:szCs w:val="14"/>
                <w:color w:val="auto"/>
              </w:rPr>
            </w:pPr>
          </w:p>
        </w:tc>
        <w:tc>
          <w:tcPr>
            <w:tcW w:w="482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Guaranty dated May 23, 2024 by Creative Realities Canada, Inc. in</w:t>
              </w:r>
            </w:hyperlink>
          </w:p>
        </w:tc>
        <w:tc>
          <w:tcPr>
            <w:tcW w:w="140" w:type="dxa"/>
            <w:vAlign w:val="bottom"/>
            <w:tcBorders>
              <w:right w:val="single" w:sz="8" w:color="auto"/>
            </w:tcBorders>
            <w:gridSpan w:val="3"/>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001-33169</w:t>
            </w: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28, 2024</w:t>
            </w: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96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favor of First Merchants Bank*</w:t>
              </w:r>
            </w:hyperlink>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Security Agreement dated May 23, 2024 granted by Creative</w:t>
              </w:r>
            </w:hyperlink>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001-33169</w:t>
            </w: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28, 2024</w:t>
            </w: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3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Realities Canada, Inc. in favor of First Merchants Bank*</w:t>
              </w:r>
            </w:hyperlink>
          </w:p>
        </w:tc>
        <w:tc>
          <w:tcPr>
            <w:tcW w:w="600" w:type="dxa"/>
            <w:vAlign w:val="bottom"/>
            <w:tcBorders>
              <w:right w:val="single" w:sz="8" w:color="auto"/>
            </w:tcBorders>
            <w:gridSpan w:val="9"/>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EE"/>
              </w:rPr>
              <w:t>Form of Indemnification Agreement</w:t>
            </w: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EE"/>
              </w:rPr>
              <w:t>Chief Executive Officer Certification pursuant to Exchange Act</w:t>
            </w: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Rule 13a-14(a).</w:t>
            </w:r>
          </w:p>
        </w:tc>
        <w:tc>
          <w:tcPr>
            <w:tcW w:w="400" w:type="dxa"/>
            <w:vAlign w:val="bottom"/>
            <w:tcBorders>
              <w:right w:val="single" w:sz="8" w:color="auto"/>
            </w:tcBorders>
            <w:gridSpan w:val="6"/>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right w:val="single" w:sz="8" w:color="auto"/>
            </w:tcBorders>
          </w:tcPr>
          <w:p>
            <w:pPr>
              <w:spacing w:after="0"/>
              <w:rPr>
                <w:sz w:val="14"/>
                <w:szCs w:val="14"/>
                <w:color w:val="auto"/>
              </w:rPr>
            </w:pPr>
          </w:p>
        </w:tc>
        <w:tc>
          <w:tcPr>
            <w:tcW w:w="4900" w:type="dxa"/>
            <w:vAlign w:val="bottom"/>
            <w:tcBorders>
              <w:bottom w:val="single" w:sz="8" w:color="0000EE"/>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EE"/>
                <w:w w:val="98"/>
              </w:rPr>
              <w:t>Chief Financial Officer Certification pursuant to Exchange Act Rule</w:t>
            </w:r>
          </w:p>
        </w:tc>
        <w:tc>
          <w:tcPr>
            <w:tcW w:w="6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960" w:type="dxa"/>
            <w:vAlign w:val="bottom"/>
            <w:tcBorders>
              <w:right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13a-14(a).</w:t>
            </w: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EE"/>
              </w:rPr>
              <w:t>Chief Executive Officer Certification pursuant to 18 U.S.C. Section</w:t>
            </w: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3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EE"/>
              </w:rPr>
              <w:t>Chief Financial Officer Certification pursuant to 18 U.S.C. Section</w:t>
            </w: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3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August 14, 2024</w:t>
            </w: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right w:val="single" w:sz="8" w:color="auto"/>
            </w:tcBorders>
          </w:tcPr>
          <w:p>
            <w:pPr>
              <w:spacing w:after="0"/>
              <w:rPr>
                <w:sz w:val="16"/>
                <w:szCs w:val="16"/>
                <w:color w:val="auto"/>
              </w:rPr>
            </w:pPr>
          </w:p>
        </w:tc>
        <w:tc>
          <w:tcPr>
            <w:tcW w:w="4960" w:type="dxa"/>
            <w:vAlign w:val="bottom"/>
            <w:tcBorders>
              <w:right w:val="single" w:sz="8" w:color="auto"/>
            </w:tcBorders>
            <w:gridSpan w:val="18"/>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496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8"/>
        <w:spacing w:after="0" w:line="282" w:lineRule="auto"/>
        <w:tabs>
          <w:tab w:leader="none" w:pos="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the exhibits and schedules to Exhibits 10.1, 10.3, 10.4 and 10.5 have been omitted from this report and will be furnished supplementally to the Commission upon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Creative Realities,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3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3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3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Pr>
          <w:p>
            <w:pPr>
              <w:spacing w:after="0"/>
              <w:rPr>
                <w:sz w:val="24"/>
                <w:szCs w:val="24"/>
                <w:color w:val="auto"/>
              </w:rPr>
            </w:pPr>
          </w:p>
        </w:tc>
        <w:tc>
          <w:tcPr>
            <w:tcW w:w="3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 Logan</w:t>
            </w:r>
          </w:p>
        </w:tc>
      </w:tr>
      <w:tr>
        <w:trPr>
          <w:trHeight w:val="191"/>
        </w:trPr>
        <w:tc>
          <w:tcPr>
            <w:tcW w:w="3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 Logan</w:t>
            </w:r>
          </w:p>
        </w:tc>
      </w:tr>
      <w:tr>
        <w:trPr>
          <w:trHeight w:val="234"/>
        </w:trPr>
        <w:tc>
          <w:tcPr>
            <w:tcW w:w="3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80" w:type="dxa"/>
            <w:vAlign w:val="bottom"/>
          </w:tcPr>
          <w:p>
            <w:pPr>
              <w:spacing w:after="0"/>
              <w:rPr>
                <w:sz w:val="24"/>
                <w:szCs w:val="24"/>
                <w:color w:val="auto"/>
              </w:rPr>
            </w:pPr>
          </w:p>
        </w:tc>
        <w:tc>
          <w:tcPr>
            <w:tcW w:w="31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31</w:t>
            </w:r>
          </w:p>
        </w:tc>
        <w:tc>
          <w:tcPr>
            <w:tcW w:w="448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INDEMNIFICATION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August 12, 2024 by and among Creative Realities, Inc., a Minnesota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WITNESSETH THAT: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corporations as officers, directors or in other capacities unless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provided with adequate protection through insurance or adequate indemnification against inordinate risks of claims and actions against them arising out of their service to and activities on behalf of the corporation;</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the services of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Articles of Incorporation of the Company require indemnification of the employees, officers and directors of the Company. Indemnitee may also be entitled to indemnification pursuant to the Minnesota Business Corporation Act (“</w:t>
      </w:r>
      <w:r>
        <w:rPr>
          <w:rFonts w:ascii="Times New Roman" w:cs="Times New Roman" w:eastAsia="Times New Roman" w:hAnsi="Times New Roman"/>
          <w:sz w:val="18"/>
          <w:szCs w:val="18"/>
          <w:b w:val="1"/>
          <w:bCs w:val="1"/>
          <w:color w:val="auto"/>
        </w:rPr>
        <w:t>MBCA</w:t>
      </w:r>
      <w:r>
        <w:rPr>
          <w:rFonts w:ascii="Times New Roman" w:cs="Times New Roman" w:eastAsia="Times New Roman" w:hAnsi="Times New Roman"/>
          <w:sz w:val="18"/>
          <w:szCs w:val="18"/>
          <w:color w:val="auto"/>
        </w:rPr>
        <w:t>”). The Bylaws, Articles of Incorporation and the MBCA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and to advance expenses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such persons to the fullest extent permitted by applicable law so that they will serve or continue to serve the Company free from undue concern that they will not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Bylaws and Articles of Incorporation of the Company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resolutions adopted pursuant thereto, and shall not be deemed a substitute therefor, nor to diminish or abrogate any rights of Indemnitee thereunder; and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does not regard the protection available under the Bylaws and Articles of Incorporation of the Company and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adequate in the present circumstances, and may not be willing to serve as an officer, director or employee of the Company without adequate protection, and the Company desires Indemnitee to serve in such capacity. Indemnitee is willing to serve, continue to serve and to take on additional service for or on behalf of the Company on the condition that he or she be so indemnified;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Indemnitee’s agreement to continue serving as an officer, director or employee of the Company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after the date hereof, the parties hereto agree as follows:</w:t>
      </w:r>
    </w:p>
    <w:p>
      <w:pPr>
        <w:spacing w:after="0" w:line="159" w:lineRule="exact"/>
        <w:rPr>
          <w:sz w:val="20"/>
          <w:szCs w:val="20"/>
          <w:color w:val="auto"/>
        </w:rPr>
      </w:pPr>
    </w:p>
    <w:p>
      <w:pPr>
        <w:ind w:right="20" w:firstLine="656"/>
        <w:spacing w:after="0" w:line="282" w:lineRule="auto"/>
        <w:tabs>
          <w:tab w:leader="none" w:pos="9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Indemnitee</w:t>
      </w:r>
      <w:r>
        <w:rPr>
          <w:rFonts w:ascii="Times New Roman" w:cs="Times New Roman" w:eastAsia="Times New Roman" w:hAnsi="Times New Roman"/>
          <w:sz w:val="18"/>
          <w:szCs w:val="18"/>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61" w:lineRule="exact"/>
        <w:rPr>
          <w:rFonts w:ascii="Times New Roman" w:cs="Times New Roman" w:eastAsia="Times New Roman" w:hAnsi="Times New Roman"/>
          <w:sz w:val="18"/>
          <w:szCs w:val="18"/>
          <w:color w:val="auto"/>
        </w:rPr>
      </w:pPr>
    </w:p>
    <w:p>
      <w:pPr>
        <w:jc w:val="both"/>
        <w:ind w:firstLine="980"/>
        <w:spacing w:after="0" w:line="254" w:lineRule="auto"/>
        <w:tabs>
          <w:tab w:leader="none" w:pos="13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if, by reason of his or her Corporate Status (as hereinafter defined), the Indemnitee is, or is threatened to be made, a party to or participant in any Proceeding (as hereinafter defined) other than a Proceeding by or in the right of the Company.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Indemnitee shall be indemnified against all Expenses (as hereinafter defined), judgments, penalties, fines and amounts paid in settlement actually and reasonably incurred by him or her, or on his or her behalf, in connection with such Proceeding or any claim, issue or matter therein, if the Indemnitee (i) has not been indemnified by another organization or employee benefit plan for such amounts, (ii) acted in good faith and in a manner the Indemnitee reasonably believed to be in or not opposed to the best interests of the Company, (iii) received no improper personal benefit, and (iv) with respect to any criminal Proceeding, had no reasonable cause to believe the Indemnitee’s conduct was unlawful.</w:t>
      </w:r>
    </w:p>
    <w:p>
      <w:pPr>
        <w:spacing w:after="0" w:line="191" w:lineRule="exact"/>
        <w:rPr>
          <w:rFonts w:ascii="Times New Roman" w:cs="Times New Roman" w:eastAsia="Times New Roman" w:hAnsi="Times New Roman"/>
          <w:sz w:val="18"/>
          <w:szCs w:val="18"/>
          <w:color w:val="auto"/>
        </w:rPr>
      </w:pPr>
    </w:p>
    <w:p>
      <w:pPr>
        <w:jc w:val="both"/>
        <w:ind w:firstLine="980"/>
        <w:spacing w:after="0" w:line="255" w:lineRule="auto"/>
        <w:tabs>
          <w:tab w:leader="none" w:pos="136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if, by reason of his or her Corporate Status, the Indemnitee is, or is threatened to be made, a party to or participant in any Proceeding brought by or in the right of the Company.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applicable law so provides, no indemnification against such Expenses shall be made in respect of any claim, issue or matter in such Proceeding as to which Indemnitee shall have been adjudged to be liable to the Company unless and to the extent that the State Courts of the State of Minnesota shall determine that such indemnification may be made.</w:t>
      </w:r>
    </w:p>
    <w:p>
      <w:pPr>
        <w:spacing w:after="0" w:line="188" w:lineRule="exact"/>
        <w:rPr>
          <w:rFonts w:ascii="Times New Roman" w:cs="Times New Roman" w:eastAsia="Times New Roman" w:hAnsi="Times New Roman"/>
          <w:sz w:val="18"/>
          <w:szCs w:val="18"/>
          <w:color w:val="auto"/>
        </w:rPr>
      </w:pPr>
    </w:p>
    <w:p>
      <w:pPr>
        <w:jc w:val="both"/>
        <w:ind w:firstLine="980"/>
        <w:spacing w:after="0" w:line="254" w:lineRule="auto"/>
        <w:tabs>
          <w:tab w:leader="none" w:pos="135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 of this Agreement, to the extent that Indemnitee is, by reason of his or her Corporate Status, a party to (or participant in)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Indemnitee is not wholly successful in such Proceeding but is successful, on the merits or otherwise, as to one (1) or more but less than all claims, issues or matters in such Proceeding, the Company shall indemnify Indemnitee against all Expenses actually and reasonably incurred by him or her,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1"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3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0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 xml:space="preserve">. 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the Company shall and hereby does indemnify and hold harmless Indemnitee against all Expenses, judgments, penalties, fines and amounts paid in settlement actually and reasonably incurred by him or her, or on his or her behalf, if, by reason of his or her Corporate Status, he or she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hereof) to be unlawful.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6" w:lineRule="auto"/>
        <w:tabs>
          <w:tab w:leader="none" w:pos="13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indemnification provided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87" w:lineRule="exact"/>
        <w:rPr>
          <w:rFonts w:ascii="Times New Roman" w:cs="Times New Roman" w:eastAsia="Times New Roman" w:hAnsi="Times New Roman"/>
          <w:sz w:val="18"/>
          <w:szCs w:val="18"/>
          <w:color w:val="auto"/>
        </w:rPr>
      </w:pPr>
    </w:p>
    <w:p>
      <w:pPr>
        <w:jc w:val="both"/>
        <w:ind w:firstLine="980"/>
        <w:spacing w:after="0" w:line="252" w:lineRule="auto"/>
        <w:tabs>
          <w:tab w:leader="none" w:pos="13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97" w:lineRule="exact"/>
        <w:rPr>
          <w:rFonts w:ascii="Times New Roman" w:cs="Times New Roman" w:eastAsia="Times New Roman" w:hAnsi="Times New Roman"/>
          <w:sz w:val="18"/>
          <w:szCs w:val="18"/>
          <w:color w:val="auto"/>
        </w:rPr>
      </w:pPr>
    </w:p>
    <w:p>
      <w:pPr>
        <w:ind w:right="20" w:firstLine="980"/>
        <w:spacing w:after="0" w:line="282" w:lineRule="auto"/>
        <w:tabs>
          <w:tab w:leader="none" w:pos="135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61" w:lineRule="exact"/>
        <w:rPr>
          <w:rFonts w:ascii="Times New Roman" w:cs="Times New Roman" w:eastAsia="Times New Roman" w:hAnsi="Times New Roman"/>
          <w:sz w:val="18"/>
          <w:szCs w:val="18"/>
          <w:color w:val="auto"/>
        </w:rPr>
      </w:pPr>
    </w:p>
    <w:p>
      <w:pPr>
        <w:jc w:val="both"/>
        <w:ind w:firstLine="980"/>
        <w:spacing w:after="0" w:line="255" w:lineRule="auto"/>
        <w:tabs>
          <w:tab w:leader="none" w:pos="13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Notwithstanding any other provision of this Agreement, to the extent that Indemnitee is, by reason of his or her Corporate Status, a witness, or is made (or asked) to respond to discovery requests, in any Proceeding to which Indemnitee is not a party, he or she shall be indemnified against all Expenses actually and reasonably incurred by him or her, or on his or her behalf, in connection therewith.</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unsecured and interest free.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apply to any claim made by Indemnitee for which indemnity is excluded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firstLine="656"/>
        <w:spacing w:after="0" w:line="261" w:lineRule="auto"/>
        <w:tabs>
          <w:tab w:leader="none" w:pos="9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the MBCA and public policy of the State of Minnesota. Accordingly, the parties agree that the following procedures and presumptions shall apply in the event of any question as to whether Indemnitee is entitled to indemnification under this Agreement:</w:t>
      </w:r>
    </w:p>
    <w:p>
      <w:pPr>
        <w:spacing w:after="0" w:line="179" w:lineRule="exact"/>
        <w:rPr>
          <w:rFonts w:ascii="Times New Roman" w:cs="Times New Roman" w:eastAsia="Times New Roman" w:hAnsi="Times New Roman"/>
          <w:sz w:val="18"/>
          <w:szCs w:val="18"/>
          <w:color w:val="auto"/>
        </w:rPr>
      </w:pPr>
    </w:p>
    <w:p>
      <w:pPr>
        <w:jc w:val="both"/>
        <w:ind w:firstLine="980"/>
        <w:spacing w:after="0" w:line="255" w:lineRule="auto"/>
        <w:tabs>
          <w:tab w:leader="none" w:pos="146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Chief Financial Officer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 The Company will be entitled to participate in the Proceeding at its own Expense.</w:t>
      </w:r>
    </w:p>
    <w:p>
      <w:pPr>
        <w:spacing w:after="0" w:line="188" w:lineRule="exact"/>
        <w:rPr>
          <w:rFonts w:ascii="Times New Roman" w:cs="Times New Roman" w:eastAsia="Times New Roman" w:hAnsi="Times New Roman"/>
          <w:sz w:val="18"/>
          <w:szCs w:val="18"/>
          <w:color w:val="auto"/>
        </w:rPr>
      </w:pPr>
    </w:p>
    <w:p>
      <w:pPr>
        <w:jc w:val="both"/>
        <w:ind w:firstLine="980"/>
        <w:spacing w:after="0" w:line="282" w:lineRule="auto"/>
        <w:tabs>
          <w:tab w:leader="none" w:pos="14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Indemnitee for indemnification pursuant to the first sentence of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a determination with respect to Indemnitee’s entitlement thereto shall be made in the specific case by one of methods prescribed by Section 302A.521, Subd. 6(a) of the MBCA.</w:t>
      </w:r>
    </w:p>
    <w:p>
      <w:pPr>
        <w:spacing w:after="0" w:line="161" w:lineRule="exact"/>
        <w:rPr>
          <w:rFonts w:ascii="Times New Roman" w:cs="Times New Roman" w:eastAsia="Times New Roman" w:hAnsi="Times New Roman"/>
          <w:sz w:val="18"/>
          <w:szCs w:val="18"/>
          <w:color w:val="auto"/>
        </w:rPr>
      </w:pPr>
    </w:p>
    <w:p>
      <w:pPr>
        <w:jc w:val="both"/>
        <w:ind w:firstLine="980"/>
        <w:spacing w:after="0" w:line="252" w:lineRule="auto"/>
        <w:tabs>
          <w:tab w:leader="none" w:pos="144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determination of entitlement to indemnification is to be made by Special Legal Counsel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the Special Legal Counsel shall be selected as provided in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The Special Legal Counsel shall be selected by the Board. Indemnitee may, within ten (10) days after such written notice of selection shall have been given, deliver to the Company a written objection to such selection;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objection may be asserted only on the ground that the Special Legal Counsel so selected does not meet the requirements of “</w:t>
      </w:r>
      <w:r>
        <w:rPr>
          <w:rFonts w:ascii="Times New Roman" w:cs="Times New Roman" w:eastAsia="Times New Roman" w:hAnsi="Times New Roman"/>
          <w:sz w:val="18"/>
          <w:szCs w:val="18"/>
          <w:b w:val="1"/>
          <w:bCs w:val="1"/>
          <w:color w:val="auto"/>
        </w:rPr>
        <w:t>Special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Counsel</w:t>
      </w:r>
      <w:r>
        <w:rPr>
          <w:rFonts w:ascii="Times New Roman" w:cs="Times New Roman" w:eastAsia="Times New Roman" w:hAnsi="Times New Roman"/>
          <w:sz w:val="18"/>
          <w:szCs w:val="18"/>
          <w:color w:val="auto"/>
        </w:rPr>
        <w:t>”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and the objection shall set forth with particularity the factual basis of such assertion. Absent a proper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timely objection, the person so selected shall act as Special Legal Counsel. If a written objection is made and substantiated, the Special Legal Counsel selected may not serve as Special Legal Counsel unless and until such objection is withdrawn or a court has determined that such objection is without merit. If, within twenty (20) days after submission by Indemnitee of a written request for indemnification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no Special Legal Counsel shall have been selected and not objected to, either the Company or Indemnitee may petition the District Court of the State of Minnesota (“</w:t>
      </w:r>
      <w:r>
        <w:rPr>
          <w:rFonts w:ascii="Times New Roman" w:cs="Times New Roman" w:eastAsia="Times New Roman" w:hAnsi="Times New Roman"/>
          <w:sz w:val="18"/>
          <w:szCs w:val="18"/>
          <w:b w:val="1"/>
          <w:bCs w:val="1"/>
          <w:color w:val="auto"/>
        </w:rPr>
        <w:t>Minnesota Court</w:t>
      </w:r>
      <w:r>
        <w:rPr>
          <w:rFonts w:ascii="Times New Roman" w:cs="Times New Roman" w:eastAsia="Times New Roman" w:hAnsi="Times New Roman"/>
          <w:sz w:val="18"/>
          <w:szCs w:val="18"/>
          <w:color w:val="auto"/>
        </w:rPr>
        <w:t xml:space="preserve">”) or other court of competent jurisdiction for resolution of any objection which shall have been made by the Indemnitee to the Company’s selection of Special Legal Counsel and/or for the appointment as Special Legal Counsel of a person selected by the court or by such other person as the court shall designate, and the person with respect to whom all objections are so resolved or the person so appointed shall act as Special Legal Counsel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The Company shall pay any and all reasonable fees and expenses of Special Legal Counsel incurred by such Special Legal Counsel in connection with acting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and the Company shall pay all reasonable fees and expenses incurred by the Company and the Indemnitee incident to the procedures of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regardless of the manner in which such Special Legal Counsel was selected or appointed.</w:t>
      </w:r>
    </w:p>
    <w:p>
      <w:pPr>
        <w:spacing w:after="0" w:line="194" w:lineRule="exact"/>
        <w:rPr>
          <w:rFonts w:ascii="Times New Roman" w:cs="Times New Roman" w:eastAsia="Times New Roman" w:hAnsi="Times New Roman"/>
          <w:sz w:val="18"/>
          <w:szCs w:val="18"/>
          <w:color w:val="auto"/>
        </w:rPr>
      </w:pPr>
    </w:p>
    <w:p>
      <w:pPr>
        <w:jc w:val="both"/>
        <w:ind w:firstLine="980"/>
        <w:spacing w:after="0" w:line="255" w:lineRule="auto"/>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firstLine="980"/>
        <w:spacing w:after="0" w:line="253" w:lineRule="auto"/>
        <w:tabs>
          <w:tab w:leader="none" w:pos="1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The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shall not be deemed to be exclusive or to limit in any way the other circumstances in which the Indemnitee may be deemed to have met the applicable standard of conduct set forth in this Agreement.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he or she reasonably believed to be in or not opposed to the best interests of the Company. Anyone seeking to overcome this presumption shall have the burden of proof and the burden of persuasion by clear and convincing evidence.</w:t>
      </w:r>
    </w:p>
    <w:p>
      <w:pPr>
        <w:spacing w:after="0" w:line="194" w:lineRule="exact"/>
        <w:rPr>
          <w:rFonts w:ascii="Times New Roman" w:cs="Times New Roman" w:eastAsia="Times New Roman" w:hAnsi="Times New Roman"/>
          <w:sz w:val="18"/>
          <w:szCs w:val="18"/>
          <w:color w:val="auto"/>
        </w:rPr>
      </w:pPr>
    </w:p>
    <w:p>
      <w:pPr>
        <w:jc w:val="both"/>
        <w:ind w:firstLine="980"/>
        <w:spacing w:after="0" w:line="253" w:lineRule="auto"/>
        <w:tabs>
          <w:tab w:leader="none" w:pos="13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foregoing provisions of this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 xml:space="preserve"> shall not apply if the determination of entitlement to indemnification is to be made by the shareholders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and if (A) within fifteen (15) days after receipt by the Company of the request for such determination, the Board or the Disinterested Directors, if appropriate, resolve to submit such determination to the shareholders for their consideration at an annual meeting thereof to be held within seventy five (75) days after such receipt and such determination is made thereat, or (B) a special meeting of shareholders is called within fifteen (15) days after such receipt for the purpose of making such determination, such meeting is held for such purpose within sixty (60) days after having been so called and such determination is made thereat.</w:t>
      </w:r>
    </w:p>
    <w:p>
      <w:pPr>
        <w:spacing w:after="0" w:line="187" w:lineRule="exact"/>
        <w:rPr>
          <w:rFonts w:ascii="Times New Roman" w:cs="Times New Roman" w:eastAsia="Times New Roman" w:hAnsi="Times New Roman"/>
          <w:sz w:val="18"/>
          <w:szCs w:val="18"/>
          <w:color w:val="auto"/>
        </w:rPr>
      </w:pPr>
    </w:p>
    <w:p>
      <w:pPr>
        <w:jc w:val="both"/>
        <w:ind w:firstLine="980"/>
        <w:spacing w:after="0" w:line="255" w:lineRule="auto"/>
        <w:tabs>
          <w:tab w:leader="none" w:pos="14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Special Legal Counsel, member of the Board or shareholder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88" w:lineRule="exact"/>
        <w:rPr>
          <w:rFonts w:ascii="Times New Roman" w:cs="Times New Roman" w:eastAsia="Times New Roman" w:hAnsi="Times New Roman"/>
          <w:sz w:val="18"/>
          <w:szCs w:val="18"/>
          <w:color w:val="auto"/>
        </w:rPr>
      </w:pPr>
    </w:p>
    <w:p>
      <w:pPr>
        <w:jc w:val="both"/>
        <w:ind w:firstLine="980"/>
        <w:spacing w:after="0" w:line="261" w:lineRule="auto"/>
        <w:tabs>
          <w:tab w:leader="none" w:pos="13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action, suit or proceeding to which Indemnitee is a party is resolved in any manner other than by adverse judgment against Indemnitee (including, without limitation, settlement of such action, suit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79" w:lineRule="exact"/>
        <w:rPr>
          <w:rFonts w:ascii="Times New Roman" w:cs="Times New Roman" w:eastAsia="Times New Roman" w:hAnsi="Times New Roman"/>
          <w:sz w:val="18"/>
          <w:szCs w:val="18"/>
          <w:color w:val="auto"/>
        </w:rPr>
      </w:pPr>
    </w:p>
    <w:p>
      <w:pPr>
        <w:jc w:val="both"/>
        <w:ind w:firstLine="980"/>
        <w:spacing w:after="0" w:line="258" w:lineRule="auto"/>
        <w:tabs>
          <w:tab w:leader="none" w:pos="13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3" w:lineRule="auto"/>
        <w:tabs>
          <w:tab w:leader="none" w:pos="13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 determination is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(iii) no determination of entitlement to indemnification is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within ninety (90) days after receipt by the Company of the request for indemnification, (iv) payment of indemnification is not made pursuant to </w:t>
      </w:r>
      <w:r>
        <w:rPr>
          <w:rFonts w:ascii="Times New Roman" w:cs="Times New Roman" w:eastAsia="Times New Roman" w:hAnsi="Times New Roman"/>
          <w:sz w:val="18"/>
          <w:szCs w:val="18"/>
          <w:u w:val="single" w:color="auto"/>
          <w:color w:val="auto"/>
        </w:rPr>
        <w:t>Sections 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or the last sentence of </w:t>
      </w:r>
      <w:r>
        <w:rPr>
          <w:rFonts w:ascii="Times New Roman" w:cs="Times New Roman" w:eastAsia="Times New Roman" w:hAnsi="Times New Roman"/>
          <w:sz w:val="18"/>
          <w:szCs w:val="18"/>
          <w:u w:val="single" w:color="auto"/>
          <w:color w:val="auto"/>
        </w:rPr>
        <w:t>Section 6(g)</w:t>
      </w:r>
      <w:r>
        <w:rPr>
          <w:rFonts w:ascii="Times New Roman" w:cs="Times New Roman" w:eastAsia="Times New Roman" w:hAnsi="Times New Roman"/>
          <w:sz w:val="18"/>
          <w:szCs w:val="18"/>
          <w:color w:val="auto"/>
        </w:rPr>
        <w:t xml:space="preserve"> of this Agreement within ten (10) days after receipt by the Company of a written request therefor, or (v) payment of indemnification is not made pursuant to </w:t>
      </w:r>
      <w:r>
        <w:rPr>
          <w:rFonts w:ascii="Times New Roman" w:cs="Times New Roman" w:eastAsia="Times New Roman" w:hAnsi="Times New Roman"/>
          <w:sz w:val="18"/>
          <w:szCs w:val="18"/>
          <w:u w:val="single" w:color="auto"/>
          <w:color w:val="auto"/>
        </w:rPr>
        <w:t>Sections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this Agreement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Indemnitee shall be entitled to an adjudication in an appropriate court of the State of Minnesota,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 Company shall not oppose Indemnitee’s right to seek any such adjudication.</w:t>
      </w:r>
    </w:p>
    <w:p>
      <w:pPr>
        <w:spacing w:after="0" w:line="194" w:lineRule="exact"/>
        <w:rPr>
          <w:rFonts w:ascii="Times New Roman" w:cs="Times New Roman" w:eastAsia="Times New Roman" w:hAnsi="Times New Roman"/>
          <w:sz w:val="18"/>
          <w:szCs w:val="18"/>
          <w:color w:val="auto"/>
        </w:rPr>
      </w:pPr>
    </w:p>
    <w:p>
      <w:pPr>
        <w:jc w:val="both"/>
        <w:ind w:firstLine="980"/>
        <w:spacing w:after="0" w:line="266" w:lineRule="auto"/>
        <w:tabs>
          <w:tab w:leader="none" w:pos="142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conducted in all respects as a de novo trial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39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firstLine="980"/>
        <w:spacing w:after="0" w:line="258" w:lineRule="auto"/>
        <w:tabs>
          <w:tab w:leader="none" w:pos="13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seeks a judicial adjudication of his or her rights under, or to recover damages for breach of, this Agreement, or to recover under any directors’ and officers’ liability insurance policies maintained by the Company, the Company shall pay on his or her behalf, in advance, any and all expenses (of the types described in the definition of Expenses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Agreement) actually and reasonably incurred by him or her in such judicial adjudication, regardless of whether Indemnitee ultimately is determined to be entitled to such indemnification, advancement of expenses or insurance recovery.</w:t>
      </w:r>
    </w:p>
    <w:p>
      <w:pPr>
        <w:spacing w:after="0" w:line="183" w:lineRule="exact"/>
        <w:rPr>
          <w:rFonts w:ascii="Times New Roman" w:cs="Times New Roman" w:eastAsia="Times New Roman" w:hAnsi="Times New Roman"/>
          <w:sz w:val="18"/>
          <w:szCs w:val="18"/>
          <w:color w:val="auto"/>
        </w:rPr>
      </w:pPr>
    </w:p>
    <w:p>
      <w:pPr>
        <w:jc w:val="both"/>
        <w:ind w:firstLine="980"/>
        <w:spacing w:after="0" w:line="253" w:lineRule="auto"/>
        <w:tabs>
          <w:tab w:leader="none" w:pos="13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precluded from asserting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that the procedures and presumptions of this Agreement are not valid, binding and enforceable and shall stipulate in any such court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firstLine="980"/>
        <w:spacing w:after="0" w:line="282" w:lineRule="auto"/>
        <w:tabs>
          <w:tab w:leader="none" w:pos="134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3" w:lineRule="auto"/>
        <w:tabs>
          <w:tab w:leader="none" w:pos="13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as provided by this Agreement shall not be deemed exclusive of any other rights to which Indemnitee may at any time be entitled under applicable law, the Articles of Incorporation, the Bylaws, any agreement, a vote of shareholders, a resolution of directors of the Company,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MBCA, whether by statute or judicial decision, permits greater indemnification than would be afforded currently under the Articles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4" w:lineRule="exact"/>
        <w:rPr>
          <w:rFonts w:ascii="Times New Roman" w:cs="Times New Roman" w:eastAsia="Times New Roman" w:hAnsi="Times New Roman"/>
          <w:sz w:val="18"/>
          <w:szCs w:val="18"/>
          <w:color w:val="auto"/>
        </w:rPr>
      </w:pPr>
    </w:p>
    <w:p>
      <w:pPr>
        <w:jc w:val="both"/>
        <w:ind w:firstLine="980"/>
        <w:spacing w:after="0" w:line="254" w:lineRule="auto"/>
        <w:tabs>
          <w:tab w:leader="none" w:pos="13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firstLine="980"/>
        <w:spacing w:after="0" w:line="266" w:lineRule="auto"/>
        <w:tabs>
          <w:tab w:leader="none" w:pos="136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5" w:lineRule="exact"/>
        <w:rPr>
          <w:rFonts w:ascii="Times New Roman" w:cs="Times New Roman" w:eastAsia="Times New Roman" w:hAnsi="Times New Roman"/>
          <w:sz w:val="18"/>
          <w:szCs w:val="18"/>
          <w:color w:val="auto"/>
        </w:rPr>
      </w:pPr>
    </w:p>
    <w:p>
      <w:pPr>
        <w:ind w:right="20" w:firstLine="980"/>
        <w:spacing w:after="0" w:line="282" w:lineRule="auto"/>
        <w:tabs>
          <w:tab w:leader="none" w:pos="136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61" w:lineRule="exact"/>
        <w:rPr>
          <w:rFonts w:ascii="Times New Roman" w:cs="Times New Roman" w:eastAsia="Times New Roman" w:hAnsi="Times New Roman"/>
          <w:sz w:val="18"/>
          <w:szCs w:val="18"/>
          <w:color w:val="auto"/>
        </w:rPr>
      </w:pPr>
    </w:p>
    <w:p>
      <w:pPr>
        <w:jc w:val="both"/>
        <w:ind w:firstLine="980"/>
        <w:spacing w:after="0" w:line="261" w:lineRule="auto"/>
        <w:tabs>
          <w:tab w:leader="none" w:pos="144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to Right of Indemnification</w:t>
      </w:r>
      <w:r>
        <w:rPr>
          <w:rFonts w:ascii="Times New Roman" w:cs="Times New Roman" w:eastAsia="Times New Roman" w:hAnsi="Times New Roman"/>
          <w:sz w:val="18"/>
          <w:szCs w:val="18"/>
          <w:color w:val="auto"/>
        </w:rPr>
        <w:t>. Notwithstanding any provision in this Agreement, the Company shall not be obligated under this Agreement to make any indemnity in connection with any claim made against Indemnitee:</w:t>
      </w:r>
    </w:p>
    <w:p>
      <w:pPr>
        <w:spacing w:after="0" w:line="161" w:lineRule="exact"/>
        <w:rPr>
          <w:rFonts w:ascii="Times New Roman" w:cs="Times New Roman" w:eastAsia="Times New Roman" w:hAnsi="Times New Roman"/>
          <w:sz w:val="18"/>
          <w:szCs w:val="18"/>
          <w:color w:val="auto"/>
        </w:rPr>
      </w:pPr>
    </w:p>
    <w:p>
      <w:pPr>
        <w:ind w:right="20" w:firstLine="980"/>
        <w:spacing w:after="0" w:line="282" w:lineRule="auto"/>
        <w:tabs>
          <w:tab w:leader="none" w:pos="14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980"/>
        <w:spacing w:after="0" w:line="254" w:lineRule="auto"/>
        <w:tabs>
          <w:tab w:leader="none" w:pos="143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(i) an accounting of profits made from the purchase and sale (or sale and purchase) by Indemnitee of securities of the Company within the meaning of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xml:space="preserve"> of the Securities Exchange Act of 1934, as amended,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88" w:lineRule="exact"/>
        <w:rPr>
          <w:rFonts w:ascii="Times New Roman" w:cs="Times New Roman" w:eastAsia="Times New Roman" w:hAnsi="Times New Roman"/>
          <w:sz w:val="18"/>
          <w:szCs w:val="18"/>
          <w:color w:val="auto"/>
        </w:rPr>
      </w:pPr>
    </w:p>
    <w:p>
      <w:pPr>
        <w:jc w:val="both"/>
        <w:ind w:firstLine="980"/>
        <w:spacing w:after="0" w:line="258" w:lineRule="auto"/>
        <w:tabs>
          <w:tab w:leader="none" w:pos="13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 claim brought or raised by Indemnitee in any Proceeding (or any part of any Proceeding) or (iii) the Company provides the indemnification, in its sole discretion, pursuant to the powers vested in the Company under applicable law.</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by reason of his or her Corporate Status, whether or not he or she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7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3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assumes the obligations imposed on it hereby in order to induce Indemnitee to continue serving as an employee, officer or director of the Company, and the Company acknowledges that Indemnitee is relying upon this Agreement in serving as an employee, officer or director of the Company.</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38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4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ind w:left="1060" w:hanging="404"/>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1" w:lineRule="exact"/>
        <w:rPr>
          <w:rFonts w:ascii="Times New Roman" w:cs="Times New Roman" w:eastAsia="Times New Roman" w:hAnsi="Times New Roman"/>
          <w:sz w:val="18"/>
          <w:szCs w:val="18"/>
          <w:color w:val="auto"/>
        </w:rPr>
      </w:pPr>
    </w:p>
    <w:p>
      <w:pPr>
        <w:ind w:firstLine="980"/>
        <w:spacing w:after="0" w:line="286" w:lineRule="auto"/>
        <w:tabs>
          <w:tab w:leader="none" w:pos="13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employee, agent, or fiduciary of the Company or of any other Enterprise.</w:t>
      </w:r>
    </w:p>
    <w:p>
      <w:pPr>
        <w:spacing w:after="0" w:line="154" w:lineRule="exact"/>
        <w:rPr>
          <w:rFonts w:ascii="Times New Roman" w:cs="Times New Roman" w:eastAsia="Times New Roman" w:hAnsi="Times New Roman"/>
          <w:sz w:val="18"/>
          <w:szCs w:val="18"/>
          <w:color w:val="auto"/>
        </w:rPr>
      </w:pPr>
    </w:p>
    <w:p>
      <w:pPr>
        <w:ind w:firstLine="980"/>
        <w:spacing w:after="0" w:line="286" w:lineRule="auto"/>
        <w:tabs>
          <w:tab w:leader="none" w:pos="144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firstLine="980"/>
        <w:spacing w:after="0" w:line="286" w:lineRule="auto"/>
        <w:tabs>
          <w:tab w:leader="none" w:pos="144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partnership, joint venture, trust, employee benefit plan or other enterprise that Indemnitee is or was serving at the request of the Company as a director, officer, employee, agent or fiduciary.</w:t>
      </w:r>
    </w:p>
    <w:p>
      <w:pPr>
        <w:spacing w:after="0" w:line="154" w:lineRule="exact"/>
        <w:rPr>
          <w:rFonts w:ascii="Times New Roman" w:cs="Times New Roman" w:eastAsia="Times New Roman" w:hAnsi="Times New Roman"/>
          <w:sz w:val="18"/>
          <w:szCs w:val="18"/>
          <w:color w:val="auto"/>
        </w:rPr>
      </w:pPr>
    </w:p>
    <w:p>
      <w:pPr>
        <w:jc w:val="both"/>
        <w:ind w:firstLine="980"/>
        <w:spacing w:after="0" w:line="253" w:lineRule="auto"/>
        <w:tabs>
          <w:tab w:leader="none" w:pos="14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shall include all reasonable attorneys’ fees, retainers, court costs, transcript costs, fees of experts, witness fees, travel expenses, duplicating costs, printing and binding costs, telephone charges, postage, delivery service fees, and any federal, state, local or foreign taxes imposed on the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(i) Expenses incurred in connection with any appeal resulting from any Proceeding,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and (iii) for purposes of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only, Expenses incurred by Indemnitee in connection with the interpretation, enforcement or defense of Indemnitee’s rights under this Agreement, the Articles of Incorporation, the Bylaws or under any directors’ and officers’ liability insurance policies maintained by the Company, by litigation or otherwise. Expenses, however, shall not include amounts paid in settlement by Indemnitee or the amount of judgments or fines against Indemnitee.</w:t>
      </w:r>
    </w:p>
    <w:p>
      <w:pPr>
        <w:spacing w:after="0" w:line="187" w:lineRule="exact"/>
        <w:rPr>
          <w:rFonts w:ascii="Times New Roman" w:cs="Times New Roman" w:eastAsia="Times New Roman" w:hAnsi="Times New Roman"/>
          <w:sz w:val="18"/>
          <w:szCs w:val="18"/>
          <w:color w:val="auto"/>
        </w:rPr>
      </w:pPr>
    </w:p>
    <w:p>
      <w:pPr>
        <w:jc w:val="both"/>
        <w:ind w:firstLine="980"/>
        <w:spacing w:after="0" w:line="255" w:lineRule="auto"/>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includes any threatened, pending or completed action, suit, claim, counterclaim, cross claim, arbitration, mediation, alternate dispute resolution mechanism, investigation, inquiry, administrative hearing or any other actual, threatened or completed proceeding, whether brought by or in the right of the Company or otherwise and whether civil, criminal, administrative, arbitration, or investigative, including any appeal therefrom, in which Indemnitee was, is or will be involved as a party or otherwise, by reason of his or her Corporate Status, by reason of any action taken by him or her, or of any inaction on his or her part, while acting in his or her Corporate Status; in each case whether or not he or she is acting or serving in any such capacity at the time any liability or expense is incurred for which indemnification, reimbursement or advancement of expenses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to enforce his or her rights under this Agreement.</w:t>
      </w:r>
    </w:p>
    <w:p>
      <w:pPr>
        <w:spacing w:after="0" w:line="184" w:lineRule="exact"/>
        <w:rPr>
          <w:rFonts w:ascii="Times New Roman" w:cs="Times New Roman" w:eastAsia="Times New Roman" w:hAnsi="Times New Roman"/>
          <w:sz w:val="18"/>
          <w:szCs w:val="18"/>
          <w:color w:val="auto"/>
        </w:rPr>
      </w:pPr>
    </w:p>
    <w:p>
      <w:pPr>
        <w:jc w:val="both"/>
        <w:ind w:firstLine="980"/>
        <w:spacing w:after="0" w:line="255" w:lineRule="auto"/>
        <w:tabs>
          <w:tab w:leader="none" w:pos="13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Legal Counsel</w:t>
      </w:r>
      <w:r>
        <w:rPr>
          <w:rFonts w:ascii="Times New Roman" w:cs="Times New Roman" w:eastAsia="Times New Roman" w:hAnsi="Times New Roman"/>
          <w:sz w:val="18"/>
          <w:szCs w:val="18"/>
          <w:color w:val="auto"/>
        </w:rPr>
        <w:t>” means a law firm, or a member of a law firm, that is experienced in matters of corporation law and neither at present is, nor in the past five (5)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“Special Legal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Special Legal Counsel referred to above and to fully indemnify such counsel against any and all Expenses, claims, liabilities and damages arising out of or relating to this Agreement or its engagement pursuant hereto.</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 Further, the invalidity or unenforceability of any provision hereof as to Indemnitee shall in no way affect the validity or enforceability of any provision hereof as to the other.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ind w:firstLine="656"/>
        <w:spacing w:after="0" w:line="266" w:lineRule="auto"/>
        <w:tabs>
          <w:tab w:leader="none" w:pos="10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 given (a) upon personal delivery to the party to be notified, (b) when sent by confirmed electronic mail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83"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Indemnitee at the address set forth below Indemnitee signature hereto.</w:t>
      </w:r>
    </w:p>
    <w:p>
      <w:pPr>
        <w:spacing w:after="0" w:line="252"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at:</w:t>
      </w:r>
    </w:p>
    <w:p>
      <w:pPr>
        <w:spacing w:after="0" w:line="2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Creative Realities</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13100 Magisterial Drive, Suite 100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Louisville, KY 40223</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Attention: Will Logan, </w:t>
      </w: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may have been furnished to Indemnitee by the Company or to the Company by Indemnitee, as the case may be.</w:t>
      </w:r>
    </w:p>
    <w:p>
      <w:pPr>
        <w:spacing w:after="0" w:line="225" w:lineRule="exact"/>
        <w:rPr>
          <w:sz w:val="20"/>
          <w:szCs w:val="20"/>
          <w:color w:val="auto"/>
        </w:rPr>
      </w:pPr>
    </w:p>
    <w:p>
      <w:pPr>
        <w:jc w:val="both"/>
        <w:ind w:firstLine="656"/>
        <w:spacing w:after="0" w:line="261" w:lineRule="auto"/>
        <w:tabs>
          <w:tab w:leader="none" w:pos="10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the same instrument. Counterparts may be delivered via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0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xml:space="preserve"> This Agreement and the legal relations among the parties shall be governed by, and construed and enforced in accordance with, the laws of the State of Minnesota, without regard to its conflict of laws rules. The Company and Indemnitee hereby irrevocably and unconditionally (i) agree that any action or proceeding arising out of or in connection with this Agreement shall be brought only in the Minnesota Court, and not in any other state or federal court in the United States of America or any court in any other country, (ii) consent to submit to the exclusive jurisdiction of the Minnesota Court for purposes of any action or proceeding arising out of or in connection with this Agreement, (iii) waive any objection to the laying of venue of any such action or proceeding in the Minnesota Court, and (v) waive, and agree not to plead or to make, any claim that any such action or proceeding brought in the Minnesota Court has been brought in an improper or inconvenient forum.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Indemnification Agreement on and as of the day and year first above written.</w:t>
      </w:r>
    </w:p>
    <w:p>
      <w:pPr>
        <w:sectPr>
          <w:pgSz w:w="11900" w:h="16838" w:orient="portrait"/>
          <w:cols w:equalWidth="0" w:num="1">
            <w:col w:w="10200"/>
          </w:cols>
          <w:pgMar w:left="980" w:top="823" w:right="719" w:bottom="1440" w:gutter="0" w:footer="0" w:header="0"/>
        </w:sectPr>
      </w:pPr>
    </w:p>
    <w:p>
      <w:pPr>
        <w:spacing w:after="0" w:line="233"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200" w:lineRule="exact"/>
        <w:rPr>
          <w:sz w:val="20"/>
          <w:szCs w:val="20"/>
          <w:color w:val="auto"/>
        </w:rPr>
      </w:pPr>
    </w:p>
    <w:p>
      <w:pPr>
        <w:spacing w:after="0" w:line="2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24174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14605</wp:posOffset>
            </wp:positionV>
            <wp:extent cx="24174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14605</wp:posOffset>
            </wp:positionV>
            <wp:extent cx="24174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1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0" w:lineRule="exact"/>
        <w:rPr>
          <w:sz w:val="20"/>
          <w:szCs w:val="20"/>
          <w:color w:val="auto"/>
        </w:rPr>
      </w:pPr>
    </w:p>
    <w:p>
      <w:pPr>
        <w:spacing w:after="0" w:line="2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-127635</wp:posOffset>
            </wp:positionV>
            <wp:extent cx="27260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17145</wp:posOffset>
            </wp:positionV>
            <wp:extent cx="21342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163195</wp:posOffset>
            </wp:positionV>
            <wp:extent cx="21342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308610</wp:posOffset>
            </wp:positionV>
            <wp:extent cx="21342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ndemnification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ectPr>
          <w:pgSz w:w="11900" w:h="16838" w:orient="portrait"/>
          <w:cols w:equalWidth="0" w:num="1">
            <w:col w:w="10200"/>
          </w:cols>
          <w:pgMar w:left="980" w:top="823" w:right="719" w:bottom="1440" w:gutter="0" w:footer="0" w:header="0"/>
          <w:type w:val="continuous"/>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and six months ended June 30, 2024,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58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Logan,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and six months ended June 30, 2024,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854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Will Logan</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and six months ended June 30, 2024,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0003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Richard Mills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and six months ended June 30, 2024, as filed with the Securities and Exchange Commission on the date hereof (the “Report”), I, Will Logan,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30518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Will Logan</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Creative Realities Reports Fiscal 2024 Second Quarter Results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43% Year-over-Year Top Line Growth; Refinancing Complete</w:t>
      </w:r>
    </w:p>
    <w:p>
      <w:pPr>
        <w:spacing w:after="0" w:line="1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LOUISVILLE, KY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August 14, 2024 </w:t>
      </w:r>
      <w:r>
        <w:rPr>
          <w:rFonts w:ascii="Times New Roman" w:cs="Times New Roman" w:eastAsia="Times New Roman" w:hAnsi="Times New Roman"/>
          <w:sz w:val="18"/>
          <w:szCs w:val="18"/>
          <w:color w:val="auto"/>
        </w:rPr>
        <w:t>– Creative Realities, Inc. (“Creative Realities,” “CRI,” or the “Company”) (NASDAQ: CREX), a leading provider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digital signage and media solutions, today announced its financial results for the fiscal second quarter ended June 30,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500" w:hanging="330"/>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second quarter revenue of $13.1 million, up 43% from $9.2 million in the prior-year period</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$6.8 million for the three months ended June 30, 2024 versus $4.3 million in the second quarter of fiscal 2023</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$1.5 million for the second quarter of 2024 versus $0.3 million in the prior-year period</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(“ARR”) of approximately $18.0 million at the end of the second quarter versus $17.7 million as of March 31, 2024</w:t>
      </w:r>
    </w:p>
    <w:p>
      <w:pPr>
        <w:spacing w:after="0" w:line="252"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Creative Realities completed the previously-announced agreement with First Merchants Bank (“FMB”) for a $22.1 million senior secured revolving credit facility (the “Revolver”) with a $5 million accordion feature; the Revolver was used to pay off all of the Company’s $13.6 million of existing indebtedness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“Second quarter results exceeded the first, as momentum and accelerating demand continue to drive us towards a solid finish for fiscal 2024,” said Rick Mills, Chief Executive Officer. “Revenue grew 43% year-over-year, reflecting positive trends across all parts of the business, and gross margins rose to 51.8% as we realized economies of scale and improved asset utilization. At the same time, our annual recurring revenue climbed to approximately $18.0 million at the end of the quarter – positioning us well to reach prior guidance – and the Company generated over $2 million of operating cash during the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completed our previously-announced debt refinancing in May, consisting of a $22.1 million Revolver with a $5 million accordion, ending the quarter with $13.8 million in debt. We remain committed to a strategy of using operating cash flow to reduce overall indebtedness and strengthen the balance sheet, leading to reduced leverage and increased financial flexibility to explore strategic transactions. We’re well on our way to record performance this year, with the tools in place for even greater results – and increased shareholder value – heading into fiscal 2025 and beyond.”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is a non-GAAP financial measure. A reconciliation is provided in the tables of this press release.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Second Quarter Financial Results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were $13.1 million for the fiscal 2024 second quarter, an increase of $3.9 million, or 43%, as compared to the same period in fiscal 2023. Hardware revenue was $5.0 million, versus $3.4 million in the prior-year period, while service revenue rose to $8.1 million from $5.8 million in fiscal 2023. Both areas of the business saw substantial growth year-over-year due to strong demand and higher installations.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gross profit was $6.8 million for the fiscal 2024 second quarter versus $4.3 million in the prior-year period, and consolidated gross margin was 51.8% versus 46.7% in the fiscal 2023 second quarter. Gross margin on hardware revenue was 30.1% in fiscal 2024 as compared to 20.7% in the prior-year period, reflecting improved economies of scale. Gross margin on service amounted to 65.2%, versus 62.3% in the fiscal 2023 second quarter. The Company anticipates further margin expansion as revenue expands more quickly than the associated cost of deployment and support of those enhanced levels of revenue. Software subscription run-rates continued to rise, and the Company ended the quarter with record ARR of approximately $18.0 million on an annualized run rate.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in the second quarter rose to $1.7 million, versus $1.2 million in the prior-year period, reflecting enhanced investment in business development activities. Second quarter general and administrative expenses were $4.5 million, up from $3.8 in fiscal 2023, primarily reflecting increases in deployment personnel and the implementation of a new ERP system. The Company anticipates these costs to trend lower as it enters calendar 2025 and sunsets legacy applications for which activities have been or will be migrated to the new infrastructure and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posted operating income of approximately $0.6 million in the second quarter of fiscal 2024 compared to an operating loss of $0.7 million in fiscal 2023. CRI reported a net loss of $0.6 million, or $(0.06) per diluted share, in the quarter ended June 30, 2024 versus a net loss of $1.4 million, or $(0.19) per diluted share, in the prior-year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(defined later in this release) was $1.5 million in the second quarter of 2024 as compared to $0.3 million in the prior-year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June 30, 2024, the Company had cash on hand of approximately $4.1 million, versus $2.9 million at December 31, 2023. The Company had outstanding debt of approximately $13.8 million as of June 30, 2024 versus $15.1 million at the start of the fiscal year and, as of the date of this release, the Company’s net debt was approximately $9.8 million. Following the refinancing of its debt during the quarter, CRI continued to pay down its revolving credit facility with a focus to lower the Company’s leverage ratio. As of the end of the second quarter, the trailing twelve-month gross and net leverage ratios utilizing Adjusted EBTIDA were 2.25x and 1.58x, respectively, versus 2.97x and 2.40x at the beginning of 2024. Net debt is equal to the Company’s outstanding debt less cash on hand.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host a conference call to review the results of the second quarter 2024, and provide additional commentary about recent performance, today, August 14, at 9:00 am Eastern Time, which will include prepared remarks and materials from management, followed by a live Q&amp;A. The call will be hosted by Rick Mills, Chief Executive Officer, and Will Logan, Chief Financial Officer.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Prior to the call, participants should register at </w:t>
      </w:r>
      <w:r>
        <w:rPr>
          <w:rFonts w:ascii="Times New Roman" w:cs="Times New Roman" w:eastAsia="Times New Roman" w:hAnsi="Times New Roman"/>
          <w:sz w:val="18"/>
          <w:szCs w:val="18"/>
          <w:u w:val="single" w:color="auto"/>
          <w:color w:val="auto"/>
        </w:rPr>
        <w:t>https://bit.ly/CRIearnings2024Q2</w:t>
      </w:r>
      <w:r>
        <w:rPr>
          <w:rFonts w:ascii="Times New Roman" w:cs="Times New Roman" w:eastAsia="Times New Roman" w:hAnsi="Times New Roman"/>
          <w:sz w:val="18"/>
          <w:szCs w:val="18"/>
          <w:color w:val="auto"/>
        </w:rPr>
        <w:t>. Once registered, participants can use the weblink provided in the registration email to participate in the live webcast. An archived edition of the earnings conference call will also be posted on the Company’s website later today and will remain available for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Creative Realities, Inc.</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Creative Realities designs, develops and deploys digital signage-based experiences for enterprise-level networks utilizing its Clarity™, ReflectView™, and iShowroom™ Content Management System (CMS) platforms. The Company is actively providing recurring SaaS and support services across diverse vertical markets, including but not limited to retail, automotive, digital-out-of-home (DOOH) advertising networks, convenience stores, foodservice/QSR, gaming, theater, and stadium venues. In addition, the Company assists clients in utilizing place-based digital media to achieve business objectives such as increased revenue, enhanced customer experiences, and improved productivity. This includes the design, deployment, and day to day management of Retail Media Networks to monetize on-premise foot traffic utilizing its AdLogic™ programmatic advertising platform.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 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 For further information, please refer to Creative Realities, Inc.’s filings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its Annual Report on Form 10-K filed with the Securities and Exchange Commission on March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"projected,"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2023, as amended, and the Company’s subsequent filings with the U.S. Securities and Exchange Commission. Important factors, among others, that may affect actual results or outcomes include: our ability to consummate the refinancing arrangement;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contingent liabilities and other liabilities, the ability of the Company to continue as a going concern, potential litigation, supply chain shortages, and general economic and market conditions impacting demand for our products and services.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Breanne Ngo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bngo@ideagrove.com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Witty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cwitty@darrowir.com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646-438-9385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ir@cri.com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https://investors.cri.com/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17,536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69,554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r>
      <w:tr>
        <w:trPr>
          <w:trHeight w:val="196"/>
        </w:trPr>
        <w:tc>
          <w:tcPr>
            <w:tcW w:w="80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term debt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portion of contingent consideration, at fair value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related party term debt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contingent consideration, at fair value</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41,946</w:t>
            </w:r>
          </w:p>
        </w:tc>
      </w:tr>
      <w:tr>
        <w:trPr>
          <w:trHeight w:val="210"/>
        </w:trPr>
        <w:tc>
          <w:tcPr>
            <w:tcW w:w="80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10,447 and 10,409 shares issued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(53,346)</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69,554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r>
      <w:tr>
        <w:trPr>
          <w:trHeight w:val="554"/>
        </w:trPr>
        <w:tc>
          <w:tcPr>
            <w:tcW w:w="80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11,381</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3,823</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9,753</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7,812</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10,177</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(1,380)</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(2,425)</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(0.33)</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7,406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7,379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7,406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10,434</w:t>
            </w:r>
          </w:p>
        </w:tc>
        <w:tc>
          <w:tcPr>
            <w:tcW w:w="30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7,379</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5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inventory reserve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change in fair value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(1,984)</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(15,147)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(2,510)</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20" w:type="dxa"/>
            <w:vAlign w:val="bottom"/>
          </w:tcPr>
          <w:p>
            <w:pPr>
              <w:spacing w:after="0"/>
              <w:rPr>
                <w:sz w:val="18"/>
                <w:szCs w:val="18"/>
                <w:color w:val="auto"/>
              </w:rPr>
            </w:pP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3,264</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 prepares its consolidated financial statements in accordance with United States generally accepted accounting principles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disclosing financial results prepared in accordance with GAAP, the Company discloses information regarding “EBITDA” and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CRI defines “EBITDA” as earnings before interest, income taxes, depreciation and amortization of intangibles. CRI defines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EBITDA excluding stock-based compensation, fair value adjustments and both cash and non-cash non-recurring gains and charges.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EBITDA and Adjusted EBITDA from net loss, CRI’s most directly comparable financial measure calculated and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108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6"/>
                <w:szCs w:val="16"/>
                <w:color w:val="auto"/>
              </w:rPr>
            </w:pPr>
          </w:p>
        </w:tc>
        <w:tc>
          <w:tcPr>
            <w:tcW w:w="132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94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&amp; equipment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o"/>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lvl w:ilvl="1">
      <w:lvlJc w:val="left"/>
      <w:lvlText w:val="(%2)"/>
      <w:numFmt w:val="lowerLetter"/>
      <w:start w:val="1"/>
    </w:lvl>
  </w:abstractNum>
  <w:abstractNum w:abstractNumId="9">
    <w:nsid w:val="519B500D"/>
    <w:multiLevelType w:val="hybridMultilevel"/>
    <w:lvl w:ilvl="0">
      <w:lvlJc w:val="left"/>
      <w:lvlText w:val="%1."/>
      <w:numFmt w:val="decimal"/>
      <w:start w:val="3"/>
    </w:lvl>
    <w:lvl w:ilvl="1">
      <w:lvlJc w:val="left"/>
      <w:lvlText w:val="(%2)"/>
      <w:numFmt w:val="lowerLetter"/>
      <w:start w:val="1"/>
    </w:lvl>
  </w:abstractNum>
  <w:abstractNum w:abstractNumId="10">
    <w:nsid w:val="431BD7B7"/>
    <w:multiLevelType w:val="hybridMultilevel"/>
    <w:lvl w:ilvl="0">
      <w:lvlJc w:val="left"/>
      <w:lvlText w:val="%1."/>
      <w:numFmt w:val="decimal"/>
      <w:start w:val="6"/>
    </w:lvl>
    <w:lvl w:ilvl="1">
      <w:lvlJc w:val="left"/>
      <w:lvlText w:val="(%2)"/>
      <w:numFmt w:val="lowerLetter"/>
      <w:start w:val="1"/>
    </w:lvl>
  </w:abstractNum>
  <w:abstractNum w:abstractNumId="11">
    <w:nsid w:val="3F2DBA31"/>
    <w:multiLevelType w:val="hybridMultilevel"/>
    <w:lvl w:ilvl="0">
      <w:lvlJc w:val="left"/>
      <w:lvlText w:val="(%1)"/>
      <w:numFmt w:val="lowerLetter"/>
      <w:start w:val="5"/>
    </w:lvl>
  </w:abstractNum>
  <w:abstractNum w:abstractNumId="12">
    <w:nsid w:val="7C83E458"/>
    <w:multiLevelType w:val="hybridMultilevel"/>
    <w:lvl w:ilvl="0">
      <w:lvlJc w:val="left"/>
      <w:lvlText w:val="%1."/>
      <w:numFmt w:val="decimal"/>
      <w:start w:val="7"/>
    </w:lvl>
    <w:lvl w:ilvl="1">
      <w:lvlJc w:val="left"/>
      <w:lvlText w:val="(%2)"/>
      <w:numFmt w:val="lowerLetter"/>
      <w:start w:val="1"/>
    </w:lvl>
  </w:abstractNum>
  <w:abstractNum w:abstractNumId="13">
    <w:nsid w:val="257130A3"/>
    <w:multiLevelType w:val="hybridMultilevel"/>
    <w:lvl w:ilvl="0">
      <w:lvlJc w:val="left"/>
      <w:lvlText w:val="%1"/>
      <w:numFmt w:val="decimal"/>
      <w:start w:val="1"/>
    </w:lvl>
    <w:lvl w:ilvl="1">
      <w:lvlJc w:val="left"/>
      <w:lvlText w:val="(%2)"/>
      <w:numFmt w:val="lowerLetter"/>
      <w:start w:val="6"/>
    </w:lvl>
  </w:abstractNum>
  <w:abstractNum w:abstractNumId="14">
    <w:nsid w:val="62BBD95A"/>
    <w:multiLevelType w:val="hybridMultilevel"/>
    <w:lvl w:ilvl="0">
      <w:lvlJc w:val="left"/>
      <w:lvlText w:val="%1."/>
      <w:numFmt w:val="decimal"/>
      <w:start w:val="8"/>
    </w:lvl>
    <w:lvl w:ilvl="1">
      <w:lvlJc w:val="left"/>
      <w:lvlText w:val="(%2)"/>
      <w:numFmt w:val="lowerLetter"/>
      <w:start w:val="1"/>
    </w:lvl>
  </w:abstractNum>
  <w:abstractNum w:abstractNumId="15">
    <w:nsid w:val="436C6125"/>
    <w:multiLevelType w:val="hybridMultilevel"/>
    <w:lvl w:ilvl="0">
      <w:lvlJc w:val="left"/>
      <w:lvlText w:val="%1"/>
      <w:numFmt w:val="decimal"/>
      <w:start w:val="1"/>
    </w:lvl>
    <w:lvl w:ilvl="1">
      <w:lvlJc w:val="left"/>
      <w:lvlText w:val="(%2)"/>
      <w:numFmt w:val="lowerLetter"/>
      <w:start w:val="2"/>
    </w:lvl>
  </w:abstractNum>
  <w:abstractNum w:abstractNumId="16">
    <w:nsid w:val="628C895D"/>
    <w:multiLevelType w:val="hybridMultilevel"/>
    <w:lvl w:ilvl="0">
      <w:lvlJc w:val="left"/>
      <w:lvlText w:val="%1."/>
      <w:numFmt w:val="decimal"/>
      <w:start w:val="10"/>
    </w:lvl>
    <w:lvl w:ilvl="1">
      <w:lvlJc w:val="left"/>
      <w:lvlText w:val="(%2)"/>
      <w:numFmt w:val="lowerLetter"/>
      <w:start w:val="1"/>
    </w:lvl>
  </w:abstractNum>
  <w:abstractNum w:abstractNumId="17">
    <w:nsid w:val="333AB105"/>
    <w:multiLevelType w:val="hybridMultilevel"/>
    <w:lvl w:ilvl="0">
      <w:lvlJc w:val="left"/>
      <w:lvlText w:val="%1."/>
      <w:numFmt w:val="decimal"/>
      <w:start w:val="13"/>
    </w:lvl>
    <w:lvl w:ilvl="1">
      <w:lvlJc w:val="left"/>
      <w:lvlText w:val="(%2)"/>
      <w:numFmt w:val="lowerLetter"/>
      <w:start w:val="1"/>
    </w:lvl>
  </w:abstractNum>
  <w:abstractNum w:abstractNumId="18">
    <w:nsid w:val="721DA317"/>
    <w:multiLevelType w:val="hybridMultilevel"/>
    <w:lvl w:ilvl="0">
      <w:lvlJc w:val="left"/>
      <w:lvlText w:val="%1."/>
      <w:numFmt w:val="decimal"/>
      <w:start w:val="15"/>
    </w:lvl>
    <w:lvl w:ilvl="1">
      <w:lvlJc w:val="left"/>
      <w:lvlText w:val="(%2)"/>
      <w:numFmt w:val="lowerLetter"/>
      <w:start w:val="1"/>
    </w:lvl>
  </w:abstractNum>
  <w:abstractNum w:abstractNumId="19">
    <w:nsid w:val="2443A858"/>
    <w:multiLevelType w:val="hybridMultilevel"/>
    <w:lvl w:ilvl="0">
      <w:lvlJc w:val="left"/>
      <w:lvlText w:val="%1."/>
      <w:numFmt w:val="decimal"/>
      <w:start w:val="18"/>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44" Type="http://schemas.openxmlformats.org/officeDocument/2006/relationships/hyperlink" Target="http://www.sec.gov/Archives/edgar/data/1356093/000143774924018388/ex_679860.htm" TargetMode="External"/><Relationship Id="rId45" Type="http://schemas.openxmlformats.org/officeDocument/2006/relationships/hyperlink" Target="http://www.sec.gov/Archives/edgar/data/1356093/000143774924018388/ex_679861.htm" TargetMode="External"/><Relationship Id="rId46" Type="http://schemas.openxmlformats.org/officeDocument/2006/relationships/hyperlink" Target="http://www.sec.gov/Archives/edgar/data/1356093/000143774924018388/ex_679862.htm" TargetMode="External"/><Relationship Id="rId47" Type="http://schemas.openxmlformats.org/officeDocument/2006/relationships/hyperlink" Target="http://www.sec.gov/Archives/edgar/data/1356093/000143774924018388/ex_679863.htm" TargetMode="External"/><Relationship Id="rId48" Type="http://schemas.openxmlformats.org/officeDocument/2006/relationships/hyperlink" Target="http://www.sec.gov/Archives/edgar/data/1356093/000143774924018388/ex_67986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2024-08-14T07:31:19Z</dcterms:created>
  <dcterms:modified xsi:type="dcterms:W3CDTF">2024-08-14T07:31:19Z</dcterms:modified>
</cp:coreProperties>
</file>