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940" w:right="900" w:hanging="3068"/>
        <w:spacing w:after="0" w:line="503" w:lineRule="auto"/>
        <w:tabs>
          <w:tab w:leader="none" w:pos="12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2025</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420" w:right="88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102,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9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13100 Magisterial Drive, Suite 100, Louisville KY 40223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CREX</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22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13, 2025, the registrant had 10,518,932 shares of common stock outstanding.</w:t>
      </w:r>
    </w:p>
    <w:p>
      <w:pPr>
        <w:sectPr>
          <w:pgSz w:w="11900" w:h="16838" w:orient="portrait"/>
          <w:cols w:equalWidth="0" w:num="1">
            <w:col w:w="11240"/>
          </w:cols>
          <w:pgMar w:left="320" w:top="1116"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9"/>
        </w:trPr>
        <w:tc>
          <w:tcPr>
            <w:tcW w:w="80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contingent consideration, at fair value</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10,447 shares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82,210</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(56,854)</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tcPr>
          <w:p>
            <w:pPr>
              <w:spacing w:after="0"/>
              <w:rPr>
                <w:sz w:val="18"/>
                <w:szCs w:val="18"/>
                <w:color w:val="auto"/>
              </w:rPr>
            </w:pP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 (loss) per common share</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 (loss) per common share</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10,421</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3,368</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10,446,659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color w:val="auto"/>
        </w:rPr>
        <w:t>Balance as of December 31, 2023 Stock-based compensation</w:t>
      </w: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10,409,027</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340" w:space="280"/>
            <w:col w:w="6620"/>
          </w:cols>
          <w:pgMar w:left="320" w:top="81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Condensed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and Financial Condition; Going Concern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has an accumulated deficit of $53,486 and positive working capital of $3,133. For the three months ended March 31, 2025, the Company generated an operating loss of $722 and negative net cash flows from operations of $2,449. During the three months ended March 31, 2025, the Company settled its contingent consideration liability. The Company remains dependent on improving cash flows from operations, securing additional sources of liquidity, or both, to fund ongoing operations to meet its financial obligations, including its debt obligations under its current Credit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these conditions, the Company continues to evaluate its available options for amending its debt facilities or accessing the capital markets via equity financing. However, these plans have not been finalized, are subject to market conditions, and in some respects are not within the Company’s control. Therefore, they cannot be deemed probable within one year after the date that the Condensed Consolidated Financial Statements are issued. As a result of the matters discussed above, including our losses, current liquidity level and projected capital needs, the Company has concluded that management's plans do not alleviate substantial doubt about the Company's ability to continue as a going concern over the next twelve months from the date the Condensed Consolidated Financial Statements are issued.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2024, included in the Company’s Annual Report on Form 10-K filed with the Securities and Exchange Commission on March 14,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Creative Realities, Inc. and our wholly owned subsidiaries Allure, CRI Canada, and Reflect. All intercompany balances and transactions have been eliminated in consolidation, as applicable. Certain amounts have been reclassified to conform to current period presentation.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Accounting Pronouncements Not Yet Adopted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the new standard for the fiscal year ending December 31, 2024. See </w:t>
      </w:r>
      <w:r>
        <w:rPr>
          <w:rFonts w:ascii="Times New Roman" w:cs="Times New Roman" w:eastAsia="Times New Roman" w:hAnsi="Times New Roman"/>
          <w:sz w:val="18"/>
          <w:szCs w:val="18"/>
          <w:u w:val="single" w:color="auto"/>
          <w:color w:val="0000EE"/>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Segment Reporting</w:t>
      </w:r>
      <w:r>
        <w:rPr>
          <w:rFonts w:ascii="Times New Roman" w:cs="Times New Roman" w:eastAsia="Times New Roman" w:hAnsi="Times New Roman"/>
          <w:sz w:val="18"/>
          <w:szCs w:val="18"/>
          <w:color w:val="auto"/>
        </w:rPr>
        <w:t xml:space="preserve"> for new required disclosures.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Cash and cash equivalents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on deposit in financial institutions, in both the United States and Canada. The Company does not hold any investments that qualify as cash equivalents as of March 31, 2025. As of March 31, 2025, the Company had approximately $908 in cash that was held in a Canadian financial institution. The Company does not believe the balance presents a material concentration of credit risk, as the cash is held with a reputable financial institution.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4. Revenue Recognition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5. Allowance for Credit Losses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for the three months ended March 31,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0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Inventories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Impairment of Long-Lived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Basic and Diluted Earning (Loss) per Common Share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and diluted earning (loss)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6,913,928 and 6,222,800 at March 31, 2025 and 2024, respectively were excluded from the computation of earning (loss) per share as the strike price on the options and warrants were higher than the Company’s market price and therefore anti-dilutive.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9.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March 31,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Goodwill and Intangible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Use of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and assumptions and estimates used to evaluate the recoverability of goodwill and other intangible assets and the related amortization methods and periods.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fair value of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4,144</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4,774</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8,141</w:t>
            </w: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r>
      <w:tr>
        <w:trPr>
          <w:trHeight w:val="413"/>
        </w:trPr>
        <w:tc>
          <w:tcPr>
            <w:tcW w:w="7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license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and typically have perpetual autorenewal terms. We account for revenue from these services in accordance with ASC 985-20-15-5 and recognize revenue ratably over the performance period.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We generally do not own the devices that display the sold digital advertising.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left="160" w:right="120" w:firstLine="648"/>
        <w:spacing w:after="0" w:line="261"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w:t>
      </w:r>
    </w:p>
    <w:p>
      <w:pPr>
        <w:ind w:left="160" w:right="460"/>
        <w:spacing w:after="0" w:line="255" w:lineRule="auto"/>
        <w:rPr>
          <w:sz w:val="20"/>
          <w:szCs w:val="20"/>
          <w:color w:val="auto"/>
        </w:rPr>
      </w:pPr>
      <w:r>
        <w:rPr>
          <w:rFonts w:ascii="Times New Roman" w:cs="Times New Roman" w:eastAsia="Times New Roman" w:hAnsi="Times New Roman"/>
          <w:sz w:val="18"/>
          <w:szCs w:val="18"/>
          <w:color w:val="auto"/>
        </w:rPr>
        <w:t>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6" w:lineRule="exact"/>
        <w:rPr>
          <w:sz w:val="20"/>
          <w:szCs w:val="20"/>
          <w:color w:val="auto"/>
        </w:rPr>
      </w:pPr>
    </w:p>
    <w:p>
      <w:pPr>
        <w:ind w:left="160" w:right="8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Consolidated Statements of Operations within Sales and Marketing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Merger-related Contingent Consideration Settlement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12, 2021, the Company entered into an Agreement and Plan of Merger with Reflect and RSI Exit Corporation, as representative of the former stockholders of Reflect (the “Stockholders’ Representative”), which was amended on February 8, 2022, February 11, 2023, February 17, 2025, and February 23, 2025 (as amended, the “Merger Agreement”). Pursuant to the Merger Agreement, the Company’s direct, wholly owned subsidiary, CRI Acquisition Corporation, merged with and into Reflect, with Reflect continuing as the surviving entity and becoming a wholly owned subsidiary of the Company (the “Merger”). The Merger was closed on February 17, 2022. The Merger Agreement required the Company to pay to the former Reflect stockholders on or after February 17, 2025 (the “Guaranteed Date”) additional contingent supplemental cash payments (the “Guaranteed Consideration”) if the average closing price of the Company’s common stock in the fifteen (15) trading day period prior to the Guaranteed Date was below $6.40 per share (such applicable amount, the “Guaranteed Price”).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14, 2025, the Company and Reflect entered into a Settlement Agreement and Fifth Amendment to Merger Agreement with the Stockholder’s Representative (the “Settlement Agreement”), pursuant to which the Company settled and resolved a dispute regarding the amount and enforceability of the Guaranteed Consideration. Pursuant to the Settlement Agreement, the Company’s obligation to pay the Guaranteed Consideration to the former Reflect stockholders was terminated and released. In consideration for such termination and release, (i) the Company deposited an aggregate of $3,000 in cash with an exchange agent for the ratable benefit of, and for distribution to, the former Reflect stockholders, (ii) the Company and Reflect (as co-obligors) delivered a subordinated promissory note in the principal amount of $4,000 payable to the order of the Stockholders’ Representative, as nominee for, and for the ratable benefit of, the former Reflect stockholders (the “Promissory Note”), and (iii) the Company agreed to issue to the former Reflect stockholders warrants to purchase their pro rata share of an aggregate of 777,800 shares of the Company’s common stock (the “Settlement Warrants”).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the Company derecognized the previously recorded contingent consideration liability related to the Merger of $12,815 and recorded the fair value of the settlement consideration of $8,040, which included $3,000 in cash, the $4,000 Promissory Note, and Settlement Warrants with a fair value of $1,040. The Company recognized a gain on settlement of $4,775 during the three months ended March 31, 2025 in the Condensed Consolidated Statement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entering into the Settlement Agreement and related documents, the Company entered into a Consent Agreement dated March 14, 2025 with First Merchants Bank, among others (the “Consent Agreement”), pursuant to which (among other things) First Merchants Bank, the senior secured lender under the Company’s credit facility, agreed to waive certain negative covenants under the Company’s credit facility that may have otherwise been implicated by the transactions contemplated by the Settlement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11 Warrants</w:t>
      </w:r>
      <w:r>
        <w:rPr>
          <w:rFonts w:ascii="Times New Roman" w:cs="Times New Roman" w:eastAsia="Times New Roman" w:hAnsi="Times New Roman"/>
          <w:sz w:val="18"/>
          <w:szCs w:val="18"/>
          <w:color w:val="auto"/>
        </w:rPr>
        <w:t xml:space="preserve"> for additional accounting considerations as a result of the issuance of the Promissory Note and Settlement Warrants.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SUPPLEMENTAL CASH FLOW STATEMENT INFORMATION</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term note as partial settlement of contingent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as partial settlement of 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Supplemental disclosure information for cash flow</w:t>
            </w:r>
          </w:p>
        </w:tc>
        <w:tc>
          <w:tcPr>
            <w:tcW w:w="412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8000" w:type="dxa"/>
            <w:vAlign w:val="bottom"/>
            <w:gridSpan w:val="3"/>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INTANGIBLE ASSETS, INCLUDING GOODWILL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8"/>
                <w:szCs w:val="18"/>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2025 and 2024, amortization of intangible assets charged to operations was $1,136 and $790, respectively.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paid by the Company over the fair value of net assets acquired by the Company. Goodwill is subject to an impairment review at a reporting unit level, evaluated on an annual basis at September 30 of each fiscal year, when an event occurs, or circumstances change that would indicate potential impairment. The assessment may be performed quantitatively or qualitatively. The Company has only one reporting unit, and therefore the entire goodwill is allocated to that reporting unit. The Company assesses the carrying value of goodwill at the reporting unit level based on an estimate of the fair value of its reporting unit.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identified a triggering event during the quarter due to a sustained decline in the Company’s stock price and resulting market capitalization falling below the carrying value of its reporting unit. As a result, the Company performed a quantitative goodwill impairment test as of March 31,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reporting unit was estimated using a combination of the market approach and income approach (discounted cash flow method). The market approach considered valuation multiples of comparable public companies and recent industry acquisition activity. The income approach involved discounted projected cash flows based on management’s expectations of future performance, including historical trends, recent revenue growth, backlog, and customer acquisition activity. The valuation reflected assumptions regarding future operating results, terminal growth, and a discount rate reflecting the Company’s weighted-average cost of capital and risk profile.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this analysis, the Company concluded that the fair value of the reporting unit exceeded its carrying amount, and therefore, no goodwill impairment charge was recorded in the Condensed Consolidated Statement of Operations for the three months ended March 31,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no impairment was identified, the excess of the fair value over the carrying amount of the subject assets was not significant. Accordingly, changes in key assumptions, such as reductions in the Company’s projected 2025 operating results or further declines in its market capitalization, could result in a material impairment charge in a future period. The Company will continue to monitor actual performance relative to expectations and evaluate for potential impairment indicators in future periods. The valuation of goodwill involves significant judgment and estimation uncertainty, and future events could result in an impairment charge. A determination that there exists no impairment of goodwill in the current quarter does not mean and should not be interpreted as though there will not exist any impairment of goodwill in future quarters.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Debt for the Company consists of the following:</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4"/>
                <w:szCs w:val="24"/>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See below</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3/14/2025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9/14/2027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debt, gross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23, 2024, the Company entered into a Credit Agreement (the “Credit Agreement”) with First Merchants Bank (the “Bank”). The Credit Agreement provides the Company with a $22,100 secured revolving credit facility, with an uncommitted accordion feature that provides for additional borrowing capacity of up to $5,000, subject to the Bank’s approval and other customary terms and conditions set forth in the Credit Agreement. The revolving credit facility matures on May 23, 2027, subject to any earlier default under the Credit Agreement. The Credit Agreement requires the Company to pay the entire unpaid principal balance of the revolving credit facility on the maturity date, subject to any earlier default under the Credit Agreement. The Credit Agreement includes, among other things, the occurrence of any event which could reasonably be anticipated to cause or result in a “Material Adverse Effect” (as defined in the Credit Agreement) as an event of default under which the outstanding balance could become due and payable to the Bank. The Company has determined that the risk of such event is not probable and therefore has classified the outstanding balance in long-term liabilities in the Condensed Consolidated Balance Sheets based on the maturity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March 31, 2025, the Company entered into an amendment to the Credit Agreement, modifying the financial covenant related to the Senior Funded to EBITDA ratio. Pursuant to the amendment, the Company is required to maintain a Senior Funded Debt to EBITDA ratio of less than 4 to 1 through June 30, 2025, and less than 3.75 to 1 beginning with the quarter ending September 30, 2025 and thereafter.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the Company’s Senior Funded Debt to EBITDA Ratio. The floating margin is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Funded Debt to EBITDA Ratio</w:t>
            </w:r>
          </w:p>
        </w:tc>
        <w:tc>
          <w:tcPr>
            <w:tcW w:w="4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Floating Margin</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1.00 to 1</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1.00 to 1.00 but &lt; 2.00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to 1.00 but &lt; 3.00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3.00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interest rate at March 31, 2025 was 7.43%. The Company pays accrued interest monthly on the first day of each successive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$306 of deferred financing costs that were capitalized and recorded as other non-current assets within the Condensed Consolidated Balance Sheets. Deferred financing costs are being amortized as interest expense over the respective debt instrument period, 36 months.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had $19,238 in outstanding borrowings under the revolving credit facility as of March 31, 2025. Total availability under the revolving facility was $2,862.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Company was in compliance with all applicable debt covenants.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Promissory Note was issued on March 14, 2025 as part of the Settlement Agreement to resolve the contingent consideration liability. It is an unsecured obligation of the Company. The Promissory Note bears interest at a fixed annual rate of 14.0%. In the event of a default (as defined in the Promissory Note), or during any period of non-payment caused by restrictions under the Subordination Agreement (as defined below), the interest rate increases to 17.0% per annum (the “Interest Rate”). The Promissory Note requires monthly payments of interest only commencing April 14, 2025 and continuing through September 14, 2025. Commencing October 14, 2025, the Company is required to pay principal and interest in accordance with an amortization schedule that requires equal monthly payments of $109 on the 14th day of each calendar month through maturity on September 14, 2027. On the maturity date, the Company is required to make a final balloon payment of $2,277, representing the remaining principal and accrued but unpaid interest outstanding at maturity.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the Company’s payment of a make-whole payment with such prepayment. The make-whole payment is equal to the aggregate monthly payments of interest on the prepayment amount that would be due after the prepayment date and through the maturity date, using the percentage, if any, by which the Interest Rate exceeds a prescribed “yield maintenance treasury rate.”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Stockholders’ Representative’s rights under the Promissory Note are subject to a Subordination Agreement dated of March 14, 2025 by and among the Company, Reflect, First Merchants Bank and the Stockholders’ Representative (the “Subordination Agreement”). Under the terms of the Subordination Agreement, during any period in which an event of default exists under the senior debt facilities, the Company is prohibited from making any payments on the Promissory Note unless First Merchants Bank provides prior written consent, and the Stockholders' Representative is prohibited from accepting or enforcing any payments during the subordination period. The Promissory Note includes a default interest provision that increases the stated interest rate to 17% in the event of nonpayment or other specified defaults.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COMMITMENTS AND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we reported tax expense of $99 and $9, respectively. At March 31, 2025, the net deferred tax liabilities were $172 after valuation allowance, compared to net tax liabilities of $133 at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5,364,802 and 4,587,002 at March 31, 2025 and December 31, 2024, respectively. The weighted average exercise price of the outstanding warrants was $4.66 and $4.90 at March 31, 2025 and December 31, 2024, respectively. The weighted average remaining contractual life of the outstanding warrants was 3.31 and 3.11 years at March 31, 2025 and December 31, 2024, respectively.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March 14, 2025, the Company issued to the former Reflect stockholders the Settlement Warrants to purchase their pro rata share of an aggregate of 777,800 shares of the Company’s common stock at an exercise price equal to $3.25 per share, subject to adjustment for stock dividends, distributions, subdivisions, combinations, or reclassifications. The Settlement Warrants are exercisable immediately and expire six years from the date of issuance. They may be exercised for cash or, at the holder’s election, on a cashless (net settlement) basis. The Company evaluated the Settlement Warrants under ASC 815-40, </w:t>
      </w:r>
      <w:r>
        <w:rPr>
          <w:rFonts w:ascii="Times New Roman" w:cs="Times New Roman" w:eastAsia="Times New Roman" w:hAnsi="Times New Roman"/>
          <w:sz w:val="18"/>
          <w:szCs w:val="18"/>
          <w:i w:val="1"/>
          <w:iCs w:val="1"/>
          <w:color w:val="auto"/>
        </w:rPr>
        <w:t>Derivatives and Hedging - 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and concluded that the Settlement Warrants meet the criteria for equity classification. As such, the Settlement Warrants are not subject to remeasurement. Accordingly, the fair value of the Settlement Warrants at issuance was recorded as a component of additional paid-in capital within shareholders’ equity.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the Company’s stock price of $1.88 as of the valuation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NOTE 12: STOCK-BASED COMPENSATION</w:t>
            </w:r>
          </w:p>
        </w:tc>
        <w:tc>
          <w:tcPr>
            <w:tcW w:w="10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6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328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r>
      <w:tr>
        <w:trPr>
          <w:trHeight w:val="209"/>
        </w:trPr>
        <w:tc>
          <w:tcPr>
            <w:tcW w:w="3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$4.01 - $8.00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506,672</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3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506,672</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3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69,120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575,792</w:t>
            </w: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3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575,792</w:t>
            </w:r>
          </w:p>
        </w:tc>
        <w:tc>
          <w:tcPr>
            <w:tcW w:w="2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390"/>
        </w:trPr>
        <w:tc>
          <w:tcPr>
            <w:tcW w:w="3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3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240,000</w:t>
            </w:r>
          </w:p>
        </w:tc>
        <w:tc>
          <w:tcPr>
            <w:tcW w:w="16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40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Remaining</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Outstanding</w:t>
            </w:r>
          </w:p>
        </w:tc>
        <w:tc>
          <w:tcPr>
            <w:tcW w:w="2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r>
      <w:tr>
        <w:trPr>
          <w:trHeight w:val="230"/>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right w:val="single" w:sz="8" w:color="CCEEFF"/>
            </w:tcBorders>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80" w:type="dxa"/>
            <w:vAlign w:val="bottom"/>
            <w:shd w:val="clear" w:color="auto" w:fill="CCEEFF"/>
          </w:tcPr>
          <w:p>
            <w:pPr>
              <w:spacing w:after="0"/>
              <w:rPr>
                <w:sz w:val="19"/>
                <w:szCs w:val="19"/>
                <w:color w:val="auto"/>
              </w:rPr>
            </w:pPr>
          </w:p>
        </w:tc>
        <w:tc>
          <w:tcPr>
            <w:tcW w:w="140" w:type="dxa"/>
            <w:vAlign w:val="bottom"/>
            <w:tcBorders>
              <w:left w:val="single" w:sz="8" w:color="CCEEFF"/>
              <w:right w:val="single" w:sz="8" w:color="CCEEFF"/>
            </w:tcBorders>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Performance Vesting</w:t>
            </w: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7"/>
              </w:rPr>
              <w:t>Market Vesting Options</w:t>
            </w:r>
          </w:p>
        </w:tc>
        <w:tc>
          <w:tcPr>
            <w:tcW w:w="160" w:type="dxa"/>
            <w:vAlign w:val="bottom"/>
          </w:tcPr>
          <w:p>
            <w:pPr>
              <w:spacing w:after="0"/>
              <w:rPr>
                <w:sz w:val="20"/>
                <w:szCs w:val="20"/>
                <w:color w:val="auto"/>
              </w:rPr>
            </w:pPr>
          </w:p>
        </w:tc>
        <w:tc>
          <w:tcPr>
            <w:tcW w:w="242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220" w:type="dxa"/>
            <w:vAlign w:val="bottom"/>
          </w:tcPr>
          <w:p>
            <w:pPr>
              <w:spacing w:after="0"/>
              <w:rPr>
                <w:sz w:val="20"/>
                <w:szCs w:val="20"/>
                <w:color w:val="auto"/>
              </w:rPr>
            </w:pPr>
          </w:p>
        </w:tc>
        <w:tc>
          <w:tcPr>
            <w:tcW w:w="25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Options</w:t>
            </w: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(16,105)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3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575,792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4.98 years as of March 31,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for the three months ended March 31, 2025 and 2024, of $2 and $3, respectively, was included in general and administrative expense in the Condensed Consolidated Financial Statements. At March 31, 2025, there was no unrecognized compensation expense related to unvested share-based awards for employees.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April 1, 2025, the Company granted stock options to purchase an aggregate of 567,500 shares of common stock to employees pursuant to the Company’s 2023 Stock Incentive Plan (the “Plan”), which was previously approved by shareholders. The options have an exercise price of $1.95 per share, equal to the closing market price of the Company’s common stock on the grant date. The options vest in equal annual installments over a three-year period, subject to continued service through each vesting date, and expire ten years from the date of grant. The Company will determine the grant-date fair value using the Black-Scholes option pricing model with assumptions including expected volatility, term, risk-free interest rate, and dividend yield. The awards will be recognized as stock-based compensation expense over the requisite service period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based on the grant-date fair value of the options.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SEGMENT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The marketing technology solutions segment generates revenue through three primary sources which includes (1) hardware sales from reselling digital signage hardware from original equipment manufacturers, (2) services from helping customers design, deploy, and manage their digital signage and ad-based networks, and (3) recurring subscription licensing and support revenue from our digital signage and ad-tech software platforms, which are generally sold via a SaaS model.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not to invest in new technology or reallocate operating expenses - namely personnel. In addition, the CODM reviews supplementary metrics such as disaggregated revenue as disclosed in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Revenue Recognition</w:t>
      </w:r>
      <w:r>
        <w:rPr>
          <w:rFonts w:ascii="Times New Roman" w:cs="Times New Roman" w:eastAsia="Times New Roman" w:hAnsi="Times New Roman"/>
          <w:sz w:val="18"/>
          <w:szCs w:val="18"/>
          <w:color w:val="auto"/>
        </w:rPr>
        <w:t xml:space="preserve"> and customer growth to ensure that our strategic decisions are aligned with long-term performance goals.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measure used by our CODM to assess performance and make operating decisions is net income (loss) as reported on our Condensed Consolidated Statements of Operations. Significant segment expenses are reported as total expenses on the Condensed Consolidated Statements of Operations. Segment assets are disclosed in the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two customers that accounted for 13% and 11% of accounts receivable at March 31, 2025 and one customer that accounted for 16% of accounts receivable at December 31,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three customers that accounted for 20%, 11% and 10% of revenue for the three months ended March 31, 2025, compared to four customers that accounted for 13%, 12%, 11%, and 10% of revenue for the three months ended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two vendors that accounted for 14% and 13% of outstanding accounts payable at March 31, 2025, and two vendors that accounted for 27% and 10% of outstanding accounts payable at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“proposes,”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this Quarterly Report on Form 10-Q, and the Company’s Annual Report on Form 10-K for the year ended December 31, 2024, as filed with the Securities and Exchange Commission on March 14, 2025.</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Except to the extent required by law, we expressly disclaim any obligation to release publicly any updates or revisions to any forward-looking statements contained herein to reflect any change in our expectations with regard thereto or change in events, conditions, or circumstances on which any statement is based.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Adlogic CPM+ platforms, which, working in conjunction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flexibility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GAAP.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12,285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decreased $2,551, or 21%, for the three months ending March 31, 2025 as compared to the same period in 2024. Hardware revenues were $3,394, a decrease of $750, or 18%, for the three months ending March 31, 2025 as compared to the same period in 2024. Delays and deferrals in existing and prospective customer deployment planning leading up to and immediately following the US presidential election negatively impacted the timing of hardware sales and associated installation activities. Services and other revenues were $6,340, a decrease of $1,801 or 22%. Installation services revenue decreased $565, or 26% for the three months ending March 31, 2025 as compared to the same period in 2024, due to aforementioned customer delays. Managed services revenue, which includes the Company’s SaaS subscription services, were $4,247, a decrease of $527, or 11%, as compared to the same period in 2024, as a result of reductions in the quantity of licenses subject to software subscriptions on our platforms driven by a single customer which insourced a portion of their hosted environment. Other services revenue decreased $709, or 59% for the three months ending March 31, 2025 as compared to the same period in 2024, as a result of the Company exiting media sales effective October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margin was 46% and 47% for the three months ending March 31, 2025 and 2024, respectively. Hardware gross margin increased 9%, as a result of deployments utilizing hardware with more favorable margins due to the Company’s purchasing power, combined with increased pricing on certain hardware-only purchases by customers. Services and other gross margin decreased 6% as a result of a reduction in our SaaS subscription services and our exit from media sales effective October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$218, or 15%, for the three-month period ended March 31, 2025 as compared to the same period in 2024, driven primarily by decreases of (1) $97 in fixed and variable salaries, taxes and benefits of our sales and marketing personnel, and (2) $90 in trade show and marketing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$447 or 10%, for the three months ending March 31, 2025 as compared to the same period in 2024. The decrease was primarily driven by (1) a $185 reduction in payroll-related expenses due to reduced average headcount in the current period, and (2) a $166 reduction in facilities expenses following relocation of the Company’s Dallas, Texas office, which became effective April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Contingent Consideration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Business Combinations</w:t>
      </w:r>
      <w:r>
        <w:rPr>
          <w:rFonts w:ascii="Times New Roman" w:cs="Times New Roman" w:eastAsia="Times New Roman" w:hAnsi="Times New Roman"/>
          <w:sz w:val="18"/>
          <w:szCs w:val="18"/>
          <w:color w:val="auto"/>
        </w:rPr>
        <w:t xml:space="preserve"> to the Condensed Consolidated Financial Statements for a discussion of the Company’s gain on settlement of contingent consideration.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$265 in other expenses for the three months ended March 31, 2025, consisting primarily of (1) $120 in legal expenses incurred in connection with the contingent consideration settlement and (2) $136 in severance-related expenses in connection with the termination of certain employees as part of a cost-reduction initiative.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 (Non-GAAP)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non-GAAP financial measure is generally defined as one that purports to measure historical or future financial performance, financial position, or cash flows, but excludes or includes amounts that would not be so excluded or included in the most comparable U.S. generally accepted accounting principles (“GAAP”) measure. Earnings before interest, depreciation, and amortization (“EBITDA”) and adjusted EBITDA (“Adjusted EBITDA”) are non-GAAP financial performance measures we believe offer a useful view of the overall operations of our business. These non-GAAP financial performance measures, which may not be comparable to, and may be defined differently than, similarly titled measures used or reported by other companies, should not be considered in isolation from or as a substitute for the related GAAP measures and should be read together with financial information presented on a GAAP basis.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EBITDA and Adjusted EBITDA are not measurements of financial performance under GAAP. We use non-GAAP financial performance measures to supplement our GAAP results in order to provide a more complete understanding of the factors and trends affecting our business. We believe these non-GAAP financial performance measures are helpful in identifying trends in our day-to-day performance because the items excluded have little or no significance on our day-to-day operations. These measures provide an assessment of core expenses and afford management the ability to make decisions which are expected to facilitate meeting current financial goals as well as achieve optimal financial performance. Our management believes that these non-GAAP financial measures provide additional information useful for investors, shareholders and other stakeholders of our Company in gauging our results of operations on an ongoing basis.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They should not be viewed in isolation or as a substitute for net income (loss) or any other measure of performance derived in accordance with GAAP. EBITDA and Adjusted EBITDA exclude certain expenses that we believe may not be indicative of our business operating results. EBITDA should not be considered as an alternative to net (loss) income as an indicator of performance or as an alternative to cash flows from operating activities as an indicator of cash flows, in each case as determined in accordance with GAAP, or as a measure of liquidity. EBITDA does not take into account changes in certain assets and liabilities as well as interest and income taxes that can affect cash flows. In addition, Adjusted EBITDA excludes stock-based compensation, fair value adjustments and both cash and non-cash non-recurring gains and charges. We strongly urge you to review the following reconciliation of net (loss) income to EBITDA and Adjusted EBITDA, along with our condensed consolidated financial statements included elsewhere in this Quarterly Report on Form 10-Q. We also strongly urge you not to rely on any single financial performance measure to evaluate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The table below shows the reconciliation of the Company’s net (loss) income to EBITDA and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1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we had an accumulated deficit of $53,486 and positive working capital of $3,133. For the three months ended March 31, 2025, we generated an operating loss of $722 and negative net cash flows from operations of $2,449. We remain dependent on improving cash flows from operations, securing additional sources of liquidity, or both, to fund ongoing operations to meet our financial obligations, including our debt obligations under our current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response to our accumulated deficit and capital requirements, we continue to evaluate our available options for amending our debt facilities or accessing the capital markets via equity financing. However, these plans have not been finalized, are subject to market conditions, and in some respects are outside of our control. Therefore, they cannot be deemed probable as of March 31, 2025. As a result of the matters discussed above, including our losses, current liquidity level and projected capital needs, we have concluded that management’s plans do not alleviate substantial doubt about our ability to continue as a going concern within one year after the issuance date of the Condensed Consolidated Financial Statements included in this Report.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revenues from operations are insufficient to meet our liquidity requirements, our ability to continue as a going concern will depend our ability to effectively raise capital through private or public placement of our equity securities. If we are unable to maintain sufficient financial resources, our business, financial condition and results of operations, as well as our ability to continue to execute on our business plan, and satisfy our obligations as they become due, will be materially and adversely affected. Failure to obtain additional financing will have a material, adverse impact on our business operations. There can be no assurance that we will be able to obtain the financing needed to achieve our goals on acceptable terms or at all. Additionally, any equity or equity-linked financings would likely have a dilutive effect on the holdings of our existing stockholders. Our current level of cash and cash equivalents are not sufficient to execute our business plan. For the foreseeable future, we will incur significant operating expenses, capital expenditures and working capital funding that will deplete our cash on hand.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obtain additional financing is extremely limited under current market conditions, including the significant amount of capital required, the market price of our stock and potential dilution from the issuance of any additional securities. If we are unable to identify other sources of funding, we may need to further adjust our operations. As a result of all of the matters discussed above, including our losses, current liquidity level and our projected capital needs, substantial doubt exists about our ability to continue as a going concern over the next twelve months from the date of issuance of the accompanying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cash used in operating activities during the three months ended March 31, 2025 was $2,449, compared to net cash provided by operating activities of $1,938 for the same period in 2024. During the three month period ending March 31, 2025, the Company generated net income of $3,368, which included a $4,775 gain on settlement of contingent liability, and depreciation and amortization expense of $1,187. The Company used $2,314 in cash due to changes in operating assets and liabilities, primarily due to decreases in accounts payable and accrued expenses.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was $621, compared to $830 during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do not have any material commitments for capital expenditures as of March 31, 2025.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was $3,182, compared to net cash used in financing activities of $1,119 for the same period in 2024. Net cash provided by financing activities during the three month period ended March 31, 2025 is primarily the result of net proceeds of $6,194 from borrowings and payments under the Company’s revolving credit facility, partially offset by $3,000 in cash payments made to former Reflect stockholders pursuant to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23, 2024, we entered into a Credit Agreement (the “Credit Agreement”) with First Merchants Bank (the “Bank”). The Credit Agreement provides us with a $22,100 secured revolving credit facility, with an uncommitted accordion feature that provides for additional borrowing capacity of up to $5,000, subject to the Bank’s approval and other customary terms and conditions set forth in the Credit Agreement. The Credit Agreement matures in May 2027 and requires us to pay the entire unpaid principal balance upon maturity.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our Senior Funded Debt to EBITDA Ratio. The effective interest rate at March 31, 2025 was 7.43%. We pay accrued interest monthly on the first day of each successive calendar month.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$19,238 in outstanding borrowings under the revolving credit facility as of March 31, 2025. Total availability under the revolving facility was $2,862.</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Promissory Note was issued on March 14, 2025 in the original principal amount of $4,000 as part of the Settlement Agreement to resolve the contingent consideration liability. It is our unsecured obligation. The Promissory Note bears interest at a fixed annual rate of 14.0%. Upon the occurrence of and during an event of a default (as defined in the Promissory Note), or during any period of non-payment caused by restrictions under the Subordination Agreement, the interest rate increases to 17.0% per annum. The Promissory Note requires monthly payments of interest only commencing April 14, 2025 and continuing through September 14, 2025. Commencing October 14, 2025, we are required to pay principal and interest in accordance with an amortization schedule that requires equal monthly payments of $109 on the 14th day of each calendar month through maturity on September 14, 2027. On the maturity date, we are required to make a final balloon payment of $2,277, representing the remaining principal and accrued but unpaid interest outstanding at maturity.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our payment of a make-whole payment with such prepayment. The make-whole payment is equal to the aggregate monthly payments of interest on the prepayment amount that would be due after the prepayment date and through the maturity date, using the percentage, if any, by which the applicable interest rate exceeds a prescribed “yield maintenance treasury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outstanding warrants accounted for as equity instruments in our Condensed Consolidated Financial Statements totaling 5,364,802 and 4,587,002 at March 31, 2025 and December 31, 2024, respectively. The weighted average exercise price of the outstanding warrants was $4.66 and $4.90 at March 31, 2025 and December 31, 2024, respectively. The weighted average remaining contractual life of the outstanding warrants was 3.31 and 3.11 years at March 31, 2025 and December 31, 2024, respectively.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14, 2025, we issued to the former Reflect stockholders the Settlement Warrants to purchase their pro rata share of an aggregate of 777,800 shares of our common stock at an exercise price equal to $3.25 per share, subject to adjustment for stock dividends, distributions, subdivisions, combinations, or reclassifications. The Settlement Warrants are exercisable immediately and expire six years from the date of issuance. They may be exercised for cash or, at the holder’s election, on a cashless (net settlement) basis.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our stock price of $1.88 as of the valuation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we did not engage in any off-balance sheet arrangements set forth in Item 303(a)(4) of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March 31, 2025,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Risk Factors of our Form 10-K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except for the following risk factor for which our investors should be aware:</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government policy, including the imposition of or increases in tariffs and changes to existing trade agreements, could have a material adverse effect on global economic conditions, our ability to raise capital on the capital markets, and our business, results of operations, prospects and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current Presidential Administration has proposed changes to U.S. and foreign government policy, including, but not limited to, changes to existing trade agreements, imposing significant increases in tariffs on goods imported into the U.S., particularly those manufactured in China, and greater restrictions on free trade generally. This has led to, among other things, adverse responses by foreign governments to U.S. trade policies. The implementation of tariffs is evolving. More tariffs may be increased or added in the future, which may significantly reduce global trade and trade between the impacted nations and the United States. As of the date of this Quarterly Report on Form 10-Q, discussions remain ongoing in respect of certain trade restrictions and tariffs on imports from numerous countries, including China, as well as retaliatory tariffs enacted in response to such actions.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these events,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Any of these factors could have an adverse effect on our ability to raise capital on the capital markets in the future on terms acceptable to us, if at all.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hardware that we procure and resell to our customers is supplied from vendors internationally, including certain media players from Taiwan and digital displays and mounts from Mexico and Vietnam. While we are currently unable to determine the aggregate impact of these tariffs, they could have an adverse impact on our business, results of operations, prospects and financial condition, and if we are unable to pass through the tariff costs via price increases to our customers, it would likely increase our cost of sales and, as a result, decrease our gross margins, operating income and net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Credit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12, 2025, First Merchants Bank, the Company and the Company’s subsidiaries executed a First Amendment to Credit Agreement. The amendment provides that, effective March 31, 2025, the maximum Senior Funded Debt to EBITDA ratio as of March 31, 2025 and June 30, 2025 was increased from 3.75 to 1.00 to 4.00 to 1.00, and the maximum ratio as of September 30, 2025 and thereafter remains at 3.75 to 1.00.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38"/>
        </w:trPr>
        <w:tc>
          <w:tcPr>
            <w:tcW w:w="66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2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02"/>
        </w:trPr>
        <w:tc>
          <w:tcPr>
            <w:tcW w:w="102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20" w:type="dxa"/>
            <w:vAlign w:val="bottom"/>
            <w:tcBorders>
              <w:left w:val="single" w:sz="8" w:color="auto"/>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880" w:type="dxa"/>
            <w:vAlign w:val="bottom"/>
            <w:tcBorders>
              <w:right w:val="single" w:sz="8" w:color="auto"/>
            </w:tcBorders>
            <w:gridSpan w:val="19"/>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6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86"/>
        </w:trPr>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right w:val="single" w:sz="8" w:color="auto"/>
            </w:tcBorders>
          </w:tcPr>
          <w:p>
            <w:pPr>
              <w:spacing w:after="0"/>
              <w:rPr>
                <w:sz w:val="14"/>
                <w:szCs w:val="14"/>
                <w:color w:val="auto"/>
              </w:rPr>
            </w:pPr>
          </w:p>
        </w:tc>
        <w:tc>
          <w:tcPr>
            <w:tcW w:w="500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Third Amendment to Merger Agreement, dated February 17, 2025 by</w:t>
              </w:r>
            </w:hyperlink>
          </w:p>
        </w:tc>
        <w:tc>
          <w:tcPr>
            <w:tcW w:w="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February 18,</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and among Creative Realities, Inc., Reflect Systems, Inc. and RSI</w:t>
              </w:r>
            </w:hyperlink>
          </w:p>
        </w:tc>
        <w:tc>
          <w:tcPr>
            <w:tcW w:w="360" w:type="dxa"/>
            <w:vAlign w:val="bottom"/>
            <w:tcBorders>
              <w:right w:val="single" w:sz="8" w:color="auto"/>
            </w:tcBorders>
            <w:gridSpan w:val="10"/>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20"/>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Exit Corporation</w:t>
              </w:r>
            </w:hyperlink>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gridSpan w:val="20"/>
            <w:vMerge w:val="restart"/>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Amendment to Option Agreement dated February 17, 2025</w:t>
              </w:r>
            </w:hyperlink>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21,</w:t>
            </w:r>
          </w:p>
        </w:tc>
        <w:tc>
          <w:tcPr>
            <w:tcW w:w="1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86"/>
        </w:trPr>
        <w:tc>
          <w:tcPr>
            <w:tcW w:w="1020" w:type="dxa"/>
            <w:vAlign w:val="bottom"/>
            <w:tcBorders>
              <w:left w:val="single" w:sz="8" w:color="auto"/>
              <w:right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80" w:type="dxa"/>
            <w:vAlign w:val="bottom"/>
            <w:tcBorders>
              <w:right w:val="single" w:sz="8" w:color="auto"/>
            </w:tcBorders>
            <w:gridSpan w:val="20"/>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0" w:type="dxa"/>
            <w:vAlign w:val="bottom"/>
            <w:tcBorders>
              <w:top w:val="single" w:sz="8" w:color="0000EE"/>
              <w:bottom w:val="single" w:sz="8" w:color="auto"/>
            </w:tcBorders>
          </w:tcPr>
          <w:p>
            <w:pPr>
              <w:spacing w:after="0"/>
              <w:rPr>
                <w:sz w:val="11"/>
                <w:szCs w:val="11"/>
                <w:color w:val="auto"/>
              </w:rPr>
            </w:pPr>
          </w:p>
        </w:tc>
        <w:tc>
          <w:tcPr>
            <w:tcW w:w="6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70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1160" w:type="dxa"/>
            <w:vAlign w:val="bottom"/>
            <w:tcBorders>
              <w:top w:val="single" w:sz="8" w:color="0000EE"/>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vMerge w:val="continue"/>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20"/>
          </w:tcPr>
          <w:p>
            <w:pPr>
              <w:spacing w:after="0" w:line="169"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Fourth Amendment to Merger Agreement dated February 23, 2025</w:t>
              </w:r>
            </w:hyperlink>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24,</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vMerge w:val="continue"/>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20" w:type="dxa"/>
            <w:vAlign w:val="bottom"/>
            <w:tcBorders>
              <w:left w:val="single" w:sz="8" w:color="auto"/>
              <w:right w:val="single" w:sz="8" w:color="auto"/>
            </w:tcBorders>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right w:val="single" w:sz="8" w:color="auto"/>
            </w:tcBorders>
          </w:tcPr>
          <w:p>
            <w:pPr>
              <w:spacing w:after="0"/>
              <w:rPr>
                <w:sz w:val="9"/>
                <w:szCs w:val="9"/>
                <w:color w:val="auto"/>
              </w:rPr>
            </w:pPr>
          </w:p>
        </w:tc>
        <w:tc>
          <w:tcPr>
            <w:tcW w:w="5080" w:type="dxa"/>
            <w:vAlign w:val="bottom"/>
            <w:tcBorders>
              <w:right w:val="single" w:sz="8" w:color="auto"/>
            </w:tcBorders>
            <w:gridSpan w:val="20"/>
            <w:vMerge w:val="restart"/>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by and among Creative Realities, Inc., Reflect Systems, Inc. and RSI</w:t>
              </w:r>
            </w:hyperlink>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86"/>
        </w:trPr>
        <w:tc>
          <w:tcPr>
            <w:tcW w:w="1020" w:type="dxa"/>
            <w:vAlign w:val="bottom"/>
            <w:tcBorders>
              <w:left w:val="single" w:sz="8" w:color="auto"/>
              <w:right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80" w:type="dxa"/>
            <w:vAlign w:val="bottom"/>
            <w:tcBorders>
              <w:right w:val="single" w:sz="8" w:color="auto"/>
            </w:tcBorders>
            <w:gridSpan w:val="20"/>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2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940" w:type="dxa"/>
            <w:vAlign w:val="bottom"/>
            <w:tcBorders>
              <w:top w:val="single" w:sz="8" w:color="0000EE"/>
            </w:tcBorders>
            <w:gridSpan w:val="18"/>
            <w:vMerge w:val="restart"/>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Exit Corporation</w:t>
              </w:r>
            </w:hyperlink>
          </w:p>
        </w:tc>
        <w:tc>
          <w:tcPr>
            <w:tcW w:w="140" w:type="dxa"/>
            <w:vAlign w:val="bottom"/>
            <w:tcBorders>
              <w:right w:val="single" w:sz="8" w:color="auto"/>
            </w:tcBorders>
            <w:gridSpan w:val="2"/>
            <w:vMerge w:val="restart"/>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20" w:type="dxa"/>
            <w:vAlign w:val="bottom"/>
            <w:tcBorders>
              <w:left w:val="single" w:sz="8" w:color="auto"/>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4940" w:type="dxa"/>
            <w:vAlign w:val="bottom"/>
            <w:gridSpan w:val="18"/>
            <w:vMerge w:val="continue"/>
          </w:tcPr>
          <w:p>
            <w:pPr>
              <w:spacing w:after="0"/>
              <w:rPr>
                <w:sz w:val="5"/>
                <w:szCs w:val="5"/>
                <w:color w:val="auto"/>
              </w:rPr>
            </w:pPr>
          </w:p>
        </w:tc>
        <w:tc>
          <w:tcPr>
            <w:tcW w:w="140" w:type="dxa"/>
            <w:vAlign w:val="bottom"/>
            <w:tcBorders>
              <w:right w:val="single" w:sz="8" w:color="auto"/>
            </w:tcBorders>
            <w:gridSpan w:val="2"/>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20"/>
          </w:tcPr>
          <w:p>
            <w:pPr>
              <w:spacing w:after="0" w:line="169"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Common Stock Purchase Warrant.</w:t>
              </w:r>
            </w:hyperlink>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17,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484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Settlement Agreement and Fifth Amendment to Merger Agreement</w:t>
              </w:r>
            </w:hyperlink>
          </w:p>
        </w:tc>
        <w:tc>
          <w:tcPr>
            <w:tcW w:w="240" w:type="dxa"/>
            <w:vAlign w:val="bottom"/>
            <w:tcBorders>
              <w:right w:val="single" w:sz="8" w:color="auto"/>
            </w:tcBorders>
            <w:gridSpan w:val="5"/>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20"/>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dated March 14, 2025 by and among Creative Realities, Inc., Reflect</w:t>
              </w:r>
            </w:hyperlink>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17, 2025</w:t>
            </w: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9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Systems, Inc. and RSI Exit Corporation</w:t>
              </w:r>
            </w:hyperlink>
          </w:p>
        </w:tc>
        <w:tc>
          <w:tcPr>
            <w:tcW w:w="160" w:type="dxa"/>
            <w:vAlign w:val="bottom"/>
            <w:tcBorders>
              <w:right w:val="single" w:sz="8" w:color="auto"/>
            </w:tcBorders>
            <w:gridSpan w:val="3"/>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right w:val="single" w:sz="8" w:color="auto"/>
            </w:tcBorders>
          </w:tcPr>
          <w:p>
            <w:pPr>
              <w:spacing w:after="0"/>
              <w:rPr>
                <w:sz w:val="14"/>
                <w:szCs w:val="14"/>
                <w:color w:val="auto"/>
              </w:rPr>
            </w:pPr>
          </w:p>
        </w:tc>
        <w:tc>
          <w:tcPr>
            <w:tcW w:w="474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4,000,000 Promissory Note dated March 14, 2025 payable to the</w:t>
              </w:r>
            </w:hyperlink>
          </w:p>
        </w:tc>
        <w:tc>
          <w:tcPr>
            <w:tcW w:w="340" w:type="dxa"/>
            <w:vAlign w:val="bottom"/>
            <w:tcBorders>
              <w:right w:val="single" w:sz="8" w:color="auto"/>
            </w:tcBorders>
            <w:gridSpan w:val="9"/>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102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80" w:type="dxa"/>
            <w:vAlign w:val="bottom"/>
            <w:tcBorders>
              <w:right w:val="single" w:sz="8" w:color="auto"/>
            </w:tcBorders>
            <w:gridSpan w:val="20"/>
            <w:vMerge w:val="restart"/>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order of RSI Exit Corporation</w:t>
              </w:r>
            </w:hyperlink>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20" w:type="dxa"/>
            <w:vAlign w:val="bottom"/>
            <w:tcBorders>
              <w:left w:val="single" w:sz="8" w:color="auto"/>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80" w:type="dxa"/>
            <w:vAlign w:val="bottom"/>
            <w:tcBorders>
              <w:right w:val="single" w:sz="8" w:color="auto"/>
            </w:tcBorders>
            <w:gridSpan w:val="20"/>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4540" w:type="dxa"/>
            <w:vAlign w:val="bottom"/>
            <w:tcBorders>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Subordination Agreement dated March 14, 2025 by and among</w:t>
              </w:r>
            </w:hyperlink>
          </w:p>
        </w:tc>
        <w:tc>
          <w:tcPr>
            <w:tcW w:w="540" w:type="dxa"/>
            <w:vAlign w:val="bottom"/>
            <w:tcBorders>
              <w:right w:val="single" w:sz="8" w:color="auto"/>
            </w:tcBorders>
            <w:gridSpan w:val="11"/>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right w:val="single" w:sz="8" w:color="auto"/>
            </w:tcBorders>
          </w:tcPr>
          <w:p>
            <w:pPr>
              <w:spacing w:after="0"/>
              <w:rPr>
                <w:sz w:val="17"/>
                <w:szCs w:val="17"/>
                <w:color w:val="auto"/>
              </w:rPr>
            </w:pPr>
          </w:p>
        </w:tc>
        <w:tc>
          <w:tcPr>
            <w:tcW w:w="4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Creative Realities, Inc., Reflect Systems, Inc., First Merchants Bank</w:t>
              </w:r>
            </w:hyperlink>
          </w:p>
        </w:tc>
        <w:tc>
          <w:tcPr>
            <w:tcW w:w="180" w:type="dxa"/>
            <w:vAlign w:val="bottom"/>
            <w:tcBorders>
              <w:right w:val="single" w:sz="8" w:color="auto"/>
            </w:tcBorders>
            <w:gridSpan w:val="4"/>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17, 2025</w:t>
            </w: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20"/>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and RSI Exit Corporation.</w:t>
              </w:r>
            </w:hyperlink>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444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Consent Agreement dated March 14,2025 by and among First</w:t>
              </w:r>
            </w:hyperlink>
          </w:p>
        </w:tc>
        <w:tc>
          <w:tcPr>
            <w:tcW w:w="640" w:type="dxa"/>
            <w:vAlign w:val="bottom"/>
            <w:tcBorders>
              <w:right w:val="single" w:sz="8" w:color="auto"/>
            </w:tcBorders>
            <w:gridSpan w:val="12"/>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20"/>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Merchants Bank, Allure Global Solutions, Inc., Creative Realities,</w:t>
              </w:r>
            </w:hyperlink>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17, 2025</w:t>
            </w: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7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 and Reflect Systems, Inc.</w:t>
              </w:r>
            </w:hyperlink>
          </w:p>
        </w:tc>
        <w:tc>
          <w:tcPr>
            <w:tcW w:w="320" w:type="dxa"/>
            <w:vAlign w:val="bottom"/>
            <w:tcBorders>
              <w:right w:val="single" w:sz="8" w:color="auto"/>
            </w:tcBorders>
            <w:gridSpan w:val="8"/>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EE"/>
              </w:rPr>
              <w:t>First Amendment to Credit Agreement dated May 12, 2025 by and</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gridSpan w:val="6"/>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among First Merchant Bank, Creative Realities, Inc., Allure Global</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8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Solutions, Inc. and Reflect Systems, Inc.</w:t>
            </w:r>
          </w:p>
        </w:tc>
        <w:tc>
          <w:tcPr>
            <w:tcW w:w="260" w:type="dxa"/>
            <w:vAlign w:val="bottom"/>
            <w:tcBorders>
              <w:right w:val="single" w:sz="8" w:color="auto"/>
            </w:tcBorders>
            <w:gridSpan w:val="6"/>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020" w:type="dxa"/>
            <w:vAlign w:val="bottom"/>
          </w:tcPr>
          <w:p>
            <w:pPr>
              <w:spacing w:after="0"/>
              <w:rPr>
                <w:sz w:val="24"/>
                <w:szCs w:val="24"/>
                <w:color w:val="auto"/>
              </w:rPr>
            </w:pPr>
          </w:p>
        </w:tc>
        <w:tc>
          <w:tcPr>
            <w:tcW w:w="476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10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7"/>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02"/>
        </w:trPr>
        <w:tc>
          <w:tcPr>
            <w:tcW w:w="10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Borders>
              <w:right w:val="single" w:sz="8" w:color="auto"/>
            </w:tcBorders>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6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86"/>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right w:val="single" w:sz="8" w:color="auto"/>
            </w:tcBorders>
          </w:tcPr>
          <w:p>
            <w:pPr>
              <w:spacing w:after="0"/>
              <w:rPr>
                <w:sz w:val="14"/>
                <w:szCs w:val="14"/>
                <w:color w:val="auto"/>
              </w:rPr>
            </w:pPr>
          </w:p>
        </w:tc>
        <w:tc>
          <w:tcPr>
            <w:tcW w:w="4960" w:type="dxa"/>
            <w:vAlign w:val="bottom"/>
            <w:tcBorders>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w:t>
            </w:r>
          </w:p>
        </w:tc>
        <w:tc>
          <w:tcPr>
            <w:tcW w:w="12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9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80" w:type="dxa"/>
            <w:vAlign w:val="bottom"/>
            <w:tcBorders>
              <w:right w:val="single" w:sz="8" w:color="auto"/>
            </w:tcBorders>
            <w:gridSpan w:val="2"/>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40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40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gridSpan w:val="7"/>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0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40" w:type="dxa"/>
            <w:vAlign w:val="bottom"/>
          </w:tcPr>
          <w:p>
            <w:pPr>
              <w:spacing w:after="0"/>
              <w:rPr>
                <w:sz w:val="24"/>
                <w:szCs w:val="24"/>
                <w:color w:val="auto"/>
              </w:rPr>
            </w:pPr>
          </w:p>
        </w:tc>
        <w:tc>
          <w:tcPr>
            <w:tcW w:w="5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Creative Realities,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3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Pr>
          <w:p>
            <w:pPr>
              <w:spacing w:after="0"/>
              <w:rPr>
                <w:sz w:val="24"/>
                <w:szCs w:val="24"/>
                <w:color w:val="auto"/>
              </w:rPr>
            </w:pP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Ryan Mudd</w:t>
            </w:r>
          </w:p>
        </w:tc>
      </w:tr>
      <w:tr>
        <w:trPr>
          <w:trHeight w:val="191"/>
        </w:trPr>
        <w:tc>
          <w:tcPr>
            <w:tcW w:w="3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Ryan Mudd</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32"/>
        </w:trPr>
        <w:tc>
          <w:tcPr>
            <w:tcW w:w="3500" w:type="dxa"/>
            <w:vAlign w:val="bottom"/>
          </w:tcPr>
          <w:p>
            <w:pPr>
              <w:spacing w:after="0"/>
              <w:rPr>
                <w:sz w:val="24"/>
                <w:szCs w:val="24"/>
                <w:color w:val="auto"/>
              </w:rPr>
            </w:pPr>
          </w:p>
        </w:tc>
        <w:tc>
          <w:tcPr>
            <w:tcW w:w="32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33</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CREDIT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FIRST AMENDMENT TO CREDIT AGREEMENT (this “Amendment”) is entered into on May 12, 2025, and effective as of March 31, 2025 (the “Effective Date”), by and among </w:t>
      </w:r>
      <w:r>
        <w:rPr>
          <w:rFonts w:ascii="Times New Roman" w:cs="Times New Roman" w:eastAsia="Times New Roman" w:hAnsi="Times New Roman"/>
          <w:sz w:val="18"/>
          <w:szCs w:val="18"/>
          <w:b w:val="1"/>
          <w:bCs w:val="1"/>
          <w:color w:val="auto"/>
        </w:rPr>
        <w:t>First Merchants Bank</w:t>
      </w:r>
      <w:r>
        <w:rPr>
          <w:rFonts w:ascii="Times New Roman" w:cs="Times New Roman" w:eastAsia="Times New Roman" w:hAnsi="Times New Roman"/>
          <w:sz w:val="18"/>
          <w:szCs w:val="18"/>
          <w:color w:val="auto"/>
        </w:rPr>
        <w:t xml:space="preserve">, an Indiana bank, with address of 8711 River Crossing Blvd., Indianapolis, Indiana 46240 (the “Bank”); and </w:t>
      </w:r>
      <w:r>
        <w:rPr>
          <w:rFonts w:ascii="Times New Roman" w:cs="Times New Roman" w:eastAsia="Times New Roman" w:hAnsi="Times New Roman"/>
          <w:sz w:val="18"/>
          <w:szCs w:val="18"/>
          <w:b w:val="1"/>
          <w:bCs w:val="1"/>
          <w:color w:val="auto"/>
        </w:rPr>
        <w:t>Allure Global Solutions, Inc</w:t>
      </w:r>
      <w:r>
        <w:rPr>
          <w:rFonts w:ascii="Times New Roman" w:cs="Times New Roman" w:eastAsia="Times New Roman" w:hAnsi="Times New Roman"/>
          <w:sz w:val="18"/>
          <w:szCs w:val="18"/>
          <w:color w:val="auto"/>
        </w:rPr>
        <w:t xml:space="preserve">., a Georgia corporation (“AGS”), </w:t>
      </w:r>
      <w:r>
        <w:rPr>
          <w:rFonts w:ascii="Times New Roman" w:cs="Times New Roman" w:eastAsia="Times New Roman" w:hAnsi="Times New Roman"/>
          <w:sz w:val="18"/>
          <w:szCs w:val="18"/>
          <w:b w:val="1"/>
          <w:bCs w:val="1"/>
          <w:color w:val="auto"/>
        </w:rPr>
        <w:t>Creative Realities, Inc</w:t>
      </w:r>
      <w:r>
        <w:rPr>
          <w:rFonts w:ascii="Times New Roman" w:cs="Times New Roman" w:eastAsia="Times New Roman" w:hAnsi="Times New Roman"/>
          <w:sz w:val="18"/>
          <w:szCs w:val="18"/>
          <w:color w:val="auto"/>
        </w:rPr>
        <w:t xml:space="preserve">., a Minnesota corporation (“CRI”), and </w:t>
      </w:r>
      <w:r>
        <w:rPr>
          <w:rFonts w:ascii="Times New Roman" w:cs="Times New Roman" w:eastAsia="Times New Roman" w:hAnsi="Times New Roman"/>
          <w:sz w:val="18"/>
          <w:szCs w:val="18"/>
          <w:b w:val="1"/>
          <w:bCs w:val="1"/>
          <w:color w:val="auto"/>
        </w:rPr>
        <w:t>Reflect Systems, Inc</w:t>
      </w:r>
      <w:r>
        <w:rPr>
          <w:rFonts w:ascii="Times New Roman" w:cs="Times New Roman" w:eastAsia="Times New Roman" w:hAnsi="Times New Roman"/>
          <w:sz w:val="18"/>
          <w:szCs w:val="18"/>
          <w:color w:val="auto"/>
        </w:rPr>
        <w:t>., a Delaware corporation (“RS”) each with address of 13100 Magisterial Drive, Suite 102, Louisville, Kentucky 40223 (AGS, CRI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RS, collectively, the “Borrowers”, and each a “Borrower”).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Borrowers and the Bank are parties to that certain Credit Agreement dated effective as of May 23, 2024 (as amended, the “Original Loan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Borrowers and the Bank desire to amend the Original Loan Agreement to adjust certain covenants as hereinafter provided;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firstLine="8"/>
        <w:spacing w:after="0" w:line="282" w:lineRule="auto"/>
        <w:tabs>
          <w:tab w:leader="none" w:pos="4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FINANCIAL COVENANTS</w:t>
      </w:r>
      <w:r>
        <w:rPr>
          <w:rFonts w:ascii="Times New Roman" w:cs="Times New Roman" w:eastAsia="Times New Roman" w:hAnsi="Times New Roman"/>
          <w:sz w:val="18"/>
          <w:szCs w:val="18"/>
          <w:color w:val="auto"/>
        </w:rPr>
        <w:t>. Effective as of the Effective Date, Section 5.03(b) of the Original Loan Agreement is hereby amended and restated to read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Senior Funded Debt to EBITDA Ratio. Borrowers and their Subsidiaries, on a consolidated basis, shall maintain a Senior Funded Debt to EBITDA Ratio less than: (a) 4.00 to 1.00 from March 31, 2025 through and including June 30, 2025 and (b) 3.75 to 1.00 from and after September 30, 2025, all determined as of the last day of each fiscal quarter of Borrowers for the rolling four (4) fiscal quarter period ending on such day.”</w:t>
      </w:r>
    </w:p>
    <w:p>
      <w:pPr>
        <w:spacing w:after="0" w:line="176" w:lineRule="exact"/>
        <w:rPr>
          <w:sz w:val="20"/>
          <w:szCs w:val="20"/>
          <w:color w:val="auto"/>
        </w:rPr>
      </w:pPr>
    </w:p>
    <w:p>
      <w:pPr>
        <w:ind w:firstLine="8"/>
        <w:spacing w:after="0" w:line="282" w:lineRule="auto"/>
        <w:tabs>
          <w:tab w:leader="none" w:pos="3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AMENDMENTS TO ORIGINAL LOAN AGREEMENT AND LOAN DOCUMENTS</w:t>
      </w:r>
      <w:r>
        <w:rPr>
          <w:rFonts w:ascii="Times New Roman" w:cs="Times New Roman" w:eastAsia="Times New Roman" w:hAnsi="Times New Roman"/>
          <w:sz w:val="18"/>
          <w:szCs w:val="18"/>
          <w:color w:val="auto"/>
        </w:rPr>
        <w:t>. The Original Loan Agreement and the existing Loan Documents and the definitions contained therein are hereby further amended as follows:</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“Loan Agreement” shall mean the Original Loan Agreement, as amended by this Amendment;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“Loan Documents” shall mean all Loan Documents existing as of the Effective Date, including this Amendment.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AS A CONDITION PRECEDENT TO BANK’S OBLIGATIONS</w:t>
      </w:r>
      <w:r>
        <w:rPr>
          <w:rFonts w:ascii="Times New Roman" w:cs="Times New Roman" w:eastAsia="Times New Roman" w:hAnsi="Times New Roman"/>
          <w:sz w:val="18"/>
          <w:szCs w:val="18"/>
          <w:color w:val="auto"/>
        </w:rPr>
        <w:t>. Bank shall have no obligation under this Amendment unless and until Bank has received all of the following documents, duly executed and in form satisfactory to Bank:</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to such other documents or instruments as Bank may reasonably require.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3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Borrowers jointly and severally reaffirm as of the Effective Date all representations and warranties contained in the Original Loan Agreement, each of which shall be deemed to be continuing warranties and representations until such time as all Debt evidenced by the Original Loan Agreement and the other Loan Documents, as hereby amended, shall have been paid in full and Borrowers have no further liability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ind w:firstLine="8"/>
        <w:spacing w:after="0" w:line="266"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Borrowers agree that all covenants contained in the Original Loan Agreement and the other Loan Documents, as hereby amended, are and hereafter shall be binding upon Borrowers until such time as all Debt evidenced by the Original Loan Agreement and the other Loan Documents, as hereby amended, shall have been paid in full and Borrowers have no further liability to Bank, unless otherwise consented to in writing by Bank.</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DEFENSES OR SETOFFS; RELEASE</w:t>
      </w:r>
      <w:r>
        <w:rPr>
          <w:rFonts w:ascii="Times New Roman" w:cs="Times New Roman" w:eastAsia="Times New Roman" w:hAnsi="Times New Roman"/>
          <w:sz w:val="18"/>
          <w:szCs w:val="18"/>
          <w:color w:val="auto"/>
        </w:rPr>
        <w:t>. Each Borrower acknowledges and agrees that: (a) such Borrower has no claim or cause of action against Bank (or any of Bank’s directors, officers, employees, or agents) relating to the Obligations; (b) such Borrower has no offset right, counterclaim, or defense of any kind against enforcement of, or relating to, any of the Obligations; and (c) Bank has heretofore properly performed and satisfied in a timely manner all of Bank’s obligations to each Borrower. Bank desires, and each Borrower agrees, to eliminate any possibility that any past conditions, acts, omissions, events, circumstances or matters would impair or otherwise adversely affect any of Bank’s rights, interests, collateral, security, or remedies. Therefore, each Borrower, on behalf of itself and all of its heirs, successors and assigns and any and all other entities and persons claiming rights through such Borrower, unconditionally releases, acquits, and forever discharges Bank and its affiliated entities and parties, and all of their current and former directors, officers, agents, employees, shareholders, and attorneys, and their successors and assigns (collectively, the “Dischargees”) from (i) any and all liabilities, obligations, duties, or indebtedness of any of the Dischargees to any and all Borrowers, whether known or unknown, arising prior to the last date any Borrower signs this Amendment, and (ii) any and all claims, offsets, causes of action, suits, or defenses, whether known or unknown, which any Borrower might otherwise have against any of the Dischargees on account of any condition, act, omission, event, contract, liability, obligation, indebtedness, claim, cause of action, defense, circumstance, or matter of any kind which existed, arose or occurred at any time prior to the last date any Borrower signs this Amendment. This provision shall survive any termination of the Loan Agreement and the repayment of the Obligations.</w:t>
      </w:r>
    </w:p>
    <w:p>
      <w:pPr>
        <w:spacing w:after="0" w:line="187" w:lineRule="exact"/>
        <w:rPr>
          <w:rFonts w:ascii="Times New Roman" w:cs="Times New Roman" w:eastAsia="Times New Roman" w:hAnsi="Times New Roman"/>
          <w:sz w:val="18"/>
          <w:szCs w:val="18"/>
          <w:color w:val="auto"/>
        </w:rPr>
      </w:pPr>
    </w:p>
    <w:p>
      <w:pPr>
        <w:ind w:right="20" w:firstLine="8"/>
        <w:spacing w:after="0" w:line="28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and enforced in accordance with the substantive law of the State of Indiana without regard to its conflict of law principles.</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 EXECUTION</w:t>
      </w:r>
      <w:r>
        <w:rPr>
          <w:rFonts w:ascii="Times New Roman" w:cs="Times New Roman" w:eastAsia="Times New Roman" w:hAnsi="Times New Roman"/>
          <w:sz w:val="18"/>
          <w:szCs w:val="18"/>
          <w:color w:val="auto"/>
        </w:rPr>
        <w:t>. This Amendment may be executed by original or electronic signature (which electronic signature shall be binding and enforceable the same as if original) in any number of counterparts, each of which shall constitute an original, but all of which taken together shall constitute one agreement, and any of the parties hereto may execute this Amendment by signing any such counterpart. This Amendment shall be effective when it has been executed by Borrowers and Bank. The parties hereto agree that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without limitation, Electronic Signatures in Global and National Commerce Act, the Uniform Electronic Transactions Act or the Uniform Commercial Code, and the parties hereto hereby waive any objection to the contrary.</w:t>
      </w:r>
    </w:p>
    <w:p>
      <w:pPr>
        <w:spacing w:after="0" w:line="191" w:lineRule="exact"/>
        <w:rPr>
          <w:rFonts w:ascii="Times New Roman" w:cs="Times New Roman" w:eastAsia="Times New Roman" w:hAnsi="Times New Roman"/>
          <w:sz w:val="18"/>
          <w:szCs w:val="18"/>
          <w:color w:val="auto"/>
        </w:rPr>
      </w:pPr>
    </w:p>
    <w:p>
      <w:pPr>
        <w:jc w:val="both"/>
        <w:ind w:firstLine="8"/>
        <w:spacing w:after="0" w:line="255"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NEGOTIATIONS</w:t>
      </w:r>
      <w:r>
        <w:rPr>
          <w:rFonts w:ascii="Times New Roman" w:cs="Times New Roman" w:eastAsia="Times New Roman" w:hAnsi="Times New Roman"/>
          <w:sz w:val="18"/>
          <w:szCs w:val="18"/>
          <w:color w:val="auto"/>
        </w:rPr>
        <w:t>. Each Borrower acknowledges and agrees that (i) the Bank has no obligation whatsoever to discuss, negotiate or to agree to any restructuring of the Note, or any modification, amendment, restructuring or reinstatement of the other Loan Documents; (ii) that if there are any future discussions among the Bank and either Borrower concerning any such restructuring, modification, amendment or reinstatement, then no restructuring, modification, amendment, reinstatement, compromise, settlement, agreement or understanding with respect to the Note, the other Loan Documents, the Collateral or any aspect thereof, shall constitute a legally binding agreement or contract or have any force or effect whatsoever unless and until reduced in writing and signed by authorized representatives of the parties to be bound, and that none of the parties hereto shall assert or claim in any legal proceedings or otherwise that any such agreement exists except in accordance with the terms of this Section.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jc w:val="both"/>
        <w:ind w:firstLine="8"/>
        <w:spacing w:after="0" w:line="261"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 OF BANK</w:t>
      </w:r>
      <w:r>
        <w:rPr>
          <w:rFonts w:ascii="Times New Roman" w:cs="Times New Roman" w:eastAsia="Times New Roman" w:hAnsi="Times New Roman"/>
          <w:sz w:val="18"/>
          <w:szCs w:val="18"/>
          <w:color w:val="auto"/>
        </w:rPr>
        <w:t>. Pursuant to Section 8.03 of the Original Loan Agreement, Borrowers agree to pay, or cause to be paid, and save Bank harmless against liability for the payment of, all reasonable out-of-pocket expenses, including reasonable and documented counsel and attorneys fees, incurred by Bank relating to the negotiation, preparation and administration of this Amendment and such other fees and expenses contemplated by the Original Loan Agreement.</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JURY WAIVER. SUBJECT TO SECTION 8.09 OF THE ORIGINAL LOAN AGREEMENT, IN RECOGNITION OF THE HIGHER COSTS AND DELAY WHICH MAY RESULT FROM A JURY TRIAL, THE PARTIES HERETO WAIVE ANY RIGHT TO TRIAL BY JURY OF ANY CLAIM, DEMAND, ACTION OR CAUSE OF ACTION (a) ARISING HEREUNDER OR IN CONNECTION WITH THE LOAN DOCUMENTS, OR (b) IN ANY WAY CONNECTED WITH OR RELATED OR INCIDENTAL TO THE DEALINGS OF THE PARTIES HERETO OR ANY OF THEM WITH RESPECT HERETO, IN EACH CASE WHETHER NOW EXISTING OR HEREAFTER ARISING, AND WHETHER SOUNDING IN CONTRACT OR TORT OR OTHERWISE; AND EACH PARTY FURTHER WAIVES ANY RIGHT TO CONSOLIDATE ANY SUCH ACTION IN WHICH A JURY TRIAL HAS BEEN WAIVED WITH ANY OTHER ACTION IN WHICH A JURY TRIAL CANNOT BE OR HAS NOT BEEN WAIVED; AND EACH PARTY HEREBY AGREES AND CONSENTS THAT ANY SUCH CLAIM, DEMAND, ACTION OR CAUSE OF ACTION SHALL BE DECIDED BY COURT TRIAL WITHOUT A JURY, AND THAT ANY PARTY HERETO MAY FILE A COPY OF THIS SECTION WITH ANY COURT AS WRITTEN EVIDENCE OF THE CONSENT OF THE PARTIES HERETO TO THE WAIVER OF THEIR RIGHT TO TRIAL BY JURY. THIS PROVISION SHALL SURVIVE ANY TERMINATION OF THE LOAN AGREEMENT AND THE REPAYMENT OF THE OBLIGATIONS.</w:t>
      </w:r>
    </w:p>
    <w:p>
      <w:pPr>
        <w:spacing w:after="0" w:line="193" w:lineRule="exact"/>
        <w:rPr>
          <w:rFonts w:ascii="Times New Roman" w:cs="Times New Roman" w:eastAsia="Times New Roman" w:hAnsi="Times New Roman"/>
          <w:sz w:val="18"/>
          <w:szCs w:val="18"/>
          <w:color w:val="auto"/>
        </w:rPr>
      </w:pPr>
    </w:p>
    <w:p>
      <w:pPr>
        <w:jc w:val="both"/>
        <w:ind w:firstLine="8"/>
        <w:spacing w:after="0" w:line="266" w:lineRule="auto"/>
        <w:tabs>
          <w:tab w:leader="none" w:pos="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EFFECT OF AMENDMENT</w:t>
      </w:r>
      <w:r>
        <w:rPr>
          <w:rFonts w:ascii="Times New Roman" w:cs="Times New Roman" w:eastAsia="Times New Roman" w:hAnsi="Times New Roman"/>
          <w:sz w:val="18"/>
          <w:szCs w:val="18"/>
          <w:color w:val="auto"/>
        </w:rPr>
        <w:t>. Except as specifically amended herein or in the other documents executed in connection with this Amendment, the terms and conditions of the Original Loan Agreement, the Loan Documents, and all other existing agreements between the parties are unaffected by this Amendment and shall continue to be binding upon each Borrower and Bank.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effective as of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Merchants Bank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Stehlik</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M. Stehlik</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First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Allure Global Solutions,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Georgia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 Ryan Mudd</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Ryan Mudd, Interim Chief Financial Officer</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Minnesota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 Ryan Mudd</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Ryan Mudd, Interim Chief Financial Officer</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 Ryan Mudd</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Ryan Mudd, 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ectPr>
          <w:pgSz w:w="11900" w:h="16838" w:orient="portrait"/>
          <w:cols w:equalWidth="0" w:num="1">
            <w:col w:w="10139"/>
          </w:cols>
          <w:pgMar w:left="320" w:top="823"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2025,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Ryan Mudd,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2025,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Ryan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David Ryan Mudd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months ended March 31, 2025,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months ended March 31, 2025, as filed with the Securities and Exchange Commission on the date hereof (the “Report”), I, David Ryan Mudd,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David Ryan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0518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David Ryan Mudd</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lvl w:ilvl="1">
      <w:lvlJc w:val="left"/>
      <w:lvlText w:val="%2)"/>
      <w:numFmt w:val="lowerLetter"/>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45" Type="http://schemas.openxmlformats.org/officeDocument/2006/relationships/hyperlink" Target="http://www.sec.gov/Archives/edgar/data/1356093/000143774925004128/ex_779450.htm" TargetMode="External"/><Relationship Id="rId46" Type="http://schemas.openxmlformats.org/officeDocument/2006/relationships/hyperlink" Target="http://www.sec.gov/Archives/edgar/data/1356093/000143774925004750/ex_780764.htm" TargetMode="External"/><Relationship Id="rId47" Type="http://schemas.openxmlformats.org/officeDocument/2006/relationships/hyperlink" Target="http://www.sec.gov/Archives/edgar/data/1356093/000143774925004829/ex_781385.htm" TargetMode="External"/><Relationship Id="rId48" Type="http://schemas.openxmlformats.org/officeDocument/2006/relationships/hyperlink" Target="http://www.sec.gov/Archives/edgar/data/1356093/000143774925007826/ex_790529.htm" TargetMode="External"/><Relationship Id="rId49" Type="http://schemas.openxmlformats.org/officeDocument/2006/relationships/hyperlink" Target="http://www.sec.gov/Archives/edgar/data/1356093/000143774925007826/ex_790530.htm" TargetMode="External"/><Relationship Id="rId50" Type="http://schemas.openxmlformats.org/officeDocument/2006/relationships/hyperlink" Target="http://www.sec.gov/Archives/edgar/data/1356093/000143774925007826/ex_790531.htm" TargetMode="External"/><Relationship Id="rId51" Type="http://schemas.openxmlformats.org/officeDocument/2006/relationships/hyperlink" Target="http://www.sec.gov/Archives/edgar/data/1356093/000143774925007826/ex_790532.htm" TargetMode="External"/><Relationship Id="rId52" Type="http://schemas.openxmlformats.org/officeDocument/2006/relationships/hyperlink" Target="http://www.sec.gov/Archives/edgar/data/1356093/000143774925007826/ex_7905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2025-05-14T07:12:48Z</dcterms:created>
  <dcterms:modified xsi:type="dcterms:W3CDTF">2025-05-14T07:12:48Z</dcterms:modified>
</cp:coreProperties>
</file>