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CURRENT REPORT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4"/>
        </w:trPr>
        <w:tc>
          <w:tcPr>
            <w:tcW w:w="3180" w:type="dxa"/>
            <w:vAlign w:val="bottom"/>
          </w:tcPr>
          <w:p>
            <w:pPr>
              <w:spacing w:after="0"/>
              <w:rPr>
                <w:sz w:val="24"/>
                <w:szCs w:val="24"/>
                <w:color w:val="auto"/>
              </w:rPr>
            </w:pPr>
          </w:p>
        </w:tc>
        <w:tc>
          <w:tcPr>
            <w:tcW w:w="522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PURSUANT TO SECTION 13 OR 15(d) OF</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522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522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4"/>
        </w:trPr>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522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31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5220" w:type="dxa"/>
            <w:vAlign w:val="bottom"/>
            <w:gridSpan w:val="3"/>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001-33169</w:t>
            </w:r>
          </w:p>
        </w:tc>
        <w:tc>
          <w:tcPr>
            <w:tcW w:w="28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41-1967918</w:t>
            </w:r>
          </w:p>
        </w:tc>
      </w:tr>
      <w:tr>
        <w:trPr>
          <w:trHeight w:val="191"/>
        </w:trPr>
        <w:tc>
          <w:tcPr>
            <w:tcW w:w="3180" w:type="dxa"/>
            <w:vAlign w:val="bottom"/>
            <w:tcBorders>
              <w:top w:val="single" w:sz="8" w:color="auto"/>
            </w:tcBorders>
          </w:tcPr>
          <w:p>
            <w:pPr>
              <w:jc w:val="center"/>
              <w:ind w:left="97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incorporation)</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84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28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3180" w:type="dxa"/>
            <w:vAlign w:val="bottom"/>
            <w:tcBorders>
              <w:top w:val="single" w:sz="8" w:color="auto"/>
            </w:tcBorders>
          </w:tcPr>
          <w:p>
            <w:pPr>
              <w:spacing w:after="0"/>
              <w:rPr>
                <w:sz w:val="19"/>
                <w:szCs w:val="19"/>
                <w:color w:val="auto"/>
              </w:rPr>
            </w:pPr>
          </w:p>
        </w:tc>
        <w:tc>
          <w:tcPr>
            <w:tcW w:w="5220" w:type="dxa"/>
            <w:vAlign w:val="bottom"/>
            <w:tcBorders>
              <w:top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180" w:type="dxa"/>
            <w:vAlign w:val="bottom"/>
          </w:tcPr>
          <w:p>
            <w:pPr>
              <w:spacing w:after="0"/>
              <w:rPr>
                <w:sz w:val="24"/>
                <w:szCs w:val="24"/>
                <w:color w:val="auto"/>
              </w:rPr>
            </w:pPr>
          </w:p>
        </w:tc>
        <w:tc>
          <w:tcPr>
            <w:tcW w:w="522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(502) 791-8800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522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2026, Creative Realities, Inc. (the “Company”) issued a press release announcing its financial condition and results of operations for the three months ended March 31, 2026. A copy of the press release is furnished as Exhibit 99.1. The information in this Item 2.02, including the information contained in the press release furnished as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May 15, 2026</w:t>
            </w:r>
          </w:p>
        </w:tc>
        <w:tc>
          <w:tcPr>
            <w:tcW w:w="7160" w:type="dxa"/>
            <w:vAlign w:val="bottom"/>
            <w:tcBorders>
              <w:top w:val="single" w:sz="8" w:color="auto"/>
            </w:tcBorders>
          </w:tcPr>
          <w:p>
            <w:pPr>
              <w:spacing w:after="0"/>
              <w:rPr>
                <w:sz w:val="14"/>
                <w:szCs w:val="14"/>
                <w:color w:val="auto"/>
              </w:rPr>
            </w:pPr>
          </w:p>
        </w:tc>
      </w:tr>
      <w:tr>
        <w:trPr>
          <w:trHeight w:val="45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ind w:left="6480"/>
        <w:spacing w:after="0"/>
        <w:tabs>
          <w:tab w:leader="none" w:pos="6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Tamra Koshewa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51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Tamra Koshewa</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9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May 15, 2026</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Creative Realities Reports Fiscal 2026 First Quarter Results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on Path for Growth Acceleration and Record Year of Performance</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15, 2026 </w:t>
      </w:r>
      <w:r>
        <w:rPr>
          <w:rFonts w:ascii="Times New Roman" w:cs="Times New Roman" w:eastAsia="Times New Roman" w:hAnsi="Times New Roman"/>
          <w:sz w:val="18"/>
          <w:szCs w:val="18"/>
          <w:color w:val="auto"/>
        </w:rPr>
        <w:t>– Creative Realities, Inc. (“Creative Realities,” “CRI,” or the “Company”) (NASDAQ: CREX),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signage, media and AdTech solutions, today announced its financial results for the fiscal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 of $16.3 million versus $9.7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$5.6 million for the three months ended March 31, 2026 versus $4.5 million in the first quarter of fiscal 2025.</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$(0.5) million for the first quarter of 2026 versus $0.5 million in the prior-year period.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(“ARR”)** of approximately $20.1 million at both the end of the first quarter and as of December 31, 2025.</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quarter played out largely as expected, with top line growth year-over-year but, as previously discussed, revenue was negatively impacted by several winter storms and other seasonal factors across much of our operating footprint,” said Rick Mills, Chief Executive Officer. “We expect the remainder of fiscal 2026 to show stronger sales based on our current book of business, a strong pipeline of new opportunities and growth from the acquisition of CDM. With the integration of this transaction substantially complete, we are investing in our people and business development initiatives with the goals of accelerating the Company’s revenue trajectory and improving profit margins through both synergy realization and cost leverage. We’re excited by the growth we see on the horizon, and the second quarter is already off to a great start in terms of new installations and customer engagement. Overall, we continue to be positioned for our best year ever and look forward to achieving a higher level of success in the quarters to 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 reconciliation is provided in the tables of this press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Recurring Revenue is a non-GAAP operating metric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First Quarter Financial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were $16.3 million for the fiscal 2026 first quarter as compared to $9.7 million in the same period in fiscal 2025, with approximately $7.9 million in the current year quarter from the acquisition of Cineplex Digital Media (“CDM”). Hardware revenue rose to $4.6 million, versus $3.4 million in the prior-year period, while service revenue increased to $11.8 million from $6.3 million in fiscal 2025, largely reflecting the impact of the CDM transaction as well as deployment timing. Total sales declined sequentially from the fiscal 2025 fourth quarter due to normal seasonal factors along with installation delays tied to extreme weather conditions impacting parts of North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gross profit was $5.6 million for the fiscal 2026 first quarter versus $4.5 million in the prior-year period, and consolidated gross margin was 34.2% versus 45.7% in the fiscal 2025 first quarter, reflecting a higher percentage of lower-margin hardware revenue compared to the prior-year period. Gross margin on hardware revenue was 14.0% in fiscal 2026 as compared to 32.1% in the prior-year period, while gross margin on services amounted to 42.0%, versus 53.0% in the fiscal 2025 first quarter. Hardware gross margin decreased year-over-year primarily due to an unusually high mix of QSR deployments during the period and significant one-time costs ($0.5 million) associated with transitioning away from an outsourced installer of a large CDM customer. Service gross margin declined year-over-year largely due to the expiration of certain customer contracts in 2025. The Company ended the 2026 first quarter with ARR of approximately $20.1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first quarter rose to $2.9 million, versus $1.2 million in the prior-year period, while general and administrative (G&amp;A) expenses increased to $8.9 million versus $3.9 million in the first quarter of fiscal 2025, primarily a result of the inclusion of CDM.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posted an operating loss of approximately $6.2 million in the first quarter of fiscal 2026 compared to an operating loss of $0.7 million in the first quarter of fiscal 2025. CRI reported a net loss of $7.5 million and a net loss attributable to common stockholders of $7.9 million, or $(0.74) per diluted share, in the quarter ended March 31, 2026 versus net income of $3.4 million, or $0.32 per diluted share, in the prior-year period. The fiscal 2025 first quarter included a $4.8 million gain on the settlement of a contingent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$(0.5) million in the first quarter of 2026 as compared to $0.5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March 31, 2026, the Company had cash on hand of approximately $1.8 million, versus $1.6 million at December 31, 2025. The Company had outstanding debt of approximately $47.5 million versus $44.0 million at the start of the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first quarter of 2026, and provide additional commentary about recent performance, on May 15 at 9:00 am Eastern Time, which will include prepared remarks and materials from management, followed by a live Q&amp;A. The call will be hosted by Rick Mills, Chief Executive Officer, Tamra Koshewa, Chief Financial Officer, and George Sautter, Chief Strategy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Prior to the call, participants should register at </w:t>
      </w:r>
      <w:r>
        <w:rPr>
          <w:rFonts w:ascii="Times New Roman" w:cs="Times New Roman" w:eastAsia="Times New Roman" w:hAnsi="Times New Roman"/>
          <w:sz w:val="18"/>
          <w:szCs w:val="18"/>
          <w:u w:val="single" w:color="auto"/>
          <w:color w:val="auto"/>
        </w:rPr>
        <w:t>https://bit.ly/CREXearnings1Q2026</w:t>
      </w:r>
      <w:r>
        <w:rPr>
          <w:rFonts w:ascii="Times New Roman" w:cs="Times New Roman" w:eastAsia="Times New Roman" w:hAnsi="Times New Roman"/>
          <w:sz w:val="18"/>
          <w:szCs w:val="18"/>
          <w:color w:val="auto"/>
        </w:rPr>
        <w:t>.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019"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prepares its consolidated financial statements in accordance with United States generally accepted accounting principles (“GAAP”). In addition to disclosing financial results prepared in accordance with GAAP, the Company discloses information regarding “EBITDA” and “Adjusted EBITDA.” The Company defines “EBITDA” as earnings before interest, income taxes, depreciation and amortization of intangibles. The Company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the Company’s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for 2025 filed with the Securities and Exchange Commission.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Annualized recurring revenue, or “ARR,” represents the annualized revenue run rate of our subscription (1) software-as-a-service (“SaaS”) contracts, (2) maintenance and support of perpetual license contracts, and (3) content management service contracts at the end of the final calendar month included in a reporting period, assuming these contracts are renewed on their existing terms for customers that are under subscription contracts with us. This gives us an indication of the revenue that can be earned in the following 12-month period from our existing client base, assuming no cancellations or price changes occur during that period. We believe that ARR is a key operating metric to measure our business because it is driven by our ability to acquire new subscription customers and to maintain and expand our relationship with existing subscription customers. ARR should be viewed independently of revenue and deferred revenue as ARR is a performance metric and is not intended to be combined with any of these items.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please refer to the Company’s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for 2025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 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day-to-day management of retail media networks to monetize on-premise foot traffic utilizing its AdLogic™ and CPM+™ programmatic advertising platforms.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2025 and the Company’s subsequent filings with the U.S. Securities and Exchange Commission.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Idea Grove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creativerealities@ideagrove.com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7,420</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53,266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debt, net of deferred financing costs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$1,000 stated value, 50,000 shares authorized; 30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Liquidation preference of $30,623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$30,232 as of March 31, 2026 and December 31 2025, respectively</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28,079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10,567 and 10,519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(65,130)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240" w:type="dxa"/>
            <w:vAlign w:val="bottom"/>
            <w:gridSpan w:val="7"/>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4,557</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3,394</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6,340</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2,304</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2,977</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3,928</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Pr>
          <w:p>
            <w:pPr>
              <w:spacing w:after="0"/>
              <w:rPr>
                <w:sz w:val="19"/>
                <w:szCs w:val="19"/>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3,467</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tcPr>
          <w:p>
            <w:pPr>
              <w:spacing w:after="0"/>
              <w:rPr>
                <w:sz w:val="19"/>
                <w:szCs w:val="19"/>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 dividends</w:t>
            </w:r>
          </w:p>
        </w:tc>
        <w:tc>
          <w:tcPr>
            <w:tcW w:w="9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applicable to common stockholders</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common share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10,552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10,447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324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8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(7,461)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 net of acquisitions: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costs for software development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debt and promissory note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warrants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4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income,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(1,965)</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3,187</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r>
      <w:tr>
        <w:trPr>
          <w:trHeight w:val="196"/>
        </w:trPr>
        <w:tc>
          <w:tcPr>
            <w:tcW w:w="4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 &amp; transaction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CDM related integration and transition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5,231</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2026-05-15T06:47:31Z</dcterms:created>
  <dcterms:modified xsi:type="dcterms:W3CDTF">2026-05-15T06:47:31Z</dcterms:modified>
</cp:coreProperties>
</file>