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Nesbit Stephen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13100 MAGISTERIAL DRIVE, SUITE 201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CREATIVE REALITIES,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40" w:space="680"/>
            <w:col w:w="3440" w:space="37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LOUISVILLE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01/28/2026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13,794</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101,389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Issued for director services provided in 2025 as part of Issuer's Non-employee Director Compensation Plan under Issuer's 2023 Stock Incentive Plan, as amended.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24.1 Power of Attorney filed herewith.</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Pederson,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04/15/2026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(Stephen Nesbit – Section 16)</w:t>
      </w:r>
    </w:p>
    <w:p>
      <w:pPr>
        <w:spacing w:after="0" w:line="200"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The undersigned hereby constitutes and appoints Tamra Koshewa, Brad Pederson and Molly Palmer, each individually and signing singly, as the undersigned's true and lawful attorney-in-fact and agent with full power of substitution and resubstitution, for the undersigned and in the undersigned's name, place and stead, in any and all capacities, to due to the undersigned's affiliation with of Creative Realities, Inc. (the "Issuer"), to:</w:t>
      </w:r>
    </w:p>
    <w:p>
      <w:pPr>
        <w:spacing w:after="0" w:line="178" w:lineRule="exact"/>
        <w:rPr>
          <w:sz w:val="20"/>
          <w:szCs w:val="20"/>
          <w:color w:val="auto"/>
        </w:rPr>
      </w:pPr>
    </w:p>
    <w:p>
      <w:pPr>
        <w:ind w:left="320" w:hanging="313"/>
        <w:spacing w:after="0" w:line="27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Form ID (Uniform Application for Access Codes to file on EDGAR and EDGAR Next) and Forms 3, 4, 5 and any amendments to previously filed forms in accordance with Section 16(a) of the Exchange Act and the rules thereunder;</w:t>
      </w:r>
    </w:p>
    <w:p>
      <w:pPr>
        <w:spacing w:after="0" w:line="163" w:lineRule="exact"/>
        <w:rPr>
          <w:rFonts w:ascii="Times New Roman" w:cs="Times New Roman" w:eastAsia="Times New Roman" w:hAnsi="Times New Roman"/>
          <w:sz w:val="18"/>
          <w:szCs w:val="18"/>
          <w:color w:val="auto"/>
        </w:rPr>
      </w:pPr>
    </w:p>
    <w:p>
      <w:pPr>
        <w:jc w:val="both"/>
        <w:ind w:left="320" w:hanging="313"/>
        <w:spacing w:after="0" w:line="261"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the execution of any such Form ID and Forms 3, 4, 5 and the timely filing of such form with the United States Securities and Exchange Commission and any other authority as required by law and to deliver a copy of the same to the Issuer; and</w:t>
      </w:r>
    </w:p>
    <w:p>
      <w:pPr>
        <w:spacing w:after="0" w:line="177" w:lineRule="exact"/>
        <w:rPr>
          <w:rFonts w:ascii="Times New Roman" w:cs="Times New Roman" w:eastAsia="Times New Roman" w:hAnsi="Times New Roman"/>
          <w:sz w:val="18"/>
          <w:szCs w:val="18"/>
          <w:color w:val="auto"/>
        </w:rPr>
      </w:pPr>
    </w:p>
    <w:p>
      <w:pPr>
        <w:jc w:val="both"/>
        <w:ind w:left="320" w:right="20" w:hanging="313"/>
        <w:spacing w:after="0" w:line="256"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his or her discretion.</w:t>
      </w:r>
    </w:p>
    <w:p>
      <w:pPr>
        <w:spacing w:after="0" w:line="183" w:lineRule="exact"/>
        <w:rPr>
          <w:sz w:val="20"/>
          <w:szCs w:val="20"/>
          <w:color w:val="auto"/>
        </w:rPr>
      </w:pPr>
    </w:p>
    <w:p>
      <w:pPr>
        <w:jc w:val="both"/>
        <w:ind w:right="20" w:firstLine="32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each and every act and thing requisite and necessary to be done in and about the premises, as fully to all intents and purposes as the undersigned might or could do in person, hereby ratifying and confirming all said attorneys-in-fact and agent, or his substitute or substitutes, may lawfully do or cause to be done by virtue thereof. The undersigned acknowledges that (i) the foregoing attorney-in-fact, in serving in such capacity at the request of the undersigned, is not assuming any of the undersigned's responsibilities to comply with Section 16 of the Securities Exchange Act of 1934, and (ii) this Limited Power of Attorney does not relieve the undersigned from responsibility for compliance with the undersigned's obligations under the Exchange Act, including without limitation the reporting requirements under Section 16 of the Exchange Act.</w:t>
      </w:r>
    </w:p>
    <w:p>
      <w:pPr>
        <w:spacing w:after="0" w:line="184" w:lineRule="exact"/>
        <w:rPr>
          <w:sz w:val="20"/>
          <w:szCs w:val="20"/>
          <w:color w:val="auto"/>
        </w:rPr>
      </w:pPr>
    </w:p>
    <w:p>
      <w:pPr>
        <w:jc w:val="both"/>
        <w:ind w:firstLine="320"/>
        <w:spacing w:after="0" w:line="261" w:lineRule="auto"/>
        <w:rPr>
          <w:sz w:val="20"/>
          <w:szCs w:val="20"/>
          <w:color w:val="auto"/>
        </w:rPr>
      </w:pPr>
      <w:r>
        <w:rPr>
          <w:rFonts w:ascii="Times New Roman" w:cs="Times New Roman" w:eastAsia="Times New Roman" w:hAnsi="Times New Roman"/>
          <w:sz w:val="18"/>
          <w:szCs w:val="18"/>
          <w:color w:val="auto"/>
        </w:rPr>
        <w:t>This Limited Power of Attorney shall remain in effect until such time as the undersigned is no longer subject to the provisions of Section 16 of the Securities Exchange Act of 1934 with respect to securities of the Issuer unless earlier revoked by the undersigned in a writing delivered to the foregoing attorneys-in-fact. This Limited Power of Attorney supersedes any and all prior Powers of Attorney of same, which shall be deemed revoked.</w:t>
      </w:r>
    </w:p>
    <w:p>
      <w:pPr>
        <w:spacing w:after="0" w:line="178" w:lineRule="exact"/>
        <w:rPr>
          <w:sz w:val="20"/>
          <w:szCs w:val="20"/>
          <w:color w:val="auto"/>
        </w:rPr>
      </w:pPr>
    </w:p>
    <w:p>
      <w:pPr>
        <w:jc w:val="both"/>
        <w:ind w:firstLine="320"/>
        <w:spacing w:after="0" w:line="276" w:lineRule="auto"/>
        <w:rPr>
          <w:sz w:val="20"/>
          <w:szCs w:val="20"/>
          <w:color w:val="auto"/>
        </w:rPr>
      </w:pPr>
      <w:r>
        <w:rPr>
          <w:rFonts w:ascii="Times New Roman" w:cs="Times New Roman" w:eastAsia="Times New Roman" w:hAnsi="Times New Roman"/>
          <w:sz w:val="18"/>
          <w:szCs w:val="18"/>
          <w:color w:val="auto"/>
        </w:rPr>
        <w:t>The undersigned hereby agrees to indemnify the attorneys-in-fact for all losses and costs the attorneys-in-fact may incur in connection with or arising from the attorneys-in-fact's execution of their authorities granted hereunder.</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WITNESS WHEREOF, the undersigned has caused this Limited Power of Attorney to be executed as of this 16th day of January, 2026.</w:t>
      </w:r>
    </w:p>
    <w:p>
      <w:pPr>
        <w:spacing w:after="0" w:line="200" w:lineRule="exact"/>
        <w:rPr>
          <w:sz w:val="20"/>
          <w:szCs w:val="20"/>
          <w:color w:val="auto"/>
        </w:rPr>
      </w:pPr>
    </w:p>
    <w:p>
      <w:pPr>
        <w:spacing w:after="0" w:line="23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/s/Stephen Nesbit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-8890</wp:posOffset>
            </wp:positionV>
            <wp:extent cx="158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8178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Stephen Nesbit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-8890</wp:posOffset>
            </wp:positionV>
            <wp:extent cx="15881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58813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Name</w:t>
      </w:r>
    </w:p>
    <w:sectPr>
      <w:pgSz w:w="11900" w:h="16838" w:orient="portrait"/>
      <w:cols w:equalWidth="0" w:num="1">
        <w:col w:w="10980"/>
      </w:cols>
      <w:pgMar w:left="460" w:top="11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81564" TargetMode="External"/><Relationship Id="rId14" Type="http://schemas.openxmlformats.org/officeDocument/2006/relationships/hyperlink" Target="http://www.sec.gov/cgi-bin/browse-edgar?action=getcompany&amp;CIK=00013560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2026-04-15T12:15:11Z</dcterms:created>
  <dcterms:modified xsi:type="dcterms:W3CDTF">2026-04-15T12:15:11Z</dcterms:modified>
</cp:coreProperties>
</file>