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94"/>
        <w:spacing w:after="0" w:line="490" w:lineRule="auto"/>
        <w:tabs>
          <w:tab w:leader="none" w:pos="1328"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420" w:right="940" w:hanging="2479"/>
        <w:spacing w:after="0" w:line="503" w:lineRule="auto"/>
        <w:tabs>
          <w:tab w:leader="none" w:pos="114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3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8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6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100, Louisville KY</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(502) 791-8800</w:t>
            </w:r>
          </w:p>
        </w:tc>
        <w:tc>
          <w:tcPr>
            <w:tcW w:w="14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7"/>
        </w:trPr>
        <w:tc>
          <w:tcPr>
            <w:tcW w:w="7660" w:type="dxa"/>
            <w:vAlign w:val="bottom"/>
            <w:gridSpan w:val="5"/>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0"/>
                <w:szCs w:val="20"/>
                <w:color w:val="auto"/>
              </w:rPr>
            </w:pP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CREX</w:t>
            </w: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0" w:gutter="0" w:footer="0" w:header="0"/>
        </w:sectPr>
      </w:pPr>
    </w:p>
    <w:p>
      <w:pPr>
        <w:spacing w:after="0" w:line="135" w:lineRule="exact"/>
        <w:rPr>
          <w:sz w:val="24"/>
          <w:szCs w:val="24"/>
          <w:color w:val="auto"/>
        </w:rPr>
      </w:pPr>
    </w:p>
    <w:p>
      <w:pPr>
        <w:ind w:left="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8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72" w:right="339" w:bottom="0" w:gutter="0" w:footer="0" w:header="0"/>
          <w:type w:val="continuous"/>
        </w:sectPr>
      </w:pPr>
    </w:p>
    <w:p>
      <w:pPr>
        <w:spacing w:after="0" w:line="17"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1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472" w:right="339" w:bottom="0" w:gutter="0" w:footer="0" w:header="0"/>
          <w:type w:val="continuous"/>
        </w:sectPr>
      </w:pPr>
    </w:p>
    <w:bookmarkStart w:id="1" w:name="page2"/>
    <w:bookmarkEnd w:id="1"/>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was $16,761,049 as of the last business day of the registrant’s most recently completed second fiscal quarter.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20, 2024, the registrant had 10,446,659 shares of common stock outstanding.</w:t>
      </w:r>
    </w:p>
    <w:p>
      <w:pPr>
        <w:spacing w:after="0" w:line="2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shareholders’ meeting to be filed with the Securities and Exchange Commission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93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1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1012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 RISK FACTOR SUMMARY</w:t>
            </w: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5"/>
            <w:shd w:val="clear" w:color="auto" w:fill="CCEEFF"/>
          </w:tcPr>
          <w:p>
            <w:pPr>
              <w:jc w:val="center"/>
              <w:ind w:right="440"/>
              <w:spacing w:after="0" w:line="176" w:lineRule="exact"/>
              <w:rPr>
                <w:sz w:val="20"/>
                <w:szCs w:val="20"/>
                <w:color w:val="auto"/>
              </w:rPr>
            </w:pPr>
            <w:r>
              <w:rPr>
                <w:rFonts w:ascii="Times New Roman" w:cs="Times New Roman" w:eastAsia="Times New Roman" w:hAnsi="Times New Roman"/>
                <w:sz w:val="18"/>
                <w:szCs w:val="18"/>
                <w:color w:val="0000EE"/>
                <w:w w:val="99"/>
              </w:rPr>
              <w:t>ii</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80" w:type="dxa"/>
            <w:vAlign w:val="bottom"/>
            <w:gridSpan w:val="5"/>
            <w:shd w:val="clear" w:color="auto" w:fill="CCEEFF"/>
          </w:tcPr>
          <w:p>
            <w:pPr>
              <w:jc w:val="center"/>
              <w:ind w:left="470"/>
              <w:spacing w:after="0" w:line="176" w:lineRule="exact"/>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gridSpan w:val="5"/>
          </w:tcPr>
          <w:p>
            <w:pPr>
              <w:jc w:val="center"/>
              <w:ind w:left="47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940" w:type="dxa"/>
            <w:vAlign w:val="bottom"/>
            <w:gridSpan w:val="15"/>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8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940" w:type="dxa"/>
            <w:vAlign w:val="bottom"/>
            <w:gridSpan w:val="15"/>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19</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w:t>
            </w:r>
          </w:p>
        </w:tc>
        <w:tc>
          <w:tcPr>
            <w:tcW w:w="5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0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5500" w:type="dxa"/>
            <w:vAlign w:val="bottom"/>
            <w:gridSpan w:val="13"/>
            <w:shd w:val="clear" w:color="auto" w:fill="CCEEFF"/>
          </w:tcPr>
          <w:p>
            <w:pPr>
              <w:spacing w:after="0"/>
              <w:rPr>
                <w:sz w:val="17"/>
                <w:szCs w:val="17"/>
                <w:color w:val="auto"/>
              </w:rPr>
            </w:pPr>
          </w:p>
        </w:tc>
        <w:tc>
          <w:tcPr>
            <w:tcW w:w="740" w:type="dxa"/>
            <w:vAlign w:val="bottom"/>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shd w:val="clear" w:color="auto" w:fill="CCEEFF"/>
          </w:tcPr>
          <w:p>
            <w:pPr>
              <w:spacing w:after="0"/>
              <w:rPr>
                <w:sz w:val="17"/>
                <w:szCs w:val="17"/>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100" w:type="dxa"/>
            <w:vAlign w:val="bottom"/>
            <w:tcBorders>
              <w:top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OPERATIONS</w:t>
            </w:r>
          </w:p>
        </w:tc>
        <w:tc>
          <w:tcPr>
            <w:tcW w:w="6500" w:type="dxa"/>
            <w:vAlign w:val="bottom"/>
            <w:tcBorders>
              <w:top w:val="single" w:sz="8" w:color="0000EE"/>
            </w:tcBorders>
            <w:gridSpan w:val="17"/>
            <w:shd w:val="clear" w:color="auto" w:fill="CCEEFF"/>
          </w:tcPr>
          <w:p>
            <w:pPr>
              <w:spacing w:after="0"/>
              <w:rPr>
                <w:sz w:val="17"/>
                <w:szCs w:val="17"/>
                <w:color w:val="auto"/>
              </w:rPr>
            </w:pPr>
          </w:p>
        </w:tc>
        <w:tc>
          <w:tcPr>
            <w:tcW w:w="1000" w:type="dxa"/>
            <w:vAlign w:val="bottom"/>
            <w:tcBorders>
              <w:top w:val="single" w:sz="8" w:color="CCEEFF"/>
            </w:tcBorders>
            <w:gridSpan w:val="4"/>
            <w:shd w:val="clear" w:color="auto" w:fill="CCEEFF"/>
          </w:tcPr>
          <w:p>
            <w:pPr>
              <w:spacing w:after="0"/>
              <w:rPr>
                <w:sz w:val="17"/>
                <w:szCs w:val="17"/>
                <w:color w:val="auto"/>
              </w:rPr>
            </w:pPr>
          </w:p>
        </w:tc>
        <w:tc>
          <w:tcPr>
            <w:tcW w:w="740" w:type="dxa"/>
            <w:vAlign w:val="bottom"/>
            <w:tcBorders>
              <w:top w:val="single" w:sz="8" w:color="CCEEFF"/>
            </w:tcBorders>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380" w:type="dxa"/>
            <w:vAlign w:val="bottom"/>
            <w:tcBorders>
              <w:top w:val="single" w:sz="8" w:color="CCEEFF"/>
            </w:tcBorders>
            <w:shd w:val="clear" w:color="auto" w:fill="CCEEFF"/>
          </w:tcPr>
          <w:p>
            <w:pPr>
              <w:spacing w:after="0"/>
              <w:rPr>
                <w:sz w:val="17"/>
                <w:szCs w:val="17"/>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100" w:type="dxa"/>
            <w:vAlign w:val="bottom"/>
            <w:gridSpan w:val="10"/>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30</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794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w:t>
            </w:r>
          </w:p>
        </w:tc>
        <w:tc>
          <w:tcPr>
            <w:tcW w:w="820" w:type="dxa"/>
            <w:vAlign w:val="bottom"/>
            <w:gridSpan w:val="3"/>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w:t>
            </w:r>
          </w:p>
        </w:tc>
        <w:tc>
          <w:tcPr>
            <w:tcW w:w="740" w:type="dxa"/>
            <w:vAlign w:val="bottom"/>
            <w:gridSpan w:val="7"/>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30</w:t>
            </w:r>
          </w:p>
        </w:tc>
        <w:tc>
          <w:tcPr>
            <w:tcW w:w="38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160" w:type="dxa"/>
            <w:vAlign w:val="bottom"/>
            <w:gridSpan w:val="16"/>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26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160" w:type="dxa"/>
            <w:vAlign w:val="bottom"/>
            <w:gridSpan w:val="16"/>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38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31</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2960" w:type="dxa"/>
            <w:vAlign w:val="bottom"/>
            <w:gridSpan w:val="9"/>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shd w:val="clear" w:color="auto" w:fill="CCEEFF"/>
          </w:tcPr>
          <w:p>
            <w:pPr>
              <w:spacing w:after="0"/>
              <w:rPr>
                <w:sz w:val="15"/>
                <w:szCs w:val="15"/>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58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2960" w:type="dxa"/>
            <w:vAlign w:val="bottom"/>
            <w:gridSpan w:val="9"/>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96"/>
        </w:trPr>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840" w:type="dxa"/>
            <w:vAlign w:val="bottom"/>
            <w:tcBorders>
              <w:top w:val="single" w:sz="8" w:color="0000EE"/>
            </w:tcBorders>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760" w:type="dxa"/>
            <w:vAlign w:val="bottom"/>
            <w:tcBorders>
              <w:top w:val="single" w:sz="8" w:color="CCEEFF"/>
            </w:tcBorders>
            <w:gridSpan w:val="2"/>
            <w:shd w:val="clear" w:color="auto" w:fill="CCEEFF"/>
          </w:tcPr>
          <w:p>
            <w:pPr>
              <w:spacing w:after="0"/>
              <w:rPr>
                <w:sz w:val="17"/>
                <w:szCs w:val="17"/>
                <w:color w:val="auto"/>
              </w:rPr>
            </w:pPr>
          </w:p>
        </w:tc>
        <w:tc>
          <w:tcPr>
            <w:tcW w:w="740" w:type="dxa"/>
            <w:vAlign w:val="bottom"/>
            <w:tcBorders>
              <w:top w:val="single" w:sz="8" w:color="CCEEFF"/>
            </w:tcBorders>
            <w:gridSpan w:val="7"/>
            <w:shd w:val="clear" w:color="auto" w:fill="CCEEFF"/>
          </w:tcPr>
          <w:p>
            <w:pPr>
              <w:jc w:val="center"/>
              <w:ind w:left="430"/>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tcBorders>
              <w:top w:val="single" w:sz="8" w:color="CCEEFF"/>
            </w:tcBorders>
            <w:shd w:val="clear" w:color="auto" w:fill="CCEEFF"/>
          </w:tcPr>
          <w:p>
            <w:pPr>
              <w:spacing w:after="0"/>
              <w:rPr>
                <w:sz w:val="17"/>
                <w:szCs w:val="17"/>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76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76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32</w:t>
            </w: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360" w:type="dxa"/>
            <w:vAlign w:val="bottom"/>
            <w:gridSpan w:val="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4320" w:type="dxa"/>
            <w:vAlign w:val="bottom"/>
            <w:gridSpan w:val="11"/>
            <w:shd w:val="clear" w:color="auto" w:fill="CCEEFF"/>
          </w:tcPr>
          <w:p>
            <w:pPr>
              <w:spacing w:after="0"/>
              <w:rPr>
                <w:sz w:val="15"/>
                <w:szCs w:val="15"/>
                <w:color w:val="auto"/>
              </w:rPr>
            </w:pPr>
          </w:p>
        </w:tc>
        <w:tc>
          <w:tcPr>
            <w:tcW w:w="740" w:type="dxa"/>
            <w:vAlign w:val="bottom"/>
            <w:gridSpan w:val="7"/>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33</w:t>
            </w:r>
          </w:p>
        </w:tc>
        <w:tc>
          <w:tcPr>
            <w:tcW w:w="380" w:type="dxa"/>
            <w:vAlign w:val="bottom"/>
            <w:shd w:val="clear" w:color="auto" w:fill="CCEEFF"/>
          </w:tcPr>
          <w:p>
            <w:pPr>
              <w:spacing w:after="0"/>
              <w:rPr>
                <w:sz w:val="15"/>
                <w:szCs w:val="15"/>
                <w:color w:val="auto"/>
              </w:rPr>
            </w:pP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8"/>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4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4320" w:type="dxa"/>
            <w:vAlign w:val="bottom"/>
            <w:gridSpan w:val="11"/>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36</w:t>
            </w:r>
          </w:p>
        </w:tc>
        <w:tc>
          <w:tcPr>
            <w:tcW w:w="38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6"/>
        </w:trPr>
        <w:tc>
          <w:tcPr>
            <w:tcW w:w="1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34</w:t>
            </w:r>
          </w:p>
        </w:tc>
        <w:tc>
          <w:tcPr>
            <w:tcW w:w="38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3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gridSpan w:val="7"/>
          </w:tcPr>
          <w:p>
            <w:pPr>
              <w:jc w:val="center"/>
              <w:ind w:left="430"/>
              <w:spacing w:after="0" w:line="176" w:lineRule="exact"/>
              <w:rPr>
                <w:sz w:val="20"/>
                <w:szCs w:val="20"/>
                <w:color w:val="auto"/>
              </w:rPr>
            </w:pPr>
            <w:r>
              <w:rPr>
                <w:rFonts w:ascii="Times New Roman" w:cs="Times New Roman" w:eastAsia="Times New Roman" w:hAnsi="Times New Roman"/>
                <w:sz w:val="18"/>
                <w:szCs w:val="18"/>
                <w:color w:val="0000EE"/>
                <w:w w:val="99"/>
              </w:rPr>
              <w:t>37</w:t>
            </w:r>
          </w:p>
        </w:tc>
        <w:tc>
          <w:tcPr>
            <w:tcW w:w="380" w:type="dxa"/>
            <w:vAlign w:val="bottom"/>
          </w:tcPr>
          <w:p>
            <w:pPr>
              <w:spacing w:after="0"/>
              <w:rPr>
                <w:sz w:val="15"/>
                <w:szCs w:val="15"/>
                <w:color w:val="auto"/>
              </w:rPr>
            </w:pP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0120" w:type="dxa"/>
            <w:vAlign w:val="bottom"/>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20" w:type="dxa"/>
            <w:vAlign w:val="bottom"/>
            <w:gridSpan w:val="8"/>
          </w:tcPr>
          <w:p>
            <w:pPr>
              <w:jc w:val="center"/>
              <w:ind w:left="30"/>
              <w:spacing w:after="0" w:line="176" w:lineRule="exact"/>
              <w:rPr>
                <w:sz w:val="20"/>
                <w:szCs w:val="20"/>
                <w:color w:val="auto"/>
              </w:rPr>
            </w:pPr>
            <w:r>
              <w:rPr>
                <w:rFonts w:ascii="Times New Roman" w:cs="Times New Roman" w:eastAsia="Times New Roman" w:hAnsi="Times New Roman"/>
                <w:sz w:val="18"/>
                <w:szCs w:val="18"/>
                <w:color w:val="0000EE"/>
                <w:w w:val="95"/>
              </w:rPr>
              <w:t>F-1</w:t>
            </w:r>
          </w:p>
        </w:tc>
      </w:tr>
      <w:tr>
        <w:trPr>
          <w:trHeight w:val="45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0" w:type="dxa"/>
            <w:vAlign w:val="bottom"/>
            <w:gridSpan w:val="12"/>
          </w:tcPr>
          <w:p>
            <w:pPr>
              <w:jc w:val="center"/>
              <w:ind w:right="4200"/>
              <w:spacing w:after="0"/>
              <w:rPr>
                <w:sz w:val="20"/>
                <w:szCs w:val="20"/>
                <w:color w:val="auto"/>
              </w:rPr>
            </w:pPr>
            <w:r>
              <w:rPr>
                <w:rFonts w:ascii="Times New Roman" w:cs="Times New Roman" w:eastAsia="Times New Roman" w:hAnsi="Times New Roman"/>
                <w:sz w:val="18"/>
                <w:szCs w:val="18"/>
                <w:color w:val="auto"/>
                <w:w w:val="78"/>
              </w:rPr>
              <w:t>i</w:t>
            </w:r>
          </w:p>
        </w:tc>
        <w:tc>
          <w:tcPr>
            <w:tcW w:w="5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Annual Report on Form 10-K ("Report") contains various forward-looking statements within the meaning of Section 21E of the Securities Exchange Act of 1934, as amended (the "Exchange Act"). Although we believe that, in making any such statements, our expectations are based on reasonable assumptions, any such statements may be influenced by factors that could cause actual outcomes and results to be materially different from those projected. Forward-looking statements may include, but are not limited to, statements about:</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funds for future operations;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expenses,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affecting financial condition and results of operations;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convert proposals into customer orders, including our ability to realize the revenues included in our future guidance and backlog reports;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outlook, including those as a result of the COVID-19 pandemic;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to pay for products and services received;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our upcoming debt obligations and other liabilities;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customer requirements upon revenue recognition;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additional capital;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continue as a going concern;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competitive environment;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company’s financial condition upon customer and prospective customer relationships;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regulatory actions directed toward our industry in general;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our largest shareholder and senior lender, Slipstream Funding, LLC;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key personnel in the management of our businesses;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management turnover;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material weaknesses in internal controls over financial reporting;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operations of acquired companies;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listed on the Nasdaq Capital Market.</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When used in this Report, the words “anticipates,” “believes,” “expects,” “intends,” “plans,” “estimates,” “projects,” should,” “may,” “propose,” and similar expressions (or the negative versions of such words or expressions), are intended to identify such forward-looking statements.</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Should one or more of the risks or uncertainties described in this Report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Report are expressly qualified in their entirety by this cautionary note. This cautionary note should also be considered in connection with any subsequent written or oral forward-looking statements that we or persons acting on our behalf may issue. Except as otherwise required by applicable law, we disclaim any duty to update any forward-looking statements, all of which are expressly qualified by the statements in this section, to reflect events or circumstances after the date of this Report.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summary of the principal risk factors that make investing in our securities risky and might cause our actual results to differ is set forth below. The following is only a summary of the principal risks that may materially adversely affect our business, financial condition, results of operations and cash flows. This summary should be read in conjunction with the more complete discussion of the risk factors we face, which are set forth in the section entitled “Risk Factors”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229"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generally incurred losses, and may never become or remain profitable.</w:t>
      </w:r>
    </w:p>
    <w:p>
      <w:pPr>
        <w:spacing w:after="0" w:line="252"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 marketing business is evolving in a rapidly changing market, and we cannot ensure the long-term successful operation of our business or the execution of our business plan.</w:t>
      </w:r>
    </w:p>
    <w:p>
      <w:pPr>
        <w:spacing w:after="0" w:line="161" w:lineRule="exact"/>
        <w:rPr>
          <w:rFonts w:ascii="Times New Roman" w:cs="Times New Roman" w:eastAsia="Times New Roman" w:hAnsi="Times New Roman"/>
          <w:sz w:val="18"/>
          <w:szCs w:val="18"/>
          <w:color w:val="auto"/>
        </w:rPr>
      </w:pPr>
    </w:p>
    <w:p>
      <w:pPr>
        <w:jc w:val="both"/>
        <w:ind w:left="980" w:right="34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longevity depend on our ability to generate profits from future operations and obtain sufficient capital through financing transactions to refinance our debt obligations, pay any contingent consideration owed to former Reflect stockholders, and meet our other business obligations.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capital to engage in material research and development, which may harm our long-term growth.</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sales cycle of some of the combined company’s products will likely make it difficult to predict operating results.</w:t>
      </w:r>
    </w:p>
    <w:p>
      <w:pPr>
        <w:spacing w:after="0" w:line="252" w:lineRule="exact"/>
        <w:rPr>
          <w:rFonts w:ascii="Times New Roman" w:cs="Times New Roman" w:eastAsia="Times New Roman" w:hAnsi="Times New Roman"/>
          <w:sz w:val="18"/>
          <w:szCs w:val="18"/>
          <w:color w:val="auto"/>
        </w:rPr>
      </w:pPr>
    </w:p>
    <w:p>
      <w:pPr>
        <w:jc w:val="both"/>
        <w:ind w:left="980" w:right="20" w:hanging="324"/>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and we expect that there will continue to be, significant consolidation in our industry. Our failure or inability to either lead or participate in that consolidation would have a severe adverse impact on our access to financing, customers, technology, and human resources.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in financing markets could impair our ability to grow our business through acquisitions.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interactive marketing technologies achieving and maintaining widespread acceptance in our targeted markets.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potential for continued net losses may negatively impact our relationships with customers, prospective customers and third-party suppliers.</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binding purchase commitments from our customers, the failure to obtain anticipated orders or the deferral or cancellation of commitments could have adverse effects on our business.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and financial performance could be adversely affected by the loss of several key customers.</w:t>
      </w:r>
    </w:p>
    <w:p>
      <w:pPr>
        <w:spacing w:after="0" w:line="252"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contracts are terminable by our customers with limited notice and without penalty payments, and early terminations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common for our current and prospective customers to evaluate our products over an extended period of time, most especially during economic downturns that affect our customers’ businesses, as we saw during the COVID-19 pandemic. The lengthy and variable sales cycle makes it difficult to predict our operating results.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61"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intensely competitive industry, and our competitors are developing products and solutions that incorporate artificial intelligence (“AI”) and machine learning (“ML”). We may not be as successful as our competitors in incorporating AI and ML into our products and solutions.</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use of new and evolving technologies in our offerings, such as AI and ML, may result in increased regulation and costs to comply with such regulations.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developed and licensed software technology, and we could face claims of infringement by others in the industry. Such claims are costly and add uncertainty to our operational results.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malicious applications that interfere with, or exploit security flaws in, our products and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with other companies that have more resources, which puts us at a competitive disadvantage.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key personnel and our ability to attract and retain additional personnel.</w:t>
      </w:r>
    </w:p>
    <w:p>
      <w:pPr>
        <w:spacing w:after="0" w:line="252"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risk losing directors, officers and employees, or paying more cash compensation, if our shareholders do not approve our 2023 Stock Incentive Plan.</w:t>
      </w:r>
    </w:p>
    <w:p>
      <w:pPr>
        <w:spacing w:after="0" w:line="161"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 security risks and interruptions or failures in our information technology systems and those of third-party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79"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technology, products, platform, and services are complex and are deployed in and across complex environments, they may have errors or defects that could seriously harm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network or server capacity, which could result in interruptions in our services and loss of revenues.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are susceptible to interruptions caused by events beyond our control.</w:t>
      </w:r>
    </w:p>
    <w:p>
      <w:pPr>
        <w:spacing w:after="0" w:line="252"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are constantly evolving, and we may be unable to compete successfully against existing or future competitors to our business.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 and our Company</w:t>
      </w:r>
    </w:p>
    <w:p>
      <w:pPr>
        <w:spacing w:after="0" w:line="229" w:lineRule="exact"/>
        <w:rPr>
          <w:sz w:val="20"/>
          <w:szCs w:val="20"/>
          <w:color w:val="auto"/>
        </w:rPr>
      </w:pPr>
    </w:p>
    <w:p>
      <w:pPr>
        <w:ind w:left="980" w:right="2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shareholder and senior lender possesses significant voting power with respect to our common stock, which will limit your influence on our management and affairs, and may discourage parties from initiating potential merger, takeover or other change-of-control transactions.</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grant our Board of Directors the power to issue additional shares of common and preferred stock and to designate other classes of preferred stock, all without shareholder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dividends on our capital stock and we do not anticipate paying dividends in the foreseeable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significant tangible assets that could be sold upon liquidation.</w:t>
      </w:r>
    </w:p>
    <w:p>
      <w:pPr>
        <w:spacing w:after="0" w:line="25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securities will continue to meet Nasdaq listing requirements. If we fail to comply with the continuing listing standards of the Nasdaq, our securities could be delisted.</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issuances of our common stock, or the perception that significant issuances may occur in the future, could adversely affect the market price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by certain of our shareholders could cause our stock price to fall.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not be an active market for shares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we may not have in place various processes and protections common to more mature companies and may be more susceptible to adverse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market and economic conditions may have an adverse impact on our operating performance and results of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currency is rounded to the nearest thousand, except share and per share amounts. On March 27, 2023, the Company effectuated a l-for-3 reverse stock split of its outstanding common stock. This Report and the Consolidated Financial Statements and Notes to Consolidated Financial Statements herein, give retroactive effect to the reverse stock split for all periods presented. The shares of common stock retained a par value of $0.01 per share.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Creative Realities, Inc. (“Creative Realities”, the “Company”, “we”, “us” or “our”) provides innovative digital signage and media solutions to enhance communications in a wide-ranging variety of out-of-home environments,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viable because we help our enterprise customers achieve a wide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awareness/engagement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including our acquisition of Reflect Systems, Inc., a Delaware corporation (“Reflect”), in February 2022, the Company assists customers to design, deploy, manage, and monetize their digital signage networks. The Company sources leads and opportunities for its solutions through its digital and content marketing initiatives, close relationships with key industry partners,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Creative Realities to other digital signage competitors, our customers value the following competitive advantages:</w:t>
      </w:r>
    </w:p>
    <w:p>
      <w:pPr>
        <w:spacing w:after="0" w:line="221" w:lineRule="exact"/>
        <w:rPr>
          <w:sz w:val="20"/>
          <w:szCs w:val="20"/>
          <w:color w:val="auto"/>
        </w:rPr>
      </w:pPr>
    </w:p>
    <w:p>
      <w:pPr>
        <w:ind w:left="980" w:right="4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true solutions to our customers. Creative Realities is one of only a few companies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ind w:left="980" w:right="42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software as a service (“SaaS”) content management platforms power some of the largest and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ind w:left="980" w:right="22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for our customers.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ind w:left="980" w:right="160" w:hanging="324"/>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digital signage solution providers offer their customers media sales as a service. We have in-house media sales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elevate conversations with our customers interested in better understanding network monetization. We believe this meaningful differentiation in the sales process provides us an additional revenue stream compared to our competitors.</w:t>
      </w:r>
    </w:p>
    <w:p>
      <w:pPr>
        <w:spacing w:after="0" w:line="170" w:lineRule="exact"/>
        <w:rPr>
          <w:rFonts w:ascii="Times New Roman" w:cs="Times New Roman" w:eastAsia="Times New Roman" w:hAnsi="Times New Roman"/>
          <w:sz w:val="18"/>
          <w:szCs w:val="18"/>
          <w:color w:val="auto"/>
        </w:rPr>
      </w:pPr>
    </w:p>
    <w:p>
      <w:pPr>
        <w:jc w:val="both"/>
        <w:ind w:left="980" w:right="20" w:hanging="324"/>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quick-serve restaurants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experts build industry relationship and create thought leadership that drives lead flow and new opportunities for our business.</w:t>
      </w:r>
    </w:p>
    <w:p>
      <w:pPr>
        <w:spacing w:after="0" w:line="202" w:lineRule="exact"/>
        <w:rPr>
          <w:rFonts w:ascii="Times New Roman" w:cs="Times New Roman" w:eastAsia="Times New Roman" w:hAnsi="Times New Roman"/>
          <w:sz w:val="18"/>
          <w:szCs w:val="18"/>
          <w:color w:val="auto"/>
        </w:rPr>
      </w:pPr>
    </w:p>
    <w:p>
      <w:pPr>
        <w:ind w:left="980" w:right="40" w:hanging="324"/>
        <w:spacing w:after="0" w:line="28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ind w:left="980" w:right="22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Network Operations Center (“NOC”) in Louisville, Kentucky. The NOC resolves many issues remotely and when field support is required, it can be dispatched quickly from the NOC, leveraging our managed labor pool to resolve customer issues quickly and effectively.</w:t>
      </w:r>
    </w:p>
    <w:p>
      <w:pPr>
        <w:spacing w:after="0" w:line="176" w:lineRule="exact"/>
        <w:rPr>
          <w:rFonts w:ascii="Times New Roman" w:cs="Times New Roman" w:eastAsia="Times New Roman" w:hAnsi="Times New Roman"/>
          <w:sz w:val="18"/>
          <w:szCs w:val="18"/>
          <w:color w:val="auto"/>
        </w:rPr>
      </w:pPr>
    </w:p>
    <w:p>
      <w:pPr>
        <w:ind w:left="980" w:right="180" w:hanging="324"/>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(“POS”) systems, our proven ability to build scalable applications and integrations is a key advantage that customers can leverage to deliver more compelling and engaging experiences for their customers.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980" w:right="340" w:hanging="324"/>
        <w:spacing w:after="0" w:line="26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6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right="2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4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right="7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right="2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right="44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right="420" w:hanging="320"/>
        <w:spacing w:after="0" w:line="28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adoption and evolution of our digital signage technology solutions will increase substantially in years to come in the industries in which we currently focus and in others. Throughout the COVID-19 pandemic, our current and potential customer base reduced capital expenditures, including capital expenditures that we believe would have been used to implement digital technology solutions. The costs of hardware configurations and software media players used to process and display content also increased during that period as a result of supply constraints for semiconductors, a key input to both digital display and digital media player products. Throughout 2021, we faced significant supply chain challenges which limited the availability of each of these components to our sold solutions; however, those supply constraints have materially subsided and the cost of hardware products has again begun to reduce in the most recent trailing twelve month period. We believe that the costs of such hardware will decrease over time as it has done so historically and will do so at an accelerating rate. Flat panel displays and players typically constitute a large portion of the expenditure customers make relative to the entire cost of implementing a digital marketing system implementation and can be a barrier to customer deployment. As a result, we believe that the broader adoption of digital marketing technology solutions is likely to increase, although we cannot predict the rate at which such adoption will occur.</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Another component of our business strategy, given the evolving dynamics of the industry in which we operate, is to acquire and integrate other operating companies in the industry in conjunction with pursuing our organic growth objectives. We believe that the selective acquisition and successful integration of certain companies will: accelerate our growth in targeted vertical and operating markets; enable us to cost-effectively aggregate multiple customer bases onto a single business and technology platform; provide us with greater operating scale on a consolidated basis; enable us to leverage a common set of processes and tools, and cost efficiencies company-wide; and ultimately result in higher operating profitability and cash flow from operations. Our management team’s primary focus is the continued acceleration of organic growth, but secondarily evaluates acquisition opportunities on an ongoing basis. Our management team and Board of Directors have broad experience with the execution, integration, and financing of acquisitions and seek only accretive strategic transactions with material cost synergies as a result of overlapping or concurrent content management system capabilities with focus on eliminating the associated cost structure for these systems. We believe that the COVID-19 pandemic has adversely affected our smaller competitors, and as a result, there may exist acquisition opportunities in the future. We also believe that, based on the foregoing, we can successfully serve as a consolidator of multiple business and technology platforms serving similar markets. As part of our acquisition strategy, we acquired Allure Global Solutions, Inc., a Georgia corporation (“Allure”) in 2018, and Reflect in February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business model is highly scalable and can be expanded successfully as we continue to grow organically, seek to acquire and integrate other companies in our target markets, strengthen our operational practices and procedures, further streamline our administrative office functions, and continue to capitalize on various marketing programs and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believe certain digital marketing technology industry trends are creating the opportunity for retailers, brands, venue-operators, enterprises, non-profits and other organizations to create innovative shopping, marketing, and informational experiences for their customers and other stakeholders in various venues worldwide. These trends include: (i) the expectations of technology-savvy consumers; (ii) addressing on-line competitors by improving physical experiences; (iii) a decline in the cost of hardware configurations (primarily flat panel displays) and software media players; (iv) the continued evolution of mobile, social, software and hardware technologies, applications and tools; (v) increasing sophistication of social networking platforms; (vi) increasingly complex customer requirements related to their specific digital marketing technology and solution objectives; and (vii) customer expectations of satisfactory consumer experiences with reduced installation and operating costs.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result, a growing number of retailers, brands, venue-operators, and other organizations have identified the need and opportunity to implement increasingly agile, automated, targeted and cost-effective and “sales-lifting” digital marketing, and interactive experiences to market to their customers. These experiences include creating unique and customized experiences for targeted, timely offerings and relevant promotions; improving engagement resulting in increased sales; and increasing shopping basket size. We believe our customers consider capitalizing on these industry trends to be increasingly critical to any successful “store of the future” retail and brand sales environment, especially where sales staff turnover is high, training outcomes are inconsistent and product knowledge is low.</w:t>
      </w:r>
    </w:p>
    <w:p>
      <w:pPr>
        <w:spacing w:after="0" w:line="187"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Companies are implementing various digital marketing technology solutions, which: are implemented in multiple forms and types of configurations and locations; attempt to achieve any of a broad range of individual or combination of objectives; contain various levels of targeting; have the ability to instantly manage single or multiple locations remotely from a customer’s desktop or other connected device at each location; and are built to deliver or contain a standard or customized customer experience unique to and within the customer’s environment. Examples of such solutions include: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right="1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Merchandising Systems, to inform and interact with customers through various types of content in an integrated experience, improve in-store customer experiences and increase overall sales, upsells, and/or cross-sales;</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Sales Assistants, to replace or augment existing sales resources and the level of interactive and informational sales assistance inside the store;</w:t>
      </w:r>
    </w:p>
    <w:p>
      <w:pPr>
        <w:spacing w:after="0" w:line="16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Way-Finders, to help customers navigate their way around individual retail stores and multi-store locations or venues, or within individual brand categories;</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Kiosks, to provide data, specialized and customized broadcasts, promotional information and coupons, train, and other forms of information and interaction with customers in a variety of deployment forms, types, configurations and experiences;</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Menu-Board Systems, to enable various types of restaurant operators the ability to remotely and on a scheduled basis, update and modify menu information, promotions, and other forms of content dynamically; and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Digital Signage, including Advertising Networks, to deliver and manage in-store marketing and advertising campaigns, specialized and customized broadcasts, and various other forms of messaging targeting customers in a particular experience or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currently market and sell our marketing technology solutions through our direct sales force, inside sales team, and word-of-mouth referrals from existing customers. Select strategic partnerships and lead generation programs also drive business to the Company through targeted business development initiatives. We market to companies that seek digital marketing solutions across multiple connected devices and who specifically seek or could benefit from enhancements to the customer experience offered in their stores, venues, brands or organizations.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digital marketing technology solutions apply in a wide variety of industries. The industries in which we primarily sell our solutions are established and include automotive, retail, DOOH including advertising networks and retail media networks, foodservice/QSR, financial services, gaming, and sports and entertainment venues. A number of participants in these industries have only recently started considering or expanding the adoption of these types of technologies, solutions, and experiences as part of their overall marketing strategies.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portion of our customer activity is influenced by seasonal effects related to traditional end of calendar year peak retail sales periods, traditional spring stadium/venue opening seasons, and certain other factors that arise from our target customer base. Nevertheless, our revenues can be materially affected by the launch of new markets, the timing of production rollouts, and other factors, any of which have the ability to reduce or outweigh certain seasonal effects.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General Economic Conditions on our Business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demand for our services will increase in the future in part because of new construction and remodeling activities of pre-existing retail, convenience store, stadium, and event venues. While we do see reductions in retail footprints across the U.S., we see a continued focus on integration of digital into the retail marketplace and a focus on digital refreshes within the retail space to stay relevant in an evolving e-commerce marketplace. Recent general economic improvements generally make it easier for our customers to justify decisions to invest in digital marketing technology solutions. A change in the macroeconomic trend in the U.S. could have a negative impact on our customers’ ability and/or willingness to advance their digital initiatives.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Supply Chain Constraints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key component of our business includes the sale of digital media players, digital displays, and mounts supplied by third-party manufacturing partners. While the disruptions we experienced throughout 2021 and the first half of 2022 with respect to semiconductors have mostly subsided, we are still exposed to potential disruptions and delays related to fulfillment of inventory purchases from vendors as a result of increased lead times post-COVID-19 pandemic, which represent the key components to our digital signage solutions, because of a global shortage of semiconductor chips. In instances in which inventory was available, we experienced delays in the transportation of these goods from manufacturers to the Company, and in delivery of our solutions to our customers.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regulation by various federal and state governmental agencies. Such regulation includes radio frequency emission regulatory activities of the U.S. Federal Communications Commission, the consumer protection laws of the U.S. Federal Trade Commission, product safety regulatory activities of the U.S. Consumer Product Safety Commission, and environmental regulation in areas in which we conduct business. Some of the hardware components that we supply to customers may contain hazardous or regulated substances, such as lead. A number of U.S. states have adopted or are considering “takeback” bills addressing the disposal of electronic waste, including CRT style and flat panel monitors and computers. Electronic waste legislation is developing. Some of the bills passed or under consideration may impose on us, or on our customers or suppliers, requirements for disposal of systems we sell and the payment of additional fees to pay costs of disposal and recycling. Presently, we do not believe that any such legislation or proposed legislation will have a materially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While we believe there is presently no direct competitor with the comprehensive offering of technologies, solutions, and services we provide to our customers, there are multiple individual competitors who offer subsets of our product and service offerings. These include digital signage software companies such as Stratacache and Poppulo; marketing services companies such as Sapient Nitro; or digital signage systems integrators such as SageNet. Some of these competitors may have significantly greater financial, technical, and marketing resources than we do and may be able to respond more rapidly than we can to new or emerging technologies or changes in customer requirements. We believe that our holistic sales and business development capabilities, network operations / field service management capabilities, our comprehensive offering of digital signage technology and solutions, brand awareness, and proprietary processes are the primary factors providing our competitive advantage.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year ended December 31, 2023. We had three customers that accounted for 44% of revenue for the year ended December 31, 2022.</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had two and three customers that in the aggregate accounted for 50% and 49% of accounts receivable as of December 31, 2023 and 2022, respectively.</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Territories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sell products and services primarily throughout North America, with limited software licensing agreements operating in other international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a workforce comprised of approximately 152 employees as of March 20, 2024. We do not have any employees that operate under collective-bargaining agreements.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offices are located at 13100 Magisterial Drive, Ste 100, Louisville, Kentucky 40223, and our telephone number at that office is (502) 791-8800. We have additional offices in the Dallas, TX, Atlanta, GA, and Windsor, Ontario (Canada) metro areas.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Organization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In evaluating our business, you should carefully consider the specific risks described below, and any risks described in our other filings with the Securities and Exchange Commission (the “SEC”), pursuant to Sections 13(a), 13(c), 14, or 15(d) of the Exchange Act. Any of the risks we describe below could cause our business, financial condition, results of operations or future prospects to be materially adversely affected. In addition, some of the following statements are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generally incurred losses, and may never become or remain profitable.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have incurred historical net losses, and we have had negative cash flows from operations. While we have been able to achieve net income in 2021 and 2022, we incurred a net loss in 2023 and it is uncertain whether we will be able to sustain or increase our profitability in successive periods.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formulated our business plans and strategies based on certain assumptions regarding the acceptance of our business model and the marketing of our products and services. Nevertheless, our assessments regarding market size, market share, market acceptance of our products and services and a variety of other factors may prove incorrect. Our future success will depend upon many factors, including factors beyond our control and those that cannot be predicted at this time.</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marketing business is evolving in a rapidly changing market, and we cannot ensure the long-term successful operation of our business or the execution of our business plan.</w:t>
      </w:r>
    </w:p>
    <w:p>
      <w:pPr>
        <w:spacing w:after="0" w:line="15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Digital marketing technology and solutions are evolving and the markets in which we compete are rapidly changing. As a result, our prospects must be considered in light of the risks, expenses and difficulties frequently encountered by growing companies in new and rapidly evolving markets. We may be unable to accomplish any of the following, which would materially impact our ability to implement our business plan:</w:t>
      </w:r>
    </w:p>
    <w:p>
      <w:pPr>
        <w:spacing w:after="0" w:line="176" w:lineRule="exact"/>
        <w:rPr>
          <w:sz w:val="20"/>
          <w:szCs w:val="20"/>
          <w:color w:val="auto"/>
        </w:rPr>
      </w:pPr>
    </w:p>
    <w:p>
      <w:pPr>
        <w:ind w:left="980" w:right="360" w:hanging="324"/>
        <w:spacing w:after="0" w:line="312"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timely and successfully developing new technology, solution, service, and platform features, including but not limited to the utilization of artificial intelligence, and increasing the functionality and features of our existing technology, solution, service, and platform offerings;</w:t>
      </w:r>
    </w:p>
    <w:p>
      <w:pPr>
        <w:spacing w:after="0" w:line="139" w:lineRule="exact"/>
        <w:rPr>
          <w:rFonts w:ascii="Times New Roman" w:cs="Times New Roman" w:eastAsia="Times New Roman" w:hAnsi="Times New Roman"/>
          <w:sz w:val="17"/>
          <w:szCs w:val="17"/>
          <w:color w:val="auto"/>
        </w:rPr>
      </w:pPr>
    </w:p>
    <w:p>
      <w:pPr>
        <w:ind w:left="980" w:right="24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broad market acceptance of our technology, solutions, services, and platforms, and converting that acceptance into direct and indirect sources of revenue;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adoption of our technology, solutions, services, and platforms in and on a variety of environments, experiences, and device types;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technology, solutions, services, and platforms that result in a high degree of customer satisfaction and a high level of end-customer usage;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responding to competition, including competition from emerging technologies and solutions;</w:t>
      </w:r>
    </w:p>
    <w:p>
      <w:pPr>
        <w:spacing w:after="0" w:line="252"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strategic relationships to enhance the distribution, features, content and utility of our technology, solutions, services, and platforms;</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attracting and retaining talented engineering, network operations, program management, technical services, creative services, and other personnel at reasonable market compensation rates in the markets in which we employ such personnel;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operations, personnel and technology from our acquisitions.</w:t>
      </w:r>
    </w:p>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business strategy may be unsuccessful and we may be unable to address the risks we face in a cost-effective manner, if at all. If we are unable to successfully accomplish these tasks, our business will be harmed.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and longevity depend on our ability to generate profits from future operations and obtain sufficient capital through financing transactions to refinance our debt obligations, pay any contingent consideration owed to former Reflect stockholders, and meet our other business obligations.</w:t>
      </w:r>
    </w:p>
    <w:p>
      <w:pPr>
        <w:spacing w:after="0" w:line="13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for the fiscal year ended December 31, 2023 included an explanatory paragraph indicating that there is substantial doubt as to our ability to continue as a going concern within one year after that date that the Consolidated Financial Statements are issued.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December 31, 2023, the Company has an accumulated deficit of $53,346, negative working capital of $1,587, including current debt obligations of $3,690, and cash of $2,910. For the year ended December 31, 2023, the Company generated operating income of $1,346 and generated positive net cash flows from operations of $5,167. Pursuant to the Second Amended and Restated Credit and Security Agreement (the "Credit Agreement") between the Company and Slipstream, the Company is required and began to make monthly repayments of principal on the Consolidation Term Loan on September 1, 2023. The monthly principal payment is approximately $370 and will continue on the first day of each month thereafter until the Maturity Date on February 17, 2025, with total principal repayments of $4,037 during the twelve months subsequent to the reporting date of our Consolidated Financial Statements. In addition, the Company is required to repay the principal balance on the Acquisition Term Loan of $10,000 at maturity and resolve the contingent consideration (described below), currently estimated for accounting purposes at $11,208, each of which mature on February 17, 2025 and collectively raises substantial doubt about the Company's ability to continue as a going concern under the technical framework within ASU 205-40. 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of Organization and Operations- Liquidity and Financial Consideration</w:t>
      </w:r>
      <w:r>
        <w:rPr>
          <w:rFonts w:ascii="Times New Roman" w:cs="Times New Roman" w:eastAsia="Times New Roman" w:hAnsi="Times New Roman"/>
          <w:sz w:val="18"/>
          <w:szCs w:val="18"/>
          <w:color w:val="auto"/>
        </w:rPr>
        <w:t>“ to the Company’s Consolidated Financial Statements contained in this Report for a description of our payment obligations under the Credit Agreement.</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in which we acquired Reflect requires us to pay to former Reflect stockholders additional contingent cash consideration after February 17, 2025 (subject to a six-month extension under certain circumstances), if the closing price of our shares of common stock on such date is less than $6.40 per share (the "Guaranteed Price"). The actual amount of such contingent consideration cannot be determined until such time, but our financial statements reflect $11,208 as the amount of such payment as of December 31, 2023, which include an increase in the Guaranteed Price to reflect the Company’s 1-for-3 reverse stock split that occurred on March 23, 2023. 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Business Combinations</w:t>
      </w:r>
      <w:r>
        <w:rPr>
          <w:rFonts w:ascii="Times New Roman" w:cs="Times New Roman" w:eastAsia="Times New Roman" w:hAnsi="Times New Roman"/>
          <w:sz w:val="18"/>
          <w:szCs w:val="18"/>
          <w:color w:val="auto"/>
        </w:rPr>
        <w:t>” to the Company’s Consolidated Financial Statements contained in this Report for a description of our obligations to pay the contingent consideration.</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do not anticipate that we will have adequate funds from our operations to satisfy these obligations in February 2025. In response to these conditions, the Company plans to evaluate its available options for refinancing, via recapitalization, debt financing or equity financing, its upcoming obligations associated with the Acquisition Term Loan, Consolidation Term Loan, and contingent consideration. However, these plans have not been finalized, are subject to market conditions, and are not within the Company’s control, and therefore cannot be deemed probable. As a result, the Company has concluded that management's plans do not alleviate substantial doubt about the Company's ability to continue as a going concern.</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equity financings will likely be dilutive to shareholders and may be completed at a discount to the then-current market price of our securities. Debt financing, if available, may involve restrictive covenants on our operations or pertaining to future financing arrangements. Nevertheless, we may not successfully complete any future equity or debt financing.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sufficient capital to engage in material research and development, which may harm our long-term growth.</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light of our limited resources in general, we have limited material investments in research and development over the past several years. This conserves capital in the short term. In the long term, as a result of our failure to invest in research and development, our technology and product offerings may not keep pace with the market, and we may lose any current existing competitive advantage. Over the long term, this may harm our revenues growth and our ability to become profitable.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variable sales cycle of our products will likely make it difficult to predict operating results.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we are focusing on increasing our revenues from SaaS services to our customers, our overall revenues in any quarter depend substantially upon contracts signed and the related shipment and installation or delivery of hardware and software products in that quarter. It is therefore difficult for us to accurately predict revenues and this difficulty also will affect the Company. It is difficult to forecast the timing of large individual hardware and software sales with a high degree of certainty due to the extended length of the sales cycle and the generally more complex contractual terms that may be associated with our products that could result in the deferral of some or all of the revenue to future periods.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Accordingly, large individual sales have sometimes occurred in quarters subsequent to when we anticipated or not at all. If we receive any significant cancellation or deferral of customer orders, or it is unable to conclude license negotiations by the end of a fiscal quarter, our operating results may be lower than anticipated. In addition, any weakening or uncertainty in the economy may make it more difficult for the Company to predict quarterly results in the future, and could negatively impact our business, financial condition, and results of operations for an indefinite period of time.</w:t>
      </w:r>
    </w:p>
    <w:p>
      <w:pPr>
        <w:spacing w:after="0" w:line="176" w:lineRule="exact"/>
        <w:rPr>
          <w:sz w:val="20"/>
          <w:szCs w:val="20"/>
          <w:color w:val="auto"/>
        </w:rPr>
      </w:pPr>
    </w:p>
    <w:p>
      <w:pPr>
        <w:jc w:val="both"/>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and we expect that there will continue to be, significant consolidation in our industry. Our failure or inability to either lead or participate in that consolidation would have a severe adverse impact on our access to financing, customers, technology, and human resources.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currently composed of a large number of relatively small businesses; no single business dominates or provides integrated solutions and product offerings incorporating much of the available industry technology. We believe that substantial consolidation is occurring in our industry and will continue to do so in the near future. We believe that our prior acquisitions of Allure and Reflect illustrate acquisition opportunities that exist in our industry. If we are not active participants in consolidation, either as a consolidator or as a target, we may be left out of this process, with product offerings of limited value compared with those of our consolidated competitors. Moreover, even if we lead the consolidation process, we may incur unknown liabilities in such consolidations, fail to fully integrate the operations, personnel, or technology from such consolidations, and the market may not validate the decisions we make in that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in financing markets could impair our ability to grow our business through acquisitions.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opportunities to acquire similar businesses will materially depend on, among other things, the availability of financing options for us with acceptable terms. Poor credit and other market conditions or uncertainty in financial markets could adversely affect our ability to obtain such financing, and as a result, materially limit our ability to grow through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interactive marketing technologies achieving and maintaining widespread acceptance in our targeted markets.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to a large extent on market acceptance of our interactive marketing technologies among our current and prospective customers. Our prospective customers may still not use our solutions for a number of other reasons, including preference for static advertising, lack of familiarity with our technology, preference for competing technologies or perceived lack of reliability. We believe that the acceptance of our interactive marketing technologies by prospective customers will depend primarily on the following factors:</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economic and other benefits attendant to our interactive marketing technologies;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becoming comfortable with using our interactive marketing technologies;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interactive marketing technologies.</w:t>
      </w:r>
    </w:p>
    <w:p>
      <w:pPr>
        <w:spacing w:after="0" w:line="25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interactive technologies are complex and must meet stringent user requirements. Some undetected errors or defects may only become apparent as new functions are added to our technologies and products. The need to repair or replace products with design or manufacturing defects could temporarily delay the sale of new products and adversely affect our reputation. Delays, costs, and damage to our reputation due to product defects could harm our business.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potential for continued net losses may negatively impact our relationships with customers, prospective customers and third-party suppliers.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financial condition and potential for continued net losses may cause current and prospective customers to defer placing orders with us, to require terms that are less favorable to us, or to place their orders with our competitors, which could adversely affect our business, financial condition, and results of operations. On the same basis, third-party suppliers may refuse to do business with us, or may do so only on terms that are unfavorable to us, which also could cause our expenses to increase.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have long-term purchase commitments from our customers, the failure to obtain anticipated orders or the deferral or cancellation of commitments could have adverse effects on our business.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business is characterized by short-term purchase orders, contracts that do not require that purchases be made by our customers, and monthly subscription contracts (SaaS) that may be terminated with minimal notice. This makes forecasting our sales difficult. The failure to obtain anticipated orders and deferrals or cancellations of purchase commitments or SaaS services because of changes in customer requirements, or otherwise, could have a material adverse effect on our business, financial condition, and results of operations. We have experienced such challenges in the past and may experience such challenges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growth and financial performance could be adversely affected by the loss of several key customers.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year ended December 31, 2023. We had three customers that accounted for 44% of revenue for the years ended December 31, 2022.</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Decisions by one or more of these key customers to not renew, terminate, or substantially reduce their use of our products, technology, services, and platform could substantially slow our revenue growth and lead to a decline in revenue. Our business plan assumes continued growth in revenue, and it is unlikely that we will become profitable without a continued increase in revenue.</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of our contracts are terminable by our customers with limited notice and without penalty payments, and early terminations could have a material adverse effect on our business, financial condition, and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Most of our contracts are terminable by our customers following limited notice and without early termination payments or liquidated damages due from them. In addition, each stage of a project often represents a separate contractual commitment, at the end of which the customers may elect to delay or not to proceed to the next stage of the project. We cannot assure you that one or more of our customers will not terminate a material contract or materially reduce the scope of a large project. The delay, cancellation or significant reduction in the scope of a large project or a number of projects could have a material adverse effect on our business, financial condition and results of operations.</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common for our current and prospective customers to evaluate our products over an extended period of time, most especially during economic downturns that affect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 as we saw during the COVID-19 pandemic. The lengthy and variable sales cycle makes it difficult to predict our operating results.</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It is difficult for us to forecast the timing and recognition of revenue from sales of our products and services because our actual and prospective customers often take significant time to evaluate our products before committing to a purchase. Even after making their first purchases of our products and services (or "pilot program" purchases), existing customers may not make significant purchases of those products and services for a long period of time following their initial purchases, if at all. The period between initial customer contact and a purchase by a customer may be years with potentially an even longer period separating initial purchases and any significant purchases thereafter. During the evaluation period, prospective customers may decide not to purchase or may scale down proposed orders of our products for various reasons, including:</w:t>
      </w:r>
    </w:p>
    <w:p>
      <w:pPr>
        <w:spacing w:after="0" w:line="18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need to upgrade existing visual marketing systems;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products by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prices offered by our competitors;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budgets and purchasing priorities.</w:t>
      </w:r>
    </w:p>
    <w:p>
      <w:pPr>
        <w:spacing w:after="0" w:line="2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prospective customers routinely require education regarding the use and benefit of our products and solutions. This may also lead to delays in receiving customers’ orders.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characterized by frequent technological change. If we are unable to adapt our products and services and develop new products and services to keep up with these rapid changes, we will not be able to obtain, or maintain, market share.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rapidly changing technology, evolving industry standards, changes in customer needs, heavy competition, and frequent new product and service introductions. If we fail to develop new products and services or modify or improve existing products and services in response to these changes in technology, customer demands, or industry standards, our products and services could become less competitive or obsolete.</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must respond to changing technology and industry standards in a timely and cost-effective manner. We may not be successful in using new technologies, developing new products and services or enhancing existing products and services in a timely and cost-effective manner. Furthermore, even if we successfully adapt our products and services, these new technologies or enhancements may not achieve sufficient market acceptance.</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industry, and our competitors are developing products and solutions that incorporate AI and ML . We may not be as successful as our competitors in incorporating AI and ML into our products and solutions.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competitors may be larger, more diversified, better funded, and have access to more advanced technology, including AI and ML. These competitive advantages may enable our competition to innovate their products and solutions faster or better than we can, or to provide increased competition on quality and price, which could adversely affect our business and profitability. Burgeoning interest in AI and ML may increase competition and disrupt the Company’s business model. AI and ML may lower barriers to entry in our industry and the Company may be unable to effectively compete with the products or services offered by new competitors. Changes to the products and services we offer related to AI and ML may affect customer expectations, requirements, or tastes in ways that the Company cannot adequately anticipate or adapt to, causing its business to lose revenues.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use of new and evolving technologies in our offerings, such as AI and ML, may result in increased regulation and costs to comply with such regulations.</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exploring manners to integrate AI and ML into many of our offerings. We may need to increase our operational, research and development and compliance costs, or divert resources from other research and development efforts, to address potential issues related to AI and ML in a quickly evolving social, legal, and regulatory environment. As with many cutting-edge innovations, AI and ML present new risks and challenges, and existing laws and regulations may apply to us in new ways, the nature and extent of which are difficult to predict. Potential government regulation related to AI, including relating to ethics and social responsibility, may also increase the burden and cost of compliance and research and development.</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developed and licensed software technology, and we could face claims of infringement by others in the industry. Such claims are costly and add uncertainty to our operational results.</w:t>
      </w:r>
    </w:p>
    <w:p>
      <w:pPr>
        <w:spacing w:after="0" w:line="15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portion of our business involves our ownership and licensing of software. This market space is characterized by frequent intellectual property claims and litigation. We could be subject to claims of infringement of third-party intellectual-property rights resulting in significant expense and the potential loss of our own intellectual property rights. From time to time, third parties may assert copyright, trademark, patent, or other intellectual property rights to technologies that are important to our business. Any litigation to determine the validity of these claims, including claims arising through our contractual indemnification of our business partners, regardless of their merit or resolution, would likely be costly and time consuming and divert the efforts and attention of our management and technical personnel. If any such litigation resulted in an adverse ruling, we could be required to:</w:t>
      </w:r>
    </w:p>
    <w:p>
      <w:pPr>
        <w:spacing w:after="0" w:line="18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development, use, licensing or sale of infringing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technology; or</w:t>
      </w:r>
    </w:p>
    <w:p>
      <w:pPr>
        <w:spacing w:after="0" w:line="252"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under the intellectual property rights of the third party claiming infringement, which license may not be available on reasonable terms or at all.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platform architectures and data tracking technology underlying certain of our services are complex and may contain unknown errors in design or implementation that could result in system performance failures or inability to scale.</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platform architecture, data tracking technology, and integration layers underlying our proprietary platforms, our contract administration, procurement, timekeeping, content and network management, network services, device management, virtualized services, software automation and other tools, and back-end services are complex and include specially developed software and code. This software and code are developed internally, licensed from third parties, or integrated by in-house personnel and third parties. Any of the system architecture, system administration, integration layers, software, or code may contain errors, or may be implemented or interpreted incorrectly, particularly when they are first introduced or when new versions or enhancements to our tools and services are released. Consequently, our systems could experience performance failure, or we may be unable to scale our systems, which may:</w:t>
      </w:r>
    </w:p>
    <w:p>
      <w:pPr>
        <w:spacing w:after="0" w:line="189" w:lineRule="exact"/>
        <w:rPr>
          <w:sz w:val="20"/>
          <w:szCs w:val="20"/>
          <w:color w:val="auto"/>
        </w:rPr>
      </w:pPr>
    </w:p>
    <w:p>
      <w:pPr>
        <w:ind w:left="980" w:right="6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our relationship with customers and others who experience system failure, possibly leading to a loss of affected and unaffected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costs related to product development or service delivery;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revenues and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malicious applications that interfere with, or exploit security flaws in, our products and services.</w:t>
      </w:r>
    </w:p>
    <w:p>
      <w:pPr>
        <w:spacing w:after="0" w:line="229"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Our business may be adversely affected by malicious applications that make changes to our customers’ computer systems and interfere with the operation and use of our products or products that impact our business. These applications may attempt to interfere with our ability to communicate with our customers’ devices. The interference may occur without disclosure to or consent from our customers, resulting in a negative experience that our customers may associate with our products and services. These applications may be difficult or impossible to uninstall or disable, may reinstall themselves and may circumvent other applications’ efforts to block or remove them. The ability to provide customers with a superior interactive marketing technology experience is critical to our success. If our efforts to combat these malicious applications fail, or if our products and services have actual or perceived vulnerabilities, there may be claims based on such failure or our reputation may be harmed, which would damage our business and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with other companies that have more resources, which puts us at a competitive disadvantage.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market for interactive marketing technologies is highly competitive and we expect competition to increase in the future. Many competitors have significantly greater financial, technical, and marketing resources than us. These competitors may be able to respond more rapidly than we can to new or emerging technologies or changes in customer preferences or requirements. They may also devote greater resources to the development, promotion and sale of their products and services than us.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competitors to continue to improve the performance of their current products, services, and technologies and to introduce new products, services, and technologies as well. Successful new product and service introductions or enhancements by our competitors could reduce sales and the market acceptance of our products and services, cause intense price competition, or make our products and services obsolete. To be competitive, we must continue to invest significant resources in research and development, sales and marketing and customer support. If we do not have sufficient resources to make these investments or are unable to make the technological advances necessary to be competitive, our competitive position will suffer. Increased competition could result in price reductions, fewer customer orders, reduced margins, and loss of market share. Our failure to compete successfully against current or future competitors could adversely affect our business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key personnel and our ability to attract and retain additional personnel.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key personnel include:</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Rick Mills, our Chief Executive Officer and Chairman;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Logan, our Chief Financial Officer.</w:t>
      </w:r>
    </w:p>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we fail to retain our key personnel or to attract, retain, and motivate other qualified employees, our ability to maintain and develop our business may be adversely affected. Our future success depends significantly on the continued service of our key technical, sales, and senior management personnel and their ability to execute our growth strategy. The loss of the services of our key employees could harm our business. We may be unable to retain our employees or to attract, assimilate and retain other highly qualified employees who could migrate to other employers who offer competitive or superior compensation packages.</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risk losing directors, officers, and employees, or paying more cash compensation, if our shareholders do not approve our 2023 Stock Incentive Plan.</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ability to issue incentive awards under our 2014 Stock Incentive Plan expired in 2023. Nasdaq’s listing rules require us to obtain our shareholder’s approval of a stock incentive plan before we may issue any shares under the plan or any option issued under the plan may be exercised. On November 8, 2023, our Board of Directors adopted a 2023 stock incentive plan (the “2023 Plan”), and we intend to seek shareholder approval of such plan at our 2024 annual shareholder meeting.</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company with limited capital resources, we have historically relied upon our ability to issue incentives from our stock incentive plans to our directors, officers and employees in lieu of cash-based compensation. Currently, we may only issue options under the 2023 Plan that cannot be exercised unless shareholder approval of the 2023 Plan is obtained in advance of the exercise of any option. We cannot issue restricted stock awards or stock awards, which we have issued in the past to incentivize our directors, officers and employees and to mitigate the cash compensation that would otherwise be payable to such persons. This limited use of the 2023 Plan limits the value of these incentives, and will require us to use cash in place of incentives under the 2023 Plan until shareholder approval is obtained, or we risk losing the services of our officers, directors and employees.</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be able to obtain shareholder approval of the 2023 Plan. Our shareholders failed to approve at our 2023 annual shareholder meeting a 2023 equity incentive plan that authorized the issuance of up to 1,500,000 shares under such plan.</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 security risks and interruptions or failures in our information technology systems and those of third party partners with whom our applications are integrated, and will likely need to expend additional resources to enhance our protection from such risks. Notwithstanding our efforts, a cyber incident could occur and result in information theft, data corruption, operational disruption, and/or financial loss.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digital technologies to process and record financial and operating data and rely on sophisticated information technology systems and infrastructure to support our business, including process control technology. At the same time, cyber incidents, including deliberate attacks, have increased. Our technologies, systems and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operations. In addition, certain cyber incidents, such as surveillance, may remain undetected for an extended period. Our systems for protecting against cyber security risks may not be sufficient. As the sophistication of cyber incidents continues to evolve, we will likely be required to expend additional resources to continue to modify or enhance our protective measures or to investigate and remediate any vulnerability to cyber incidents. Additionally, any of these systems may be susceptible to outages due to fire, floods, power loss, telecommunications failures, usage errors by employees, computer viruses, cyber-attacks, or other security breaches or similar events. The failure of any of our information technology systems may cause disruptions in our operations, which could adversely affect our revenues and profitability.</w:t>
      </w:r>
    </w:p>
    <w:p>
      <w:pPr>
        <w:spacing w:after="0" w:line="194"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Additionally, we engage third-party service providers to assist us in providing products and services for our customers. Those third-party services providers also subject to the foregoing risks to their systems. We do not have a process to oversee and identify risks from cyber security threats associated with our use of such third-party service providers, and any such incidents occurring on their system could similarly affect us, our revenues and profitability.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information management and transaction systems to operate our business exposes us to cyber incidents and hacking of our sensitive information if our outsourced service provider experiences a security breach.</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information security internal controls are necessary for us to protect our sensitive information from illegal activities and unauthorized disclosure in addition to denial of service attacks and corruption of our data. In addition, we rely on the information security internal controls maintained by our outsourced service provider. Breaches of our information management system could also adversely affect our business reputation. Finally, significant information system disruptions could adversely affect our ability to effectively manage operations or reliably report results.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technology, products, platform, and services are complex and are deployed in and across complex environments, they may have errors or defects that could seriously harm our business.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technology, proprietary platforms, products, and services are highly complex and are designed to operate in and across data centers, large and complex networks, and other elements of the digital media workflow that we do not own or control. On an ongoing basis, we need to perform proactive maintenance services on our platform and related software services to correct errors and defects. In the future, there may be additional errors and defects in our software that may adversely affect our services. We may not have in place adequate reporting, tracking, monitoring, and quality assurance procedures to ensure that we detect errors in our software in a timely manner. If we are unable to efficiently and cost-effectively fix errors or other problems that may be identified, or if there are unidentified errors that allow persons to improperly access our services, we could experience loss of revenues and market share, damage to our reputation, increased expenses and legal actions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insufficient network or server capacity, which could result in interruptions in our services and loss of revenues.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dependent in part upon: network capacity provided by third-party telecommunications networks; data center services provider owned and leased infrastructure and capacity; our dedicated and virtualized server capacity located at its data center services provider partner and a geo-redundant micro-data center location; and our own infrastructure and equipment. Collectively, this infrastructure, equipment, and capacity must be sufficiently robust to handle all of our customers’ web-traffic, particularly in the event of unexpected surges in high-definition video traffic and network services incidents. We (and our service providers) may not be adequately prepared for unexpected increases in bandwidth and related infrastructure demands from our customers. In addition, the bandwidth we have contracted to purchase may become unavailable for a variety of reasons, including payment disputes, outages, or such service providers going out of business. Any failure of these service providers or our own infrastructure to provide the capacity we require, due to financial or other reasons, may result in a reduction in, or interruption of, service to our customers, leading to an immediate decline in revenue and possible additional decline in revenue as a result of subsequent customer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are susceptible to interruptions caused by events beyond our control.</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are susceptible to interruptions caused by events beyond our control. For example, the COVID-19 pandemic resulted in authorities implementing numerous preventative measures to contain or mitigate the outbreak of the virus, such as travel bans and restrictions, limitations on business activity, quarantines, and shelter-in-place orders. These measures caused business slowdowns and shutdowns in certain affected areas, both regionally and worldwide, which significantly adversely impacted our business and results of operations. We are vulnerable to potential problems when events beyond our control arise, including, among others:</w:t>
      </w:r>
    </w:p>
    <w:p>
      <w:pPr>
        <w:spacing w:after="0" w:line="183" w:lineRule="exact"/>
        <w:rPr>
          <w:sz w:val="20"/>
          <w:szCs w:val="20"/>
          <w:color w:val="auto"/>
        </w:rPr>
      </w:pPr>
    </w:p>
    <w:p>
      <w:pPr>
        <w:ind w:left="980" w:right="1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technology, products, and services and underlying infrastructure, or that of our key suppliers, may be damaged or destroyed by events beyond our control, such as fires, earthquakes, floods, power outages, or telecommunications failures;</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and/or partners may experience interruptions in service as a result of the accidental or malicious actions of Internet users, hackers, or current or former employees;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transmit viruses to third parties that damage or impair their access to computer networks, programs, data or information,</w:t>
      </w:r>
    </w:p>
    <w:p>
      <w:pPr>
        <w:spacing w:after="0" w:line="27" w:lineRule="exact"/>
        <w:rPr>
          <w:rFonts w:ascii="Times New Roman" w:cs="Times New Roman" w:eastAsia="Times New Roman" w:hAnsi="Times New Roman"/>
          <w:sz w:val="18"/>
          <w:szCs w:val="18"/>
          <w:color w:val="auto"/>
        </w:rPr>
      </w:pPr>
    </w:p>
    <w:p>
      <w:pPr>
        <w:ind w:left="98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eliminating computer viruses and alleviating other security problems may require interruptions, delays or cessation of service to our customers and cause us to face liability;</w:t>
      </w:r>
    </w:p>
    <w:p>
      <w:pPr>
        <w:spacing w:after="0" w:line="18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systems or those of our suppliers may disrupt service to our customers (and from our customers to their customers), which could materially impact our operations (and the operations of our customers), adversely affect our relationships with our customers and lead to lawsuits and contingent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development or releases, or reductions in manufacturing production and sales of consumer hardware, as a result of inventory shortages, supply chain or labor shortages;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and disruption of global financial markets, which could negatively impact our ability to access capital in the future;</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revenue, collect payment, or generate future revenue from customers, including from those that have been or may be forced to close their businesses or are otherwise adversely impacted by any resulting economic downturn;</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 on our workforce productivity, product development, and research and development due to difficulties resulting from our personnel working remotely</w:t>
      </w:r>
    </w:p>
    <w:p>
      <w:pPr>
        <w:spacing w:after="0" w:line="161"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illnesses to key employees, or a significant portion of our workforce, which may result in inefficiencies, delays, and disruptions in our business;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volatility and uncertainty in the financial projections we use as the basis for estimate used in our financial statements.</w:t>
      </w:r>
    </w:p>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result in claims for consequential and other damages, significant repair and recovery expenses and extensive customer losses and otherwise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are constantly evolving, and we may be unable to compete successfully against existing or future competitors to our business.</w:t>
      </w:r>
    </w:p>
    <w:p>
      <w:pPr>
        <w:spacing w:after="0" w:line="22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market in which we operate is increasingly competitive. Our current competitors generally include general digital signage companies, specialized digital signage operators targeting certain vertical markets (e.g., financial services, retail, or food services), content management software companies, or integrators and vertical solution providers who develop single implementations of content distribution, digital marketing technology, and related services. These competitors, including future new competitors who may emerge, may be able to develop comparable or superior solution capabilities, software platform, technology stack, and/or series of services that provide a similar or more robust set of features and functionality than our technology, products and services. If this occurs, we may be unable to grow as necessary to make our business profitable. In addition, our existing and potential future competitors may be able to use their extensive resources to:</w:t>
      </w:r>
    </w:p>
    <w:p>
      <w:pPr>
        <w:spacing w:after="0" w:line="189"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deploy new products and services more quickly and effectively than we can;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improve, and expand their platforms and related infrastructures more quickly than we can;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less expensive products, technology, platform, and services as a result of a lower cost structure, greater capital reserves, or otherwise;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more swiftly and completely to new or emerging technologies and changes in customer requirements;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 and other opportunities more readily;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greater resources to the marketing and sales of their products, technology, platform, and services.</w:t>
      </w:r>
    </w:p>
    <w:p>
      <w:pPr>
        <w:spacing w:after="0" w:line="25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in our various markets, or if competitive pressures place downward pressure on the prices at which we offer our products and services, our business, financial condition and results of operations may suffer.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OUR COMPANY</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largest shareholder and senior lender possesses significant voting power with respect to our common stock, which will limit your influence on our management and affairs, and may discourage parties from initiating potential merger, takeover, or other change-of-control transactions.</w:t>
      </w:r>
    </w:p>
    <w:p>
      <w:pPr>
        <w:spacing w:after="0" w:line="15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20, 2024, our largest shareholder and investor, Slipstream is the holder of all of our outstanding debt instruments, including two term loans, and has beneficial ownership of approximately 26% of our common stock (on an as-converted, fully diluted basis including conversion of outstanding warrants, and assuming no other convertible securities, options and warrants are converted or exercised by other parties).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Slipstream has significant influence on our management and affairs, including the election and removal of our Board of Directors and all other matters requiring shareholder approval, including the future merger, consolidation or sale of all or substantially all of our assets. This stockholder position, especially in light of Pegasus' prior proposals described below, may discourage others from initiating any potential merger, takeover, or other change-of-control transaction that may otherwise be beneficial to our shareholders. Furthermore, this concentrated ownership will limit the practical effect of your participation in Company matters, through shareholder votes and otherwise.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2, 2023 and May 1, 2023, we received unsolicited proposals from Pegasus Capital Advisors, L.P., on behalf of itself and certain of its affiliates, including Slipstream (collectively, “Pegasus”), to acquire all of the outstanding shares of common stock of the Company that are not owned by Pegasus for purchase prices of $0.83 per share in cash (or, as a result of our 1-for-3 reverse stock split effectuated in March 2023, $2.49 per share), and $2.85 per share in cash, respectively. Pegasus is the beneficial owner of our common stock owned of record by Slipstream. The Special Committee of the Company’s Board of Directors (the “Special Committee”) concluded that each proposal undervalued the Company based on the Special Committee’s views of the intrinsic value of the Company’s existing business and current and future prospects, and was not in the best interests of the Company’s existing shareholders. Consequently, the Special Committee advised Pegasus that it rejected each proposal, and since such time, Pegasus has not made any subsequent acquisition proposal.</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grant our Board of Directors the power to issue additional shares of common and preferred stock and to designate other classes of preferred stock, all without shareholder approval.</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authorized capital consists of 116,666,666 shares of capital stock, 50,000,000 of which is undesignated preferred stock. Pursuant to authority granted by our Articles of Incorporation, our Board of Directors, without any action by our shareholders, may designate and issue shares in such classes or series (including other classes or series of preferred stock) as it deems appropriate and establish the rights, preferences and privileges of such shares, including dividends, liquidation and voting rights, provided such designation is consistent with Minnesota law. The rights of holders of other classes or series of stock that may be issued could be superior to the rights of holders of our common shares. The designation and issuance of shares of capital stock having preferential rights could adversely affect other rights appurtenant to shares of our common stock. Furthermore, any issuances of additional stock (common or preferred) will dilute the percentage of ownership interest of then-current holders of our capital stock and may dilute our book value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significant tangible assets that could be sold upon liquidation.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nominal tangible assets. As a result, if we become insolvent or otherwise must dissolve, there will be no tangible assets to liquidate and no corresponding proceeds to disburse to our shareholders. If we become insolvent or otherwise must dissolve, shareholders will likely not receive any cash proceeds on account of their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provide no assurance that our securities will continue to meet Nasdaq listing requirements. If we fail to comply with the continuing listing standards of the Nasdaq, our securities could be delisted.</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2022, the bid price of the Company’s common stock closed for 30 consecutive trading days below the $1.00 per share minimum required for continued listing on The Nasdaq Capital Market pursuant to Nasdaq Listing Rule 5550(a)(2) (the “Minimum Bid Price Requirement”). Although the Company cured such noncompliance as a result of its 1-for-3 reverse stock split in March 2023, the trading price of the Company’s common stock has been subject to large movement in the past, especially in light of historically low trading volumes. We cannot be certain that the Company will be able to comply with the Minimum Bid Price Requirement and the other continued listing requirements of Nasdaq in the future, in which case the Company’s common stock may be delisted from the Nasdaq Capital Market. 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In such event, the liquidity of our common stock would likely be further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issuances of our common stock, or the perception that significant issuances may occur in the future, could adversely affect the market price for our common stock.</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Significant actual or perceived potential future issuance of our common stock could adversely affect the market price of our common stock. Generally, issuances of substantial amounts of common stock in the public market, and the availability of shares for future sale, could adversely affect the prevailing market price of our common stock, and could cause the market price of our common stock to remain low for a substantial amount of time.</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cannot foresee the impact of potential securities issuances of common shares on the market for our common stock, but it is possible that the market for our shares may be adversely affected, perhaps significantly. It is also unclear whether or not the market for our common stock could absorb a large number of attempted sales in a short period of time, regardless of the price at which they might be offered.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certain of our stockholders could cause our stock price to fall.</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not be an active market for shares of our common stock.</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general, there has been minimal trading volume in our common stock. Small trading volumes would likely make it difficult for our shareholders to sell their shares as and when they choose. Furthermore, small trading volumes are generally understood to depress market prices. As a result, you may not always be able to resell shares of our common stock publicly at the time and prices that you feel are fair or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our limited internal resources, we may not have in place various processes and protections common to more mature companies and may be more susceptible to adverse events.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internal resources. As a result, we may not have in place systems, processes, and protections that many of our competitors have or that may be essential to protect against various risks. For example, we have in place only limited resources and processes addressing human resources, timekeeping, data protection, business continuity, personnel redundancy, and knowledge institutionalization concerns. As a result, we are at risk that one or more adverse events in these and other areas may materially harm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global market and economic conditions may have an adverse impact on our operating performance and results of operations.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business has been and could continue to be affected by general global economic and market conditions. Any downturn in the United States and worldwide economy could have a negative effect on our operating results, including a decrease in revenue and operating cash flow. To the extent our customers are unable to profitably leverage various forms of digital marketing technology and solutions, and/or the content we create, deliver and publish on their behalf, they may reduce or eliminate their purchase of our products and services. Such reductions in traffic would lead to a reduction in our revenues. Additionally, in a down-cycle economic environment, we may experience the negative effects of increased competitive pricing pressure, customer loss, slowdown in commerce over the Internet, and corresponding decrease in traffic delivered over our network and failures by our customers to pay amounts owed to us on a timely basis or at all. Suppliers on which we rely for equipment, field services, servers, bandwidth, co-location, and other services could also be negatively impacted by economic conditions that, in turn, could have a negative impact on our operations or revenues. Flat or worsening economic conditions may harm our operating results and financial condition.</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our business could be adversely affected by the effects of a widespread outbreak of contagious disease, including another outbreak of COVID-19 or another illness. A significant outbreak of contagious diseases in the human population could result in a widespread health crisis that could adversely affect the economies and financial markets of many countries, resulting in an economic downturn that could affect demand for our products, our ability to collect against existing trade receivables and our operating results. Specifically, such event may cause us, our customers or suppliers to temporarily suspend operations in the affected city or country, and customers may suspend or terminate capital improvements including in-store digital deployments or refresh projects, all of which may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cybersecurity risk management processes intended to protect the confidentiality, integrity, and availability of our critical systems and information. While everyone at our company plays a part in managing cybersecurity risks, primary cybersecurity oversight responsibility is shared by our Board of Directors and senior management. Our cybersecurity risk management program is integrated into our overall enterprise risk management program.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25" w:lineRule="exact"/>
        <w:rPr>
          <w:sz w:val="20"/>
          <w:szCs w:val="20"/>
          <w:color w:val="auto"/>
        </w:rPr>
      </w:pPr>
    </w:p>
    <w:p>
      <w:pPr>
        <w:ind w:left="980" w:right="4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technological, and administrative controls intended to support our cybersecurity and data governance framework, including protections designed to protect the confidentiality, integrity, and availability of our key information systems and customer, employee, partner, and other third-party information stored on those systems, such as access controls, encryption, data handling requirements, and other cybersecurity safeguards, and internal policies that govern our cybersecurity risk management and data protection practices;</w:t>
      </w:r>
    </w:p>
    <w:p>
      <w:pPr>
        <w:spacing w:after="0" w:line="179"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procedure for timely incident detection, containment, response, and remediation, including a written security incident response plan that includes procedures for responding to cybersecurity incidents;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 processes designed to help identify material cybersecurity risks to our critical systems, information, products, services, and broader enterprise IT environment;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25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consultants or other third-party experts and service providers, where considered appropriate, to assess, test, or otherwise assist with aspects of our cybersecurity controls;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312" w:lineRule="auto"/>
        <w:tabs>
          <w:tab w:leader="none" w:pos="9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cybersecurity and privacy training of employees, including incident response personnel and senior management, and specialized training for certain teams depending on their role and/or access to certain types of information, such as consumer information.</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Over the past fiscal year, we have not identified risks from known cybersecurity threats, including as a result of any prior cybersecurity incidents we have experienced from time to time, that have materially affected or are reasonably likely to materially affect us, including our operations, business strategy, operating results, or financial condition. We will continue to monitor and assess our cybersecurity risk management program as well as invest in and seek to improve such systems and processes as appropriate. If we were to experience a material cybersecurity incident in the future, such incident may have a material adverse effect on our operations, business strategy, operating results, and financial condition. For more information regarding cybersecurity risks that we face and potential related impacts on our business, see the section titled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in Part I, Item 1A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Governance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full Board of Directors oversees our risk management, including our information technology and cybersecurity policies, procedures, and risk assessments. Our management reports to our Board of Directors on information security matters as necessary, regarding any significant cybersecurity incidents, as well as any incidents with lesser impact potential.</w:t>
      </w:r>
    </w:p>
    <w:p>
      <w:pPr>
        <w:spacing w:after="0" w:line="17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various processes for managing risk. An overall review of risk is inherent in our Board of Directors ongoing consideration of our long-term strategies, transactions and other matters presented to and discussed by the Board of Directors. This includes a discussion of the likelihood and potential magnitude of various risks, including cybersecurity risks, and any actions management has taken to limit, monitor or control those risks. The Board of Directors receives briefings from management periodically on our cyber risk management program and presentations on cybersecurity topics as part of the Board of Directors’ continuing education on topics that impact public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currency is rounded to the nearest thousands, except share and per share amounts.)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headquarters is located at 13100 Magisterial Drive, Suite 100, Louisville, KY 40223. There, we have approximately 17,500 square-feet of office space, including approximately 6,500 square-feet of warehouse space, which we believe is sufficient for our projected near-term future growth. The lease was modified and extended during 2022 and the monthly lease amount is currently $27 and escalates 1% annually through the end of the lease term in December 2025.</w:t>
      </w:r>
    </w:p>
    <w:p>
      <w:pPr>
        <w:spacing w:after="0" w:line="180"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We also lease office space of approximately 6,000 square feet to support our Canadian operations at a facility located at 4600 Rhodes Drives, Unit 3 &amp; 4, Windsor, Ontario under a lease that expires November 30, 2025 and with a monthly rental, inclusive of CAMs and related taxes, of $7 per month.</w:t>
      </w:r>
    </w:p>
    <w:p>
      <w:pPr>
        <w:spacing w:after="0" w:line="1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also lease office space of approximately 4,500 square feet to support our Atlanta operations at a facility known as Northridge Center II, located at 365 Northridge Road, Atlanta, GA 30350. This property lease began in July 2022 and expires in December 2027 with a monthly rental of $9, escalating 3% annually.</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also lease office space of approximately 15,350 square feet to support the Reflect operations at a facility located at 2221 Lakeside Blvd, Richardson, TX 75082 under a lease that expires March 31, 2024 and with a monthly rental, inclusive of CAMs, utilities and related taxes, of $40 per month. Commencing April 1, 2024, we will begin leasing approximately 3,300 square feet to support the Reflect operations at a facility located at 5345 Towne Square Drive, Plano, Texas under a lease that expires on May 31, 2027 and with a monthly base rental of $9, plus utilities.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phone number is (502) 791-8800.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legal proceedings can be found in </w:t>
      </w:r>
      <w:r>
        <w:rPr>
          <w:rFonts w:ascii="Times New Roman" w:cs="Times New Roman" w:eastAsia="Times New Roman" w:hAnsi="Times New Roman"/>
          <w:sz w:val="18"/>
          <w:szCs w:val="18"/>
          <w:u w:val="single" w:color="auto"/>
          <w:color w:val="0000EE"/>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Commitments and Contingencies</w:t>
      </w:r>
      <w:r>
        <w:rPr>
          <w:rFonts w:ascii="Times New Roman" w:cs="Times New Roman" w:eastAsia="Times New Roman" w:hAnsi="Times New Roman"/>
          <w:sz w:val="18"/>
          <w:szCs w:val="18"/>
          <w:color w:val="auto"/>
        </w:rPr>
        <w:t xml:space="preserve"> to the Company’s Consolidated Financial Statements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currency is rounded to the nearest thousands, except share and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“CREX”. The transfer agent and registrar for our common stock is Computershare Limited, 401 2nd Avenue North, Minneapolis, Minnesota 55401.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20, 2024, we had 378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future earnings, if any, to operate and expand our business and to finance the development and expansion of our business. We do not anticipate paying cash dividends on our common stock in the foreseeable future. Any payment of cash dividends in the future will be at the discretion of our Board of Directors and will depend upon our results of operations, earnings, capital requirements, contractual restrictions, and other factors deemed relevant by our Board of Directors.</w:t>
      </w:r>
    </w:p>
    <w:p>
      <w:pPr>
        <w:spacing w:after="0" w:line="18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share pro rata in dividends and distributions with respect to the common stock when, as and if declared by our Board of Directors out of funds legally available for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our equity compensation plans is set forth in Item 12 of Part III of this Report,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currency is rounded to the nearest thousands, except share and per share amounts.)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financial statements and related notes for the years ended December 31, 2023 and 2022, which are included elsewhere in this Report.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w:t>
      </w:r>
    </w:p>
    <w:p>
      <w:pPr>
        <w:spacing w:after="0" w:line="183"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You should review the "</w:t>
      </w:r>
      <w:r>
        <w:rPr>
          <w:rFonts w:ascii="Times New Roman" w:cs="Times New Roman" w:eastAsia="Times New Roman" w:hAnsi="Times New Roman"/>
          <w:sz w:val="18"/>
          <w:szCs w:val="18"/>
          <w:u w:val="single" w:color="auto"/>
          <w:color w:val="0000EE"/>
        </w:rPr>
        <w:t>Cautionary Note Regarding Forward-Looking Statements; Risk Factor 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sections of this Report for a discussion of important factors that could cause actual results to differ materially from the results described in or implied by the forward-looking statements described in the following discussion and analysis.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QSRs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DOOH Advertising Networks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including our acquisition of Reflect in February 2022,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ind w:left="980" w:right="20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ind w:left="980" w:right="42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ind w:left="980" w:right="12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ind w:left="980" w:right="22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 management platform </w:t>
      </w:r>
      <w:r>
        <w:rPr>
          <w:rFonts w:ascii="Times New Roman" w:cs="Times New Roman" w:eastAsia="Times New Roman" w:hAnsi="Times New Roman"/>
          <w:sz w:val="18"/>
          <w:szCs w:val="18"/>
          <w:color w:val="auto"/>
        </w:rPr>
        <w:t>– Our customers are increasingly interested in monetizing their digital signage networks through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content. However, efficiently scheduling advertising content into digital signage playlists to meet campaign objectives can be a challenging and labor-intensive process for our customers. AdLogic, our home-grown, content management-agnostic platform, automates this process, allowing network owners to capture more revenue with less expense.</w:t>
      </w:r>
    </w:p>
    <w:p>
      <w:pPr>
        <w:spacing w:after="0" w:line="176" w:lineRule="exact"/>
        <w:rPr>
          <w:rFonts w:ascii="Times New Roman" w:cs="Times New Roman" w:eastAsia="Times New Roman" w:hAnsi="Times New Roman"/>
          <w:sz w:val="18"/>
          <w:szCs w:val="18"/>
          <w:color w:val="auto"/>
        </w:rPr>
      </w:pPr>
    </w:p>
    <w:p>
      <w:pPr>
        <w:ind w:left="980" w:right="16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sales </w:t>
      </w:r>
      <w:r>
        <w:rPr>
          <w:rFonts w:ascii="Times New Roman" w:cs="Times New Roman" w:eastAsia="Times New Roman" w:hAnsi="Times New Roman"/>
          <w:sz w:val="18"/>
          <w:szCs w:val="18"/>
          <w:color w:val="auto"/>
        </w:rPr>
        <w:t>– Few digital signage solution providers offer their customers media sales as a service. We have in-house media sales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elevate conversations with our customers interested in better understanding network monetization. We believe this meaningful differentiation in the sales process provides us an additional revenue stream compared to our competitors.</w:t>
      </w:r>
    </w:p>
    <w:p>
      <w:pPr>
        <w:spacing w:after="0" w:line="170" w:lineRule="exact"/>
        <w:rPr>
          <w:rFonts w:ascii="Times New Roman" w:cs="Times New Roman" w:eastAsia="Times New Roman" w:hAnsi="Times New Roman"/>
          <w:sz w:val="18"/>
          <w:szCs w:val="18"/>
          <w:color w:val="auto"/>
        </w:rPr>
      </w:pPr>
    </w:p>
    <w:p>
      <w:pPr>
        <w:ind w:left="980" w:right="10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980" w:right="40" w:hanging="324"/>
        <w:spacing w:after="0" w:line="28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POS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ind w:left="980" w:right="320" w:hanging="324"/>
        <w:spacing w:after="0" w:line="26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the flexibility they need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w:t>
      </w:r>
    </w:p>
    <w:p>
      <w:pPr>
        <w:ind w:left="980" w:right="68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 o Media sales</w:t>
      </w:r>
    </w:p>
    <w:p>
      <w:pPr>
        <w:ind w:left="980" w:right="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right="2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46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right="7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right="2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right="44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right="420" w:hanging="320"/>
        <w:spacing w:after="0" w:line="28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Expenses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17, 2023, the Company conducted a public offering for the sale by the Company of an aggregate of 3,000,000 shares of common stock, par value $0.01 per share at a public offering price of $2.00 per share and received approximately $5,454 in net proceeds, after deducting underwriting fees of $478 and offering costs of $68.</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23, 2023, the Company filed Articles of Amendment with the Secretary of State of the State of Minnesota to effectuate, effective March 27, 2023, a 1-for-3 stock split of the shares of the Company's common stock, par value $0.01 per share.</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Rejection of unsolicited offers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February 2, 2023 and May 1, 2023, we received unsolicited proposals from Pegasus, to acquire all of the outstanding shares of common stock of the Company that are not owned by Pegasus for purchase prices of $0.83 per share in cash (or, as a result of our 1-for-3 reverse stock split effectuated in March 2023, $2.49 per share), and $2.85 per share in cash, respectively. Pegasus is the beneficial owner of our common stock owned of record by Slipstream. The Special Committee concluded that each proposal undervalued the Company based on the Special Committee’s views of the intrinsic value of the Company’s existing business and current and future prospects, and was not in the best interests of the Company’s existing</w:t>
      </w:r>
    </w:p>
    <w:p>
      <w:pPr>
        <w:spacing w:after="0" w:line="3"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shareholders. Consequently, the Special Committee advised Pegasus that it rejected each proposal, and since such time, Pegasus has not made any subsequent acquisition proposal.</w:t>
      </w:r>
    </w:p>
    <w:p>
      <w:pPr>
        <w:spacing w:after="0" w:line="179"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Loans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Warrants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Stock-based Compensation</w:t>
      </w:r>
      <w:r>
        <w:rPr>
          <w:rFonts w:ascii="Times New Roman" w:cs="Times New Roman" w:eastAsia="Times New Roman" w:hAnsi="Times New Roman"/>
          <w:sz w:val="18"/>
          <w:szCs w:val="18"/>
          <w:color w:val="auto"/>
        </w:rPr>
        <w:t xml:space="preserve"> to the Company’s Consolidated Financial Statements contained in this Report for a description of other recent developments of the Company that occurred during, and subsequent to, the year ended December 31,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our financial statements and has evaluated the accounting policies to be used in their preparation. Our management believes these policies are reasonable and appropriate. The Company’s significant accounting policies are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Significant Accounting Policies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of the Company’s Consolidated Financial Statements included within Part II, ITEM 8 of this Report. The following</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discussion identifies those accounting policies that we believe are critical in the preparation of our financial statements, the judgments and uncertainties affecting the application of those policies and the possibility that materially different amounts will be reported under different conditions or using different assumptions.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(“GAAP”) requires that management make estimates and assumptions that affect the reported amounts of assets and liabilities and disclosure of commitments and contingencies at the date of the financial statements and the reported amounts of revenues and expenses during the reporting period. Our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revenue in accordance with Financial Accounting Standards Board (“FASB”) Accounting Standards Codification (“ASC”)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we account for revenue using the following steps:</w:t>
      </w:r>
    </w:p>
    <w:p>
      <w:pPr>
        <w:spacing w:after="0" w:line="207"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or contracts, with a customer;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identified performance obligations;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we satisfy our performance obligations.</w:t>
      </w:r>
    </w:p>
    <w:p>
      <w:pPr>
        <w:spacing w:after="0" w:line="25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in our Consolidated Financial Statements, included in Part II, ITEM 8 of this Report, for a complete discussion of our revenue recognition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Goodwill is evaluated for impairment annually as of September 30 and whenever events or circumstances make it more likely than not that impairment may have occurred. We have no other indefinite-lived intangible assets. We test goodwill for impairment by comparing the book value to the fair value at the reporting unit level. We have only one reporting unit, and therefore the entire goodwill is allocated to that reporting unit. The fair value of the reporting unit is determined by using a discounted cash flow analyses consisting of various assumptions, including expectations of future cash flows based on projections or forecasts derived from analysis of business prospects and economic or market trends that may occur. We use these same expectations in other valuation models throughout our business. In addition to the discounted cash flow analysis, we utilize a leveraged buy-out model, trading comparables and market capitalization to ultimately determine an estimated fair value of our reporting unit based on weighted average calculations from these models. We base our fair value estimates on assumptions we believe to be reasonable but that are unpredictable and inherently uncertain. If the carrying amount exceeds the fair value, further analysis is performed to measure the impairment loss.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market capitalization could fluctuate from time to time. Such fluctuation may be an indicator of possible impairment of goodwill if our market capitalization falls below its book value. If this situation occurs, we perform the required detailed analysis to determine if there is impairment.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was recorded as a result of our annual assessment completed as of September 30, 2023.</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valuation of goodwill is subject to a high degree of judgment, uncertainty and complexity. We believe the future estimates and assumptions used to test for impairment losses on goodwill are reasonable. However, if actual results are not consistent with our estimates or assumptions, we may be exposed to an impairment charge that could be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Accounting for income taxes requires recognition of deferred tax liabilities and assets for the expected future tax consequences of events that have been included in the financial statements or tax returns. Under this method, deferred tax assets and liabilities are determined based on the difference between the financial statement and tax bases of assets and liabilities. These deferred taxes are measured by applying the provisions of tax laws in effect at the balance sheet date, including the impact of the Tax Cuts and Jobs Act enacted on December 22, 2017 (the “Tax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in income the effect of a change in tax rates on deferred tax assets and liabilities in the period that includes the enactment date.</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 full valuation allowance is recorded against our deferred tax. The valuation allowance is based, in part, on our estimate of future taxable income, the expected utilization of federal and state tax loss carryforwards, and credits and the expiration dates of such tax loss carryforwards. Significant assumptions are used in developing the analysis of future taxable income for purposes of determining the valuation allowance for deferred tax assets which, in our opinion, are reasonable under the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in our Consolidated Financial Statements included in Part II, ITEM 8 of this Report, for a full description of recent accounting pronouncements, including the expected dates of adoption and estimated effects on results of operations and financial condition, which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per-share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from one period to another,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22,983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25,611</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17,739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3,651</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11,892</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Deal and transaction</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20,219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2,743</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(7,902)</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warrant amendment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(4,809)</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Sales increased by $1,816, or 4%. Hardware revenues were $20,303, an increase of $408 or 2%. While hardware revenues were effectively flat year over year, the composition in each year was substantially different, with the current year comprised of lower customer concentration (including no customer greater than 19% of hardware revenues) and an increasing number of customers making consistent, repeated purchases of similar solutions on a regular cadence. The prior year included a single customer that represented 43% of hardware revenues.. Services and other revenues were $24,863, an increase of $1,408 or 6%, driven by managed services revenue. Managed services revenue, which includes both SaaS and help desk technical subscription services increased to $15,916 from $14,320. The increase is driven by increasing software subscription revenue, with the annual recurring run rate of our subscription license revenue growing from $14,826 as of December 31, 2022 to $16,336 as of December 31, 2023. This represents a year-over-year growth rate of approximately 11% in our higher margin, typically subscription-based, managed service revenue.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Gross profit increased $4,444 to $22,183 from $17,739, or 25%, through a combination of a 4% increase in revenue and an 8% increase in gross margin percentage. Gross margin increased to 49% from 41% driven by expanding margins in our services revenue and entry into a material, long-term media sales contract for which revenue is recognized on a net basis in the current year.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increased by $1,596, or 44%, driven primarily by the Company’s enhanced investments into sales and marketing activities. Following our acquisition of Reflect via merger (the "Merger"), the Company adopted certain tools, technology, and processes – particularly with respect to lead generation and brand marketing – that were historically undercapitalized by the Company and have since accelerated new customer acquisition. Through completion of the Merger, the Company also acquired a media sales business unit that serves to monetize customer networks via the direct sale of advertising to be displayed on digital advertising networks owned by those customers. This business utilizes internal and third-party sales agents - the salaries and commissions of which are included within Sales and Marketing Expense within the Consolidated Statement of Operations.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generally include personnel and development tools costs associated with the continued development of the Company’s content management systems and other related application development. The Company capitalizes certain of these expenses and amortizes those costs through the Consolidated Statement of Operations on a straight-line basis over the economic useful life of the software feature or functionality. Research and development expenses increased by $323, or 26%, driven primarily by incremental headcount added via completion of the Merger on February 17, 2022, and a higher rate of bug and maintenance work as compared to capitalized activities during the year. Through the Merger, we acquired a fully staffed, experienced software development team and elected to keep that team in-tact, particularly given current competitive employment market conditions with respect to talented software engineers. We integrated the development teams which has enhanced speed to market on new feature and functionality development activities.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$1,097, or 9% driven by a decrease of $1,553 in stock compensation expense as outstanding performance awards were fully expensed as of December 31, 2022. This decrease was partially offset by increased personnel costs as a result of higher headcount following the Merger and scaled up operations in response to an increase in customer acquisition and associated planned deployments.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by $388, or 14%. This was driven by a full year of amortization on the $17,160 in amortizing intangible assets acquired as a result of the Merger. Depreciation was consistent in both periods.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Loans Payable</w:t>
      </w:r>
      <w:r>
        <w:rPr>
          <w:rFonts w:ascii="Times New Roman" w:cs="Times New Roman" w:eastAsia="Times New Roman" w:hAnsi="Times New Roman"/>
          <w:sz w:val="18"/>
          <w:szCs w:val="18"/>
          <w:color w:val="auto"/>
        </w:rPr>
        <w:t xml:space="preserve"> to the Consolidated Financial Statements for a discussion of the Company’s debt and related interest expense obligations.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contingent consideration arrangement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Liability; Loss on Warrant Amendment</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end.See </w:t>
      </w:r>
      <w:r>
        <w:rPr>
          <w:rFonts w:ascii="Times New Roman" w:cs="Times New Roman" w:eastAsia="Times New Roman" w:hAnsi="Times New Roman"/>
          <w:sz w:val="18"/>
          <w:szCs w:val="18"/>
          <w:u w:val="single" w:color="auto"/>
          <w:color w:val="0000EE"/>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Warrants</w:t>
      </w:r>
      <w:r>
        <w:rPr>
          <w:rFonts w:ascii="Times New Roman" w:cs="Times New Roman" w:eastAsia="Times New Roman" w:hAnsi="Times New Roman"/>
          <w:sz w:val="18"/>
          <w:szCs w:val="18"/>
          <w:color w:val="auto"/>
        </w:rPr>
        <w:t xml:space="preserve"> to the Consolidated Financial Statements for a discussion of the Company's warrant activity.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Debt Waiver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2022, in connection with obtaining a waiver of certain restrictions in investment documents between an investor and the Company in order to consummate the financing contemplated by the Company's credit agreement with Slipstream, the Company paid consideration to such investor in the form of a purchaser warrant to purchase 466,667 shares of Company common stock (the “Purchaser Warrant”). The number of shares of Company common stock subject to the Purchaser Warrant was equal to the waiver fee ($175) divided by $0.375 per share. The exercise price of the Purchaser Warrant is $4.23 per share, and the Purchaser Warrant became exercisable on August 17, 2022. The Purchaser Warrant expires on February 17, 2028. On the date of issuance, the Company performed a Black-Scholes valuation of the Purchaser Warrant, resulting in a fair value of $2.5968 per warrant. In recording the warrant liability, the Company recorded an expense in the Consolidated Statement of Operations associated with the issuance of the Purchaser Warrant of $1,212. No such transactions occurred in the current year.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Warrant Amendment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Effective June 30, 2022, the Company amended the terms of certain of its outstanding warrants. The amendments to such warrants removed the holder’s option to determine the value of such warrants utilizing the volume weighted average price (“VWAP”) of the Company’s common stock on the trading day immediately preceding the date of a notice in a cashless exercise, and removed the condition to exercising such warrants that the Company’s shareholders approve the exercise thereof (which had already been obtained). The amendments to the warrants also extended the term of such warrants for an additional one year. As a result of the extension in term provided in exchange for the amendment, the Company reassessed the fair value of each of the affected warrants, resulting in the Company recording a loss on the fair value of these warrants of $345.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Settlement of Obligations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February 17, 2022, the Company refinanced its debt facilities with Slipstream. The Company assessed the combination of the pre-existing senior secured term loan and secured convertible loan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determined the transaction should be accounted for as an extinguishment of debt, in part as the Consolidation Term Loan eliminated a substantive conversion feature. In aggregate the Company recorded a loss on extinguishment of $295, primarily associated with the write-off of pre-existing debt discounts.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Operating Results on a Non-GAAP Basis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earnings before interest, depreciation, and amortization (“EBITDA”) is a performance measure and not a liquidity measure, and therefore a reconciliation between net (loss) income, a GAAP financial measure, and EBITDA and Adjusted EBITDA has been provided. EBITDA should not be considered as an alternative to net (loss) 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 that are included elsewhere in this Report.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6"/>
                <w:szCs w:val="16"/>
                <w:color w:val="auto"/>
              </w:rPr>
            </w:pPr>
          </w:p>
        </w:tc>
        <w:tc>
          <w:tcPr>
            <w:tcW w:w="98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fair value of warrant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settlement of obligations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warrant amendment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loss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 of Safe Space Solutions inventory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Deal and 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413"/>
        </w:trPr>
        <w:tc>
          <w:tcPr>
            <w:tcW w:w="128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Nature of Organization and Operations</w:t>
      </w:r>
      <w:r>
        <w:rPr>
          <w:rFonts w:ascii="Times New Roman" w:cs="Times New Roman" w:eastAsia="Times New Roman" w:hAnsi="Times New Roman"/>
          <w:sz w:val="18"/>
          <w:szCs w:val="18"/>
          <w:color w:val="auto"/>
        </w:rPr>
        <w:t xml:space="preserve"> to the accompanying Consolidated Financial Statements for a detailed discussion of liquidity and financial resources.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cash flows provided by (used in) operating activities were $5,167 and $(708) for the years ended December 31, 2023 and 2022, respectively. The Company generated a net loss of $2,937, which included depreciation and amortization expense (inclusive of amortization of debt discount) of $4,664 and a loss on the change in fair value of contingent consideration of $1,419. The Company generated a $1,261 increase in cash provided by changes in operating assets and liabilities, primarily due to increases in accounts payable, and customer deposits, a decrease in prepaid expenses and other current assets, partially offset by an increase to accounts receivable.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$4,027 as compared to $21,475 for the same period in 2022. The use of cash in the prior year was driven by completion of the Merger. We currently do not have any material commitments for capital expenditures as of December 31, 2023; however, we anticipate a reduction in capital expenditures entering 2024 as we complete the modernization and internationalization of our automotive platform in an effort to capture incremental SaaS-based revenue contracts.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was $137 compared to net cash provided by financing activities of $20,933 for the same period in 2022. The change is the result of the Company’s completion of equity and debt financing in the first quarter of 2022 to facilitate the Merger, which provided net cash of $10,109 and $9,868, respectively. Net cash provided by financing activities during the year ended December 31, 2023, is primarily the result of a common stock offering completed in August 2023, generating cash of $5,454, net of offering expenses, offset by repayments made on the Consolidation Term Loan, Term Loan (2022), and Secured Promissory Note of $2,040, $2,000 and $1,254,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we did not engage in any off-balance sheet arrangements set forth in Item 303(a) (4) of Regulation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Exchange Act, as of the end of the period covered by this Report. Based on that evaluation, our management, including our Chief Executive Officer and Chief Financial Officer, concluded that our disclosure controls and procedures were effective as of December 31, 2023, and designed to ensure that information required to be disclosed by us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6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evaluated the effectiveness of our internal control over financial reporting as of December 31, 2023 based on the framework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Based on our assessment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management believes that we maintained effective internal control over financial reporting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year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quarter ended December 31, 2023, none of the officers (as defined in Exchange Act Rule 16a-1(f)) or directors of the</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Company adopted or terminated a “Rule 10b5-1 trading arrangement,” (as defined in Item 408(a) of Regulation S-K) intended to satisfy the affirmative defense conditions of Exchange Act Rule 10b5-1(c) or any non-Rule 10b5-1 trading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Release</w:t>
      </w:r>
    </w:p>
    <w:p>
      <w:pPr>
        <w:spacing w:after="0" w:line="227"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On March 21, 2024, the Company issued a press release announcing its financial condition and results of operations for the three months and year ended December 31, 2023. A copy of the press release is furnished as Exhibit 99.1 and is incorporated by reference into this Item 9B in lieu of separately furnishing such press release under Item 2.02 of Form 8-K. This disclosure, including Exhibit 99.1 hereto,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2024 Annual Meeting of Shareholders (the "Proxy Statement"), which will be filed with the SEC pursuant to Regulation 14A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as of the close of business on December 31, 2023, regarding equity compensation plans (including individual compensation arrangements) under which our securities were then authorized for issuance.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6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Issuance Under</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42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6420" w:type="dxa"/>
            <w:vAlign w:val="bottom"/>
          </w:tcPr>
          <w:p>
            <w:pPr>
              <w:spacing w:after="0"/>
              <w:rPr>
                <w:sz w:val="20"/>
                <w:szCs w:val="20"/>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0"/>
        </w:trPr>
        <w:tc>
          <w:tcPr>
            <w:tcW w:w="642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(b)</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78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5"/>
                <w:szCs w:val="15"/>
                <w:color w:val="auto"/>
              </w:rPr>
              <w:t xml:space="preserve">1,636,132 </w:t>
            </w:r>
            <w:r>
              <w:rPr>
                <w:rFonts w:ascii="Times New Roman" w:cs="Times New Roman" w:eastAsia="Times New Roman" w:hAnsi="Times New Roman"/>
                <w:sz w:val="24"/>
                <w:szCs w:val="24"/>
                <w:color w:val="auto"/>
                <w:vertAlign w:val="superscript"/>
              </w:rPr>
              <w:t>(1)</w:t>
            </w:r>
          </w:p>
        </w:tc>
        <w:tc>
          <w:tcPr>
            <w:tcW w:w="15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6.51</w:t>
            </w:r>
          </w:p>
        </w:tc>
        <w:tc>
          <w:tcPr>
            <w:tcW w:w="1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2"/>
              </w:rPr>
              <w:t>None</w:t>
            </w:r>
          </w:p>
        </w:tc>
        <w:tc>
          <w:tcPr>
            <w:tcW w:w="20" w:type="dxa"/>
            <w:vAlign w:val="bottom"/>
          </w:tcPr>
          <w:p>
            <w:pPr>
              <w:spacing w:after="0"/>
              <w:rPr>
                <w:sz w:val="18"/>
                <w:szCs w:val="18"/>
                <w:color w:val="auto"/>
              </w:rPr>
            </w:pPr>
          </w:p>
        </w:tc>
      </w:tr>
      <w:tr>
        <w:trPr>
          <w:trHeight w:val="39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1,500,000 </w:t>
            </w:r>
            <w:r>
              <w:rPr>
                <w:rFonts w:ascii="Times New Roman" w:cs="Times New Roman" w:eastAsia="Times New Roman" w:hAnsi="Times New Roman"/>
                <w:sz w:val="29"/>
                <w:szCs w:val="29"/>
                <w:color w:val="auto"/>
                <w:vertAlign w:val="superscript"/>
              </w:rPr>
              <w:t>(2)</w:t>
            </w: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2"/>
              </w:rPr>
              <w:t>None</w:t>
            </w:r>
          </w:p>
        </w:tc>
        <w:tc>
          <w:tcPr>
            <w:tcW w:w="20" w:type="dxa"/>
            <w:vAlign w:val="bottom"/>
          </w:tcPr>
          <w:p>
            <w:pPr>
              <w:spacing w:after="0"/>
              <w:rPr>
                <w:sz w:val="24"/>
                <w:szCs w:val="24"/>
                <w:color w:val="auto"/>
              </w:rPr>
            </w:pPr>
          </w:p>
        </w:tc>
      </w:tr>
    </w:tbl>
    <w:p>
      <w:pPr>
        <w:spacing w:after="0" w:line="20" w:lineRule="exact"/>
        <w:rPr>
          <w:sz w:val="20"/>
          <w:szCs w:val="20"/>
          <w:color w:val="auto"/>
        </w:rPr>
      </w:pPr>
    </w:p>
    <w:p>
      <w:pPr>
        <w:ind w:left="340" w:righ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reflected are issuable upon exercise of outstanding stock options issued under the 2006 Amended and Restated Equity Incentive Plan or the 2014 Stock Incentive Plan. The Company's ability to issue new awards under its 2014 Stock Incentive Plan expired in 2023.</w:t>
      </w:r>
    </w:p>
    <w:p>
      <w:pPr>
        <w:spacing w:after="0" w:line="161"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8, 2023, our Board of Directors adopted the 2023 Plan that authorizes the issuance of up to 1,500,000 shares under such plan. The Company intends to seek shareholder approval of such plan at our 2024 annual shareholder meeting. At this time, no awards have been issued under the 2023 Plan.</w:t>
      </w:r>
    </w:p>
    <w:p>
      <w:pPr>
        <w:spacing w:after="0" w:line="174"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the material features of each of the above plans see </w:t>
      </w:r>
      <w:r>
        <w:rPr>
          <w:rFonts w:ascii="Times New Roman" w:cs="Times New Roman" w:eastAsia="Times New Roman" w:hAnsi="Times New Roman"/>
          <w:sz w:val="18"/>
          <w:szCs w:val="18"/>
          <w:u w:val="single" w:color="auto"/>
          <w:color w:val="0000EE"/>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Stock-based Compensation</w:t>
      </w:r>
      <w:r>
        <w:rPr>
          <w:rFonts w:ascii="Times New Roman" w:cs="Times New Roman" w:eastAsia="Times New Roman" w:hAnsi="Times New Roman"/>
          <w:sz w:val="18"/>
          <w:szCs w:val="18"/>
          <w:color w:val="auto"/>
        </w:rPr>
        <w:t xml:space="preserve"> in our Consolidated Financial Statements included in this Report.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information required by this Item is incorporated by reference from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Proxy Statement.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“Index to Consolidated Financial Statements” on </w:t>
      </w:r>
      <w:r>
        <w:rPr>
          <w:rFonts w:ascii="Times New Roman" w:cs="Times New Roman" w:eastAsia="Times New Roman" w:hAnsi="Times New Roman"/>
          <w:sz w:val="18"/>
          <w:szCs w:val="18"/>
          <w:u w:val="single" w:color="auto"/>
          <w:color w:val="0000EE"/>
        </w:rPr>
        <w:t>page F-1</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“Exhibit Index” on </w:t>
      </w:r>
      <w:r>
        <w:rPr>
          <w:rFonts w:ascii="Times New Roman" w:cs="Times New Roman" w:eastAsia="Times New Roman" w:hAnsi="Times New Roman"/>
          <w:sz w:val="18"/>
          <w:szCs w:val="18"/>
          <w:u w:val="single" w:color="auto"/>
          <w:color w:val="0000EE"/>
        </w:rPr>
        <w:t>page 34</w:t>
      </w:r>
      <w:r>
        <w:rPr>
          <w:rFonts w:ascii="Times New Roman" w:cs="Times New Roman" w:eastAsia="Times New Roman" w:hAnsi="Times New Roman"/>
          <w:sz w:val="18"/>
          <w:szCs w:val="18"/>
          <w:color w:val="auto"/>
        </w:rPr>
        <w:t>.</w:t>
      </w:r>
    </w:p>
    <w:p>
      <w:pPr>
        <w:spacing w:after="0" w:line="26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580" w:type="dxa"/>
            <w:vAlign w:val="bottom"/>
            <w:gridSpan w:val="19"/>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19"/>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Agreement and Plan of Merger, dated as of November 12, 2021, by and between the registrant, CRI Acquisition Corporation, Reflect</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Systems, Inc., and RSI Exit Corporation (incorporated by reference to Exhibit 2.1 to the registrant’s Current Report on Form 8-K filed on</w:t>
              </w:r>
            </w:hyperlink>
          </w:p>
        </w:tc>
        <w:tc>
          <w:tcPr>
            <w:tcW w:w="160" w:type="dxa"/>
            <w:vAlign w:val="bottom"/>
            <w:tcBorders>
              <w:bottom w:val="single" w:sz="8" w:color="CCEEFF"/>
            </w:tcBorders>
            <w:gridSpan w:val="5"/>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November 15,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Amendment to Agreement and Plan of Merger, dated as of February 8, 2022, by and among the registrant, CRI Acquisition Corporation,</w:t>
              </w:r>
            </w:hyperlink>
          </w:p>
        </w:tc>
        <w:tc>
          <w:tcPr>
            <w:tcW w:w="26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Reflect Systems, Inc., and RSI Exit Corporation (incorporated by reference to Exhibit 2.1 to the registrant’s Current Report on Form 8-K</w:t>
              </w:r>
            </w:hyperlink>
          </w:p>
        </w:tc>
        <w:tc>
          <w:tcPr>
            <w:tcW w:w="240" w:type="dxa"/>
            <w:vAlign w:val="bottom"/>
            <w:tcBorders>
              <w:bottom w:val="single" w:sz="8" w:color="CCEEFF"/>
            </w:tcBorders>
            <w:gridSpan w:val="6"/>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filed February 9,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Second Amendment to Agreement and Plan of Merger dated as of February 11, 2023 by and among the registrant, Reflect Systems, Inc. and</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RSI Exit Corporation (incorporated by reference to Exhibit 10.1 to the registrant's Current Report on Form 8-K filed February 15,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Articles of Incorporation, as 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Amended and Restated Bylaws (incorporated by reference to the registrant’s Current Report on Form 8-K filed on November 2, 2011)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Specimen certificate evidencing shares of Common Stock (incorporated by reference to Exhibit 4.2 of the Registrant’s Registration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Statement on Form SB-2 (File No. 333-136972))</w:t>
              </w:r>
            </w:hyperlink>
          </w:p>
        </w:tc>
        <w:tc>
          <w:tcPr>
            <w:tcW w:w="66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Warrant dated January 16, 2018, issued in favor of Slipstream Communications, LLC (incorporated by reference to the registrant’s Form 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 filed with the SEC on June 25, 2018)</w:t>
              </w:r>
            </w:hyperlink>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Warrant to Purchase Common Stock issued to Slipstream Communications, LLC on April 27, 2018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0000EE"/>
                </w:rPr>
                <w:t xml:space="preserve"> of the registrant’s Form S-1 filed with the SEC on June 25, 2018).</w:t>
              </w:r>
            </w:hyperlink>
          </w:p>
        </w:tc>
        <w:tc>
          <w:tcPr>
            <w:tcW w:w="24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Investor Warrant dated June 30, 2022 (incorporated by reference to Exhibit 10.2 of the registrant's Current Report on Form 8-K filed July 7,</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2022)</w:t>
              </w:r>
            </w:hyperlink>
          </w:p>
        </w:tc>
        <w:tc>
          <w:tcPr>
            <w:tcW w:w="1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50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right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Lender Warrant dated June 30, 2022 (incorporated by reference to Exhibit 10.1 of the registrant's Current Report on Form 8-K filed July 7,</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2022)</w:t>
              </w:r>
            </w:hyperlink>
          </w:p>
        </w:tc>
        <w:tc>
          <w:tcPr>
            <w:tcW w:w="1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50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right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Investor Warrant dated June 30, 2022 (incorporated by reference to Exhibit 10.3 of the registrant's Current Report on Form 8-K filed July 7,</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2022)</w:t>
              </w:r>
            </w:hyperlink>
          </w:p>
        </w:tc>
        <w:tc>
          <w:tcPr>
            <w:tcW w:w="1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500" w:type="dxa"/>
            <w:vAlign w:val="bottom"/>
            <w:tcBorders>
              <w:top w:val="single" w:sz="8" w:color="0000EE"/>
            </w:tcBorders>
            <w:shd w:val="clear" w:color="auto" w:fill="CCEEFF"/>
          </w:tcPr>
          <w:p>
            <w:pPr>
              <w:spacing w:after="0"/>
              <w:rPr>
                <w:sz w:val="18"/>
                <w:szCs w:val="18"/>
                <w:color w:val="auto"/>
              </w:rPr>
            </w:pPr>
          </w:p>
        </w:tc>
        <w:tc>
          <w:tcPr>
            <w:tcW w:w="6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right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Employment Agreement dated as of November 12, 2021 by and between the registrant and Rick Mills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November 15, 2021).</w:t>
              </w:r>
            </w:hyperlink>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Employment Agreement dated as of November 12, 2021 by and between the registrant and Will Logan (incorporated by reference to</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80" w:type="dxa"/>
            <w:vAlign w:val="bottom"/>
            <w:tcBorders>
              <w:top w:val="single" w:sz="8" w:color="0000EE"/>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Exhibit 10.2 to the registrant’s Current Report on Form 8-K filed November 15, 2021)</w:t>
              </w:r>
            </w:hyperlink>
          </w:p>
        </w:tc>
        <w:tc>
          <w:tcPr>
            <w:tcW w:w="52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Second Amended and Restated Loan and Security Agreement by and among the registrant, its subsidiaries and Slipstream</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900" w:type="dxa"/>
            <w:vAlign w:val="bottom"/>
            <w:gridSpan w:val="10"/>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gridSpan w:val="7"/>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Communications, LLC (incorporated by reference to Exhibit 10.1 of the registrant’s Current Report on Form 8-K filed 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First Amendment to Second Amended and Restated Loan and Security Agreement (incorporated by reference to Exhibit 10.4 to the</w:t>
              </w:r>
            </w:hyperlink>
          </w:p>
        </w:tc>
        <w:tc>
          <w:tcPr>
            <w:tcW w:w="620" w:type="dxa"/>
            <w:vAlign w:val="bottom"/>
            <w:tcBorders>
              <w:bottom w:val="single" w:sz="8" w:color="CCEEFF"/>
            </w:tcBorders>
            <w:gridSpan w:val="11"/>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registrant's Quarterly Report on Form 10-Q filed with the SEC on November 14,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10,000,000 Acquisition Term Note (incorporated by reference to Exhibit 10.2 of the registrant’s Current Report on Form 8-K filed</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February 18, 2022)</w:t>
              </w:r>
            </w:hyperlink>
          </w:p>
        </w:tc>
        <w:tc>
          <w:tcPr>
            <w:tcW w:w="640" w:type="dxa"/>
            <w:vAlign w:val="bottom"/>
            <w:tcBorders>
              <w:top w:val="single" w:sz="8" w:color="CCEEFF"/>
            </w:tcBorders>
            <w:gridSpan w:val="12"/>
            <w:shd w:val="clear" w:color="auto" w:fill="CCEEFF"/>
          </w:tcPr>
          <w:p>
            <w:pPr>
              <w:spacing w:after="0"/>
              <w:rPr>
                <w:sz w:val="18"/>
                <w:szCs w:val="18"/>
                <w:color w:val="auto"/>
              </w:rPr>
            </w:pPr>
          </w:p>
        </w:tc>
      </w:tr>
      <w:tr>
        <w:trPr>
          <w:trHeight w:val="432"/>
        </w:trPr>
        <w:tc>
          <w:tcPr>
            <w:tcW w:w="1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80" w:type="dxa"/>
            <w:vAlign w:val="bottom"/>
            <w:tcBorders>
              <w:top w:val="single" w:sz="8" w:color="0000EE"/>
            </w:tcBorders>
            <w:gridSpan w:val="2"/>
          </w:tcPr>
          <w:p>
            <w:pPr>
              <w:spacing w:after="0"/>
              <w:rPr>
                <w:sz w:val="24"/>
                <w:szCs w:val="24"/>
                <w:color w:val="auto"/>
              </w:rPr>
            </w:pPr>
          </w:p>
        </w:tc>
        <w:tc>
          <w:tcPr>
            <w:tcW w:w="3820" w:type="dxa"/>
            <w:vAlign w:val="bottom"/>
            <w:tcBorders>
              <w:top w:val="single" w:sz="8" w:color="CCEEFF"/>
            </w:tcBorders>
            <w:gridSpan w:val="7"/>
          </w:tcPr>
          <w:p>
            <w:pPr>
              <w:jc w:val="right"/>
              <w:ind w:right="53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gridSpan w:val="13"/>
          </w:tcPr>
          <w:p>
            <w:pPr>
              <w:ind w:left="1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7,185,319.06 Consolidation Term Note (incorporated by reference to Exhibit 10.3 of the registrant’s Current Report on Form 8-K filed</w:t>
              </w:r>
            </w:hyperlink>
          </w:p>
        </w:tc>
        <w:tc>
          <w:tcPr>
            <w:tcW w:w="32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Note and Security Agreement (incorporated by reference to Exhibit 10.4 of the registrant’s Current Report on Form 8-K filed February 18,</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20"/>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2022)</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First Amendment to Note and Security Agreement (incorporated by reference to Exhibit 10.2 of the registrant's Current Report on Form 8-</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K filed February 15, 2023)</w:t>
              </w:r>
            </w:hyperlink>
          </w:p>
        </w:tc>
        <w:tc>
          <w:tcPr>
            <w:tcW w:w="12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2014 Stock Incentive Plan, as amended (incorporated by reference to Exhibit A to the registrant's definitive proxy statement on Schedule</w:t>
              </w:r>
            </w:hyperlink>
          </w:p>
        </w:tc>
        <w:tc>
          <w:tcPr>
            <w:tcW w:w="22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14A filed with the SEC on June 12,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2023 Stock Incentive Plan (incorporated by reference to Exhibit 10.1 of the registrant's Quarterly Report on Form 10-Q filed November 9,</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20"/>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2023)</w:t>
              </w:r>
            </w:hyperlink>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Retention Bonus Plan (incorporated by reference to Exhibit 10.5 of the registrant’s Current Report on Form 8-K filed 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Retention Bonus Plan Award Agreement (incorporated by reference to Exhibit 10.6 of the registrant’s Current Report on Form 8-K</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filed February 18,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Amendment to Stock Option Agreement dated June 15, 2022 between the Company and Rick Mills (incorporated by reference to Exhibit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 on June 17, 2022)</w:t>
              </w:r>
            </w:hyperlink>
          </w:p>
        </w:tc>
        <w:tc>
          <w:tcPr>
            <w:tcW w:w="22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Amendment to Stock Option Agreement dated June 15, 2022 between the Company and Will Logan (incorporated by reference to Exhibit</w:t>
              </w:r>
            </w:hyperlink>
          </w:p>
        </w:tc>
        <w:tc>
          <w:tcPr>
            <w:tcW w:w="1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Current Report on Form 8-K filed with the SEC on June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Stock Option Agreement dated June 15, 2022 between the Company and Rick Mills (incorporated by reference to Exhibit 10.3 to the</w:t>
              </w:r>
            </w:hyperlink>
          </w:p>
        </w:tc>
        <w:tc>
          <w:tcPr>
            <w:tcW w:w="52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registrant's Current Report on Form 8-K filed with the SEC on June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5"/>
                <w:szCs w:val="15"/>
                <w:color w:val="auto"/>
              </w:rPr>
            </w:pP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Stock Option Agreement dated June 15, 2022 between the Company and Will Logan (incorporated by reference to Exhibit 10.4 to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registrant's Current Report on Form 8-K filed with the SEC on June 17, 2022)</w:t>
              </w:r>
            </w:hyperlink>
          </w:p>
        </w:tc>
        <w:tc>
          <w:tcPr>
            <w:tcW w:w="48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Placement Agency Agreement (incorporated by reference to Exhibit 10.1 of the registrant's Current Report on Form 8-K filed with the SEC</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on August 21,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Code of Business Conduct and Ethics (incorporated by reference to Exhibit 14.1 of the Registrant’s Annual Report on Form 10-K for the</w:t>
              </w:r>
            </w:hyperlink>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fiscal year ended December 31,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Trader Policy</w:t>
            </w:r>
          </w:p>
        </w:tc>
      </w:tr>
      <w:tr>
        <w:trPr>
          <w:trHeight w:val="432"/>
        </w:trPr>
        <w:tc>
          <w:tcPr>
            <w:tcW w:w="1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520" w:type="dxa"/>
            <w:vAlign w:val="bottom"/>
            <w:tcBorders>
              <w:top w:val="single" w:sz="8" w:color="0000EE"/>
            </w:tcBorders>
            <w:gridSpan w:val="4"/>
          </w:tcPr>
          <w:p>
            <w:pPr>
              <w:spacing w:after="0"/>
              <w:rPr>
                <w:sz w:val="24"/>
                <w:szCs w:val="24"/>
                <w:color w:val="auto"/>
              </w:rPr>
            </w:pPr>
          </w:p>
        </w:tc>
        <w:tc>
          <w:tcPr>
            <w:tcW w:w="4100" w:type="dxa"/>
            <w:vAlign w:val="bottom"/>
            <w:tcBorders>
              <w:top w:val="single" w:sz="8" w:color="CCEEFF"/>
            </w:tcBorders>
            <w:gridSpan w:val="5"/>
          </w:tcPr>
          <w:p>
            <w:pPr>
              <w:jc w:val="right"/>
              <w:ind w:right="95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gridSpan w:val="5"/>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List of Subsidiaries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Executive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 13a-14(a).</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 1350.</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99.1*</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21, 2024</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 required to be filed pursuant to Item 15(b) of Form 10-K.</w:t>
      </w:r>
    </w:p>
    <w:p>
      <w:pPr>
        <w:spacing w:after="0" w:line="225" w:lineRule="exact"/>
        <w:rPr>
          <w:sz w:val="20"/>
          <w:szCs w:val="20"/>
          <w:color w:val="auto"/>
        </w:rPr>
      </w:pPr>
    </w:p>
    <w:p>
      <w:pPr>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21, 2024.</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4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r>
      <w:tr>
        <w:trPr>
          <w:trHeight w:val="191"/>
        </w:trPr>
        <w:tc>
          <w:tcPr>
            <w:tcW w:w="4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Logan</w:t>
            </w: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Securities Exchange Act of 1934, this report has been signed below by the following persons on behalf of the registrant and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860" w:type="dxa"/>
            <w:vAlign w:val="bottom"/>
            <w:tcBorders>
              <w:bottom w:val="single" w:sz="8" w:color="auto"/>
            </w:tcBorders>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0" w:type="dxa"/>
            <w:vAlign w:val="bottom"/>
          </w:tcPr>
          <w:p>
            <w:pPr>
              <w:spacing w:after="0"/>
              <w:rPr>
                <w:sz w:val="20"/>
                <w:szCs w:val="20"/>
                <w:color w:val="auto"/>
              </w:rPr>
            </w:pPr>
          </w:p>
        </w:tc>
        <w:tc>
          <w:tcPr>
            <w:tcW w:w="2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Richard Mills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Chairman of the Board of Directors</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Will Logan</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Bell</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David Bell</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Harris</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Donald Harris</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Nesbit</w:t>
            </w: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80" w:type="dxa"/>
            <w:vAlign w:val="bottom"/>
          </w:tcPr>
          <w:p>
            <w:pPr>
              <w:spacing w:after="0"/>
              <w:rPr>
                <w:sz w:val="24"/>
                <w:szCs w:val="24"/>
                <w:color w:val="auto"/>
              </w:rPr>
            </w:pPr>
          </w:p>
        </w:tc>
        <w:tc>
          <w:tcPr>
            <w:tcW w:w="2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21, 2024</w:t>
            </w:r>
          </w:p>
        </w:tc>
      </w:tr>
      <w:tr>
        <w:trPr>
          <w:trHeight w:val="22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Steve Nesbit</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14"/>
        </w:trPr>
        <w:tc>
          <w:tcPr>
            <w:tcW w:w="3940" w:type="dxa"/>
            <w:vAlign w:val="bottom"/>
          </w:tcPr>
          <w:p>
            <w:pPr>
              <w:spacing w:after="0"/>
              <w:rPr>
                <w:sz w:val="24"/>
                <w:szCs w:val="24"/>
                <w:color w:val="auto"/>
              </w:rPr>
            </w:pPr>
          </w:p>
        </w:tc>
        <w:tc>
          <w:tcPr>
            <w:tcW w:w="496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66"/>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1"/>
        </w:trPr>
        <w:tc>
          <w:tcPr>
            <w:tcW w:w="5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No. 34)</w:t>
            </w:r>
          </w:p>
        </w:tc>
        <w:tc>
          <w:tcPr>
            <w:tcW w:w="3500" w:type="dxa"/>
            <w:vAlign w:val="bottom"/>
          </w:tcPr>
          <w:p>
            <w:pPr>
              <w:spacing w:after="0"/>
              <w:rPr>
                <w:sz w:val="24"/>
                <w:szCs w:val="24"/>
                <w:color w:val="auto"/>
              </w:rPr>
            </w:pP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0000EE"/>
              </w:rPr>
              <w:t>F-2</w:t>
            </w:r>
          </w:p>
        </w:tc>
      </w:tr>
      <w:tr>
        <w:trPr>
          <w:trHeight w:val="218"/>
        </w:trPr>
        <w:tc>
          <w:tcPr>
            <w:tcW w:w="5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r>
      <w:tr>
        <w:trPr>
          <w:trHeight w:val="194"/>
        </w:trPr>
        <w:tc>
          <w:tcPr>
            <w:tcW w:w="2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7160" w:type="dxa"/>
            <w:vAlign w:val="bottom"/>
            <w:gridSpan w:val="6"/>
          </w:tcPr>
          <w:p>
            <w:pPr>
              <w:spacing w:after="0"/>
              <w:rPr>
                <w:sz w:val="16"/>
                <w:szCs w:val="16"/>
                <w:color w:val="auto"/>
              </w:rPr>
            </w:pPr>
          </w:p>
        </w:tc>
        <w:tc>
          <w:tcPr>
            <w:tcW w:w="1980" w:type="dxa"/>
            <w:vAlign w:val="bottom"/>
            <w:gridSpan w:val="3"/>
          </w:tcPr>
          <w:p>
            <w:pPr>
              <w:ind w:left="1300"/>
              <w:spacing w:after="0" w:line="194" w:lineRule="exact"/>
              <w:rPr>
                <w:sz w:val="20"/>
                <w:szCs w:val="20"/>
                <w:color w:val="auto"/>
              </w:rPr>
            </w:pPr>
            <w:r>
              <w:rPr>
                <w:rFonts w:ascii="Times New Roman" w:cs="Times New Roman" w:eastAsia="Times New Roman" w:hAnsi="Times New Roman"/>
                <w:sz w:val="18"/>
                <w:szCs w:val="18"/>
                <w:color w:val="0000EE"/>
              </w:rPr>
              <w:t>F-5</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F-6</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gridSpan w:val="2"/>
          </w:tcPr>
          <w:p>
            <w:pPr>
              <w:spacing w:after="0"/>
              <w:rPr>
                <w:sz w:val="17"/>
                <w:szCs w:val="17"/>
                <w:color w:val="auto"/>
              </w:rPr>
            </w:pPr>
          </w:p>
        </w:tc>
        <w:tc>
          <w:tcPr>
            <w:tcW w:w="5720" w:type="dxa"/>
            <w:vAlign w:val="bottom"/>
            <w:gridSpan w:val="2"/>
          </w:tcPr>
          <w:p>
            <w:pPr>
              <w:spacing w:after="0"/>
              <w:rPr>
                <w:sz w:val="17"/>
                <w:szCs w:val="17"/>
                <w:color w:val="auto"/>
              </w:rPr>
            </w:pP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F-8</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80" w:type="dxa"/>
            <w:vAlign w:val="bottom"/>
            <w:gridSpan w:val="3"/>
          </w:tcPr>
          <w:p>
            <w:pPr>
              <w:ind w:left="1300"/>
              <w:spacing w:after="0" w:line="196" w:lineRule="exact"/>
              <w:rPr>
                <w:sz w:val="20"/>
                <w:szCs w:val="20"/>
                <w:color w:val="auto"/>
              </w:rPr>
            </w:pPr>
            <w:r>
              <w:rPr>
                <w:rFonts w:ascii="Times New Roman" w:cs="Times New Roman" w:eastAsia="Times New Roman" w:hAnsi="Times New Roman"/>
                <w:sz w:val="18"/>
                <w:szCs w:val="18"/>
                <w:color w:val="0000EE"/>
              </w:rPr>
              <w:t>F-9</w:t>
            </w:r>
          </w:p>
        </w:tc>
      </w:tr>
      <w:tr>
        <w:trPr>
          <w:trHeight w:val="453"/>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color w:val="auto"/>
                <w:w w:val="95"/>
              </w:rPr>
              <w:t>F-1</w:t>
            </w:r>
          </w:p>
        </w:tc>
        <w:tc>
          <w:tcPr>
            <w:tcW w:w="13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Creative Realities,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Creative Realities, Inc. and subsidiaries (the "Company") as of December 31, 2023 and 2022, the related consolidated statements of operations, shareholders' equity, and cash flows, for each of the two years in the period ended December 31, 2023, and the related notes to the financial statements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is experiencing difficulty in generating sufficient cash flow to service its debt and contingent consideration obligations,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Refer to Notes 2 and 7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as a single reportable segment, operating segment and reporting unit. The Company’s evaluation of goodwill for impairment involves comparing the book value of the reporting unit to its estimated fair value. The Company’s determination of estimated fair value of the reporting unit is based on a discounted cash flow model and market approach. The Company used the discounted cash flow model to estimate fair value which requires management to make significant estimates and assumptions related to the valuation of the reporting unit, including assumptions regarding discount rates and forecasts of future revenue and EBITDA margins. The market approach requires management to make assumptions regarding guideline public company transactions and estimated market multiples. Changes in these assumptions could have a significant impact on either the fair value of the reporting unit, the amount of any goodwill impairment charge, or both.</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annual impairment assessment date is September 30. Accordingly, management performed an impairment assessment as of September 30, 2023. The estimated fair value of the reporting unit exceeded the carrying value as of September 30, 2023 and, therefore, no impairment was recognized.</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identified the valuation of goodwill as a critical audit matter because of the significant estimates and assumptions management made to estimate the fair value of the reporting unit and the highly sensitive nature of Company’s operations to changes in demand. This required a high degree of auditor judgment and an increased extent of effort, including the need to involve internal fair value specialists, when performing audit procedures to evaluate the reasonableness of management’s estimates and assumptions.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significant estimates and assumptions included in the discounted cash flow model, including projected revenues, gross profit, EBITDA, working capital as a percentage of revenue, and capital expenditures, and the selection of the long-term growth rate and discount rate for the reporting unit included the following, among others:</w:t>
      </w:r>
    </w:p>
    <w:p>
      <w:pPr>
        <w:spacing w:after="0" w:line="176" w:lineRule="exact"/>
        <w:rPr>
          <w:sz w:val="20"/>
          <w:szCs w:val="20"/>
          <w:color w:val="auto"/>
        </w:rPr>
      </w:pPr>
    </w:p>
    <w:p>
      <w:pPr>
        <w:ind w:left="660" w:right="1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implementation of management's controls around the valuation of the reporting unit and the selection and review of critical assumptions used in the discounted cash flow and market approaches.</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 gross profit, operating income/EBITDA, and capital expenditures by comparing the forecasts to:</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revenue, gross profit, EBITDA, working capital as a percentage of revenue and capital expenditures;</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 and;</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industry reports for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historical contract win experience to assess whether forecasted revenues are reasonable.</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forecasted assumptions from the prior year to evaluate the credibility of management's forecasting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significant new revenue contracts, we obtained evidence of the executed contract, project timeline, and project scope, as applicable.</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changes in forecasted information from the previous quantitative assessment to the annual assessment date and obtained supporting evidence for any significant changes in forecasted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internal fair value specialists:</w:t>
      </w:r>
    </w:p>
    <w:p>
      <w:pPr>
        <w:spacing w:after="0" w:line="252" w:lineRule="exact"/>
        <w:rPr>
          <w:sz w:val="20"/>
          <w:szCs w:val="20"/>
          <w:color w:val="auto"/>
        </w:rPr>
      </w:pPr>
    </w:p>
    <w:p>
      <w:pPr>
        <w:ind w:left="1300" w:right="560" w:hanging="320"/>
        <w:spacing w:after="0" w:line="234"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reasonableness of the discounted cash flow valuation methodology and performed underlying procedures on the mathematical accuracy of the calculations.</w:t>
      </w:r>
    </w:p>
    <w:p>
      <w:pPr>
        <w:spacing w:after="0" w:line="39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selection of guideline public companies and selection of multiples utilized within the market approach.</w:t>
      </w:r>
    </w:p>
    <w:p>
      <w:pPr>
        <w:spacing w:after="0" w:line="224" w:lineRule="exact"/>
        <w:rPr>
          <w:rFonts w:ascii="Times New Roman" w:cs="Times New Roman" w:eastAsia="Times New Roman" w:hAnsi="Times New Roman"/>
          <w:sz w:val="22"/>
          <w:szCs w:val="22"/>
          <w:color w:val="auto"/>
        </w:rPr>
      </w:pPr>
    </w:p>
    <w:p>
      <w:pPr>
        <w:ind w:left="1300" w:hanging="320"/>
        <w:spacing w:after="0" w:line="234"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reasonableness of the long-term growth rate used in the discounted cash flow model by comparing the information used by the Company to third party economic and industry related information.</w:t>
      </w:r>
    </w:p>
    <w:p>
      <w:pPr>
        <w:spacing w:after="0" w:line="199" w:lineRule="exact"/>
        <w:rPr>
          <w:rFonts w:ascii="Times New Roman" w:cs="Times New Roman" w:eastAsia="Times New Roman" w:hAnsi="Times New Roman"/>
          <w:sz w:val="22"/>
          <w:szCs w:val="22"/>
          <w:color w:val="auto"/>
        </w:rPr>
      </w:pPr>
    </w:p>
    <w:p>
      <w:pPr>
        <w:ind w:left="1300" w:right="200" w:hanging="320"/>
        <w:spacing w:after="0" w:line="239"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reasonableness of the discount rate used in the discounted cash flow model by testing the underlying source information, developing an independent range of estimated discount rates and comparing that range to the discount rate selected by the Company.</w:t>
      </w:r>
    </w:p>
    <w:p>
      <w:pPr>
        <w:spacing w:after="0" w:line="199" w:lineRule="exact"/>
        <w:rPr>
          <w:rFonts w:ascii="Times New Roman" w:cs="Times New Roman" w:eastAsia="Times New Roman" w:hAnsi="Times New Roman"/>
          <w:sz w:val="22"/>
          <w:szCs w:val="22"/>
          <w:color w:val="auto"/>
        </w:rPr>
      </w:pPr>
    </w:p>
    <w:p>
      <w:pPr>
        <w:ind w:left="1300" w:right="240" w:hanging="320"/>
        <w:spacing w:after="0" w:line="234"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reasonableness of the company-specific risk premium used in the discounted cash flow model by comparing the risk premium to a range based on our independent research of the facts and circumstances.</w:t>
      </w:r>
    </w:p>
    <w:p>
      <w:pPr>
        <w:spacing w:after="0" w:line="199" w:lineRule="exact"/>
        <w:rPr>
          <w:rFonts w:ascii="Times New Roman" w:cs="Times New Roman" w:eastAsia="Times New Roman" w:hAnsi="Times New Roman"/>
          <w:sz w:val="22"/>
          <w:szCs w:val="22"/>
          <w:color w:val="auto"/>
        </w:rPr>
      </w:pPr>
    </w:p>
    <w:p>
      <w:pPr>
        <w:ind w:left="1300" w:right="20" w:hanging="320"/>
        <w:spacing w:after="0" w:line="234" w:lineRule="auto"/>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evaluated the reasonableness of the control premiums used by management and management’s valuation specialists by developing an independent range of control premiums and comparing that range to the rate selected by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Kentucky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vMerge w:val="restart"/>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6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66,015</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portion of Secured Promissory Note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Consolidation Term Loan, net of $747 and $745 discount, respectively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related party Term Loan (2022)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Secured Promissory Note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Acquisition Term Loan, net of $787 and $1,484 discount, respectively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related party Consolidation Term Loan, net of $94 and $840 discount, respectively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Contingent consideration, at fair value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40,436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10,409 and 7,266 shares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2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19,895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43,350</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and transaction costs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warrant amendment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settlement of obligations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(2,937)</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 - basic</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20" w:type="dxa"/>
            <w:vAlign w:val="bottom"/>
            <w:gridSpan w:val="2"/>
            <w:shd w:val="clear" w:color="auto" w:fill="CCEEFF"/>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 - diluted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20" w:type="dxa"/>
            <w:vAlign w:val="bottom"/>
            <w:gridSpan w:val="2"/>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8,479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6,664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6,664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3860" w:type="dxa"/>
            <w:vAlign w:val="bottom"/>
            <w:gridSpan w:val="6"/>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20" w:type="dxa"/>
            <w:vAlign w:val="bottom"/>
            <w:gridSpan w:val="10"/>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SHAREHOLDERS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2023 and 2022</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6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tc>
        <w:tc>
          <w:tcPr>
            <w:tcW w:w="1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7,266,382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28,554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60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pursuant to the Retention Bonus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62,475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3,000,000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10,409,027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82,073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tc>
        <w:tc>
          <w:tcPr>
            <w:tcW w:w="1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4,002,843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vendors as compensation</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41,369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60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Shares issued and warrants exercised in private investment in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entity ("PIPE")</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2,388,836</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Reflect Systems, Inc. Merger</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833,334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repricing events</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amendment</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7,266,382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(2,937)</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be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change in fair value of contingent consideration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change in fair value of warrants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warrant amendment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settlement of obligations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of internal and external labor for software development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(21,475)</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Acquisition Term Loan, net of offering expenses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&amp; exercise of pre-funded warrants in PIPE,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 (2022)</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common stock in PIPE,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Consolidated Term Loan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Term Loan (2022)</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Secured Promissory Note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Creative Realities Canada, Inc., a Canadian corporation, and Reflect Systems, Inc. ("Reflect"), a Delaware corporation.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March 23, 2023, the Company filed Articles of Amendment with the Secretary of State of the State of Minnesota to effectuate, effective March 27, 2023, a 1-for-3 reverse stock split of the shares of the Company's common stock, par value $0.01 per share. All share and per share information (including share and per share information related to share-based compensation) has been retroactively adjusted to reflect the reverse stock split within this Report.</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reductions in the number of shares of common stock issuable upon exercising or vesting of equity awards in proportion to the reverse stock split and proportionate increases in exercise price or share-based performance criteria, if any, applicable to such awards. Similarly, the number of shares of common stock issuable upon exercise of outstanding warrants were reduced in proportion to the reverse stock split, and the exercise prices of outstanding warrants were proportionately increased.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17, 2023, the Company completed a public offering for the sale by the Company of an aggregate of 3,000,000 shares of common stock, par value $0.01 per share at a public offering price of $2.00 per share and received approximately $5,454 in net proceeds, after deducting underwriting fees of $478 and offering costs of $68.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Liquidity and Financial Condition</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Consolidated Financial Statements are issued.</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December 31, 2023, the Company has an accumulated deficit of $53,346, negative working capital of $1,587, including current debt obligations of $3,690, and cash of $2,910. For the year ended December 31, 2023, the Company generated operating income of $1,346 and generated positive net cash flows from operations of $5,167. Pursuant to the Second Amended and Restated Credit and Security Agreement (the "Credit Agreement") between the Company and Slipstream Communications, LLC ("Slipstream"), the Company is required and began to make monthly repayments of principal on the Consolidation Term Loan on September 1, 2023. The monthly principal payment is approximately $370 and will continue on the first day of each month thereafter until the Maturity Date on February 17, 2025, with total principal repayments of $4,037 during the twelve months subsequent to the reporting date of these Consolidated Financial Statements. In addition, the Company is required to repay the principal balance on the Acquisition Term Loan of $10,000 at maturity and resolve the contingent consideration, currently estimated for accounting purposes at $11,208, each of which mature on February 17, 2025. The Company does not have sufficient cash on hand or liquidity to make these principal repayments. The conditions and events raise substantial doubt about the Company's ability to continue as a going concern under the technical framework within ASU 205-40.</w:t>
      </w:r>
    </w:p>
    <w:p>
      <w:pPr>
        <w:spacing w:after="0" w:line="194"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7"/>
          <w:szCs w:val="17"/>
          <w:color w:val="auto"/>
        </w:rPr>
        <w:t>In response to these conditions, the Company plans to evaluate its available options for refinancing, via recapitalization, debt financing or equity financing, its upcoming obligations associated with the Acquisition Term Loan, Consolidation Term Loan, and contingent consideration. However, these plans have not been finalized, are subject to market conditions, and are not within the Company’s control, and therefore cannot be deemed probable. As a result, the Company has concluded that management's plans do not alleviate substantial doubt about the Company's ability to continue as a going concern.</w:t>
      </w:r>
    </w:p>
    <w:p>
      <w:pPr>
        <w:spacing w:after="0" w:line="16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instructions to Form 10-K and Article 8 of Regulation S-X and include all of the information and disclosures required by generally accepted accounting principles in the United States of America (“GAAP”) for annual financial reporting.</w:t>
      </w:r>
    </w:p>
    <w:p>
      <w:pPr>
        <w:spacing w:after="0" w:line="176"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Creative Realities, Inc. and our wholly owned subsidiaries Allure Global Solutions, Inc., Creative Realities Canada, Inc., and Reflect Systems, Inc. All intercompany balances and transactions have been eliminated in consolidation, as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and Adopted Accounting Pronouncements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which requires entities to estimate expected lifetime credit losses on financial assets and provide expanded disclosures. This ASU replaced the incurred loss methodology with one that reflects expected credit losses and requires consideration of a broader range of reasonable and supportable information to inform credit loss estimates. We adopted ASU No. 2016-13 on January 1, 2023. The adoption of this guidance did not have a material impact on the Company's Consolidated Financial Statements, as the Company's primary financial assets are its trade accounts receivable, which are short-term financings under industry standard credit and trade terms.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No.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Accounting for Convertible Instruments and 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(ASU 2020-06)</w:t>
      </w:r>
      <w:r>
        <w:rPr>
          <w:rFonts w:ascii="Times New Roman" w:cs="Times New Roman" w:eastAsia="Times New Roman" w:hAnsi="Times New Roman"/>
          <w:sz w:val="18"/>
          <w:szCs w:val="18"/>
          <w:color w:val="auto"/>
        </w:rPr>
        <w:t>, which simplifies the accounting for convertible instruments by reducing the number of accounting models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We do not expect the adoption of this guidance to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Revenue Recognition</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w:t>
      </w:r>
    </w:p>
    <w:p>
      <w:pPr>
        <w:spacing w:after="0" w:line="271" w:lineRule="auto"/>
        <w:rPr>
          <w:sz w:val="20"/>
          <w:szCs w:val="20"/>
          <w:color w:val="auto"/>
        </w:rPr>
      </w:pPr>
      <w:r>
        <w:rPr>
          <w:rFonts w:ascii="Times New Roman" w:cs="Times New Roman" w:eastAsia="Times New Roman" w:hAnsi="Times New Roman"/>
          <w:sz w:val="17"/>
          <w:szCs w:val="17"/>
          <w:color w:val="auto"/>
        </w:rPr>
        <w:t>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Allowance for Credit Losses</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Consolidated Balance Sheets.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from December 31, 2021 to December 31, 2023: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accrued</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96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top w:val="single" w:sz="8" w:color="CCEEFF"/>
            </w:tcBorders>
          </w:tcPr>
          <w:p>
            <w:pPr>
              <w:spacing w:after="0"/>
              <w:rPr>
                <w:sz w:val="18"/>
                <w:szCs w:val="18"/>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accrued</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r>
      <w:tr>
        <w:trPr>
          <w:trHeight w:val="249"/>
        </w:trPr>
        <w:tc>
          <w:tcPr>
            <w:tcW w:w="9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Inventories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reserve for obsolete inventory at December 31, 2023 and 2022 was $160 and $1,777, respectively. The Company disposed of $1,707 related to Safe Space Solutions during the year ended December 31, 2023, all of which was fully reserved at December 31, 2022. The Company is no longer actively promoting the sale of our Safe Space Solutions or purchasing inventory to support such solutions.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Impairment of Long-Lived Assets</w:t>
      </w:r>
    </w:p>
    <w:p>
      <w:pPr>
        <w:spacing w:after="0" w:line="22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Basic and Diluted Income/(Loss) per Common Share</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Basic and diluted (loss) income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6,223,134 and 7,360,271 at December 31, 2023 and 2022, respectively were excluded from the computation of (loss) income per share as the strike price on the options and warrants were higher than the Company's market price and therefore anti-dilutive.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Income Taxes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December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 Goodwill and Definite-Lived Intangible Assets</w:t>
      </w:r>
    </w:p>
    <w:p>
      <w:pPr>
        <w:spacing w:after="0" w:line="22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follow the provisions of ASC 350, Goodwill and Other Intangible Assets.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Use of Estimates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Property and Equipment</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Depreciation is provided for in amounts sufficient to relate the cost of depreciable assets to operations over the estimated service lives, principally using straight-line methods. Leasehold improvements are amortized over the shorter of the life of the improvement or the lease term, using the straight-line method.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depreciable assets</w:t>
            </w:r>
          </w:p>
        </w:tc>
        <w:tc>
          <w:tcPr>
            <w:tcW w:w="3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r>
      <w:tr>
        <w:trPr>
          <w:trHeight w:val="21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4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480" w:type="dxa"/>
            <w:vAlign w:val="bottom"/>
          </w:tcPr>
          <w:p>
            <w:pPr>
              <w:spacing w:after="0"/>
              <w:rPr>
                <w:sz w:val="24"/>
                <w:szCs w:val="24"/>
                <w:color w:val="auto"/>
              </w:rPr>
            </w:pPr>
          </w:p>
        </w:tc>
        <w:tc>
          <w:tcPr>
            <w:tcW w:w="450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F- 13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1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estimated useful lives used to compute depreciation and amortization are as follows:</w:t>
            </w: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Useful life assigned (in years)</w:t>
            </w:r>
          </w:p>
        </w:tc>
        <w:tc>
          <w:tcPr>
            <w:tcW w:w="100" w:type="dxa"/>
            <w:vAlign w:val="bottom"/>
          </w:tcPr>
          <w:p>
            <w:pPr>
              <w:spacing w:after="0"/>
              <w:rPr>
                <w:sz w:val="24"/>
                <w:szCs w:val="24"/>
                <w:color w:val="auto"/>
              </w:rPr>
            </w:pPr>
          </w:p>
        </w:tc>
      </w:tr>
      <w:tr>
        <w:trPr>
          <w:trHeight w:val="209"/>
        </w:trPr>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4100" w:type="dxa"/>
            <w:vAlign w:val="bottom"/>
            <w:gridSpan w:val="2"/>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9"/>
              </w:rPr>
              <w:t>3 – 5</w:t>
            </w:r>
          </w:p>
        </w:tc>
      </w:tr>
      <w:tr>
        <w:trPr>
          <w:trHeight w:val="216"/>
        </w:trPr>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1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9"/>
              </w:rPr>
              <w:t>3 – 5</w:t>
            </w:r>
          </w:p>
        </w:tc>
      </w:tr>
      <w:tr>
        <w:trPr>
          <w:trHeight w:val="216"/>
        </w:trPr>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00" w:type="dxa"/>
            <w:vAlign w:val="bottom"/>
            <w:gridSpan w:val="2"/>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9"/>
              </w:rPr>
              <w:t>Shorter of 5 years or term of lease</w:t>
            </w: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$166 and $131 for the years ended December 31, 2023 and 2022, respectively. During the year ended December 31, 2023, the Company disposed of certain fully depreciated fixed assets with an acquisition value of $150, no such disposals occurred during the year ended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 Research and Development and Software Development Costs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development personnel and non-employee contractor costs related to the development of new products and services, enhancement of existing products and services, quality assurance and testing. The Company capitalizes its costs incurred for additional functionality to its internal software. We capitalized approximately $3,366 and $4,444 for the years ended December 31, 2023 and 2022, respectively. These software development costs include both enhancements and upgrades of our customer-based systems including functionality of our internal information systems to aid in our productivity, profitability and customer relationship management. We are amortizing these costs over 3 years once the new projects are completed and placed in service. These costs are included in other intangible assets, net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 Contingent Consideration</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previously recorded warrant liabilities that were measured at fair value on a recurring basis using a binomial option pricing model.</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19,895</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18"/>
                <w:szCs w:val="18"/>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23,455</w:t>
            </w:r>
          </w:p>
        </w:tc>
      </w:tr>
      <w:tr>
        <w:trPr>
          <w:trHeight w:val="209"/>
        </w:trPr>
        <w:tc>
          <w:tcPr>
            <w:tcW w:w="7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43,350</w:t>
            </w:r>
          </w:p>
        </w:tc>
      </w:tr>
      <w:tr>
        <w:trPr>
          <w:trHeight w:val="413"/>
        </w:trPr>
        <w:tc>
          <w:tcPr>
            <w:tcW w:w="78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System hardware sales</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license sales</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 are classified as “Managed Services” within our disaggregated revenue.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Installation services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 Installation services revenues are classified as “Installation Services” within our disaggregated revenue.</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“Other Services” within our disaggregated revenue.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generally do not own the physical structures on which digital advertising we sell is displayed but instead sell advertising or sponsorship opportunities on behalf of our media network owners to our brands and advertisers..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facilitates billing advertisers on behalf of our customers and does not remit the net cash to our customer until the advertiser has paid the Company the fees owed for such advertising. 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 Media revenues are classified as “Other Services” within our disaggregated revenue.</w:t>
      </w:r>
    </w:p>
    <w:p>
      <w:pPr>
        <w:spacing w:after="0" w:line="18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 of Operations within Sales and Marketing expenses.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perpetual license sales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Rarely, the Company sells perpetual licenses to its software products under legacy contractual arrangements (as opposed to subscription licenses). These sales include revenue from the sale of a perpetual license to customers that host their own instances of our software. These services traditionally are accompanied by the sale of maintenance and support services contracts. Perpetual license revenue is classified as "Other Services" within our disaggregated revenue.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BUSINESS COMBINATION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November 12, 2021, the Company and Reflect, entered into an Agreement and Plan of Merger (as amended on February 8, 2022 and February 11, 2023, the “Merger Agreement") pursuant to which a direct, wholly owned subsidiary of Creative Realities, CRI Acquisition Corporation, would merge with and into Reflect, with Reflect surviving the merger and becoming our wholly owned subsidiary, which transaction is referred to herein as the “Merger.” On February 17, 2022, the parties consummated the Merger.</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Closing, Reflect stockholders as of the effective time of the Merger collectively received from the Company, in the aggregate, the following Merger consideration: (i) $16,166 in cash, (ii) 777,778 shares of common stock of Creative Realities (valued based on an issuance price of $6 per share) (the “CREX Shares”), and (iii) the Secured Promissory Note (as described below). In addition, the Merger Agreement requires the Company to pay to the Reflect stockholders additional contingent supplemental cash payments (the “Guaranteed Consideration”), if any, payable on or after February 17, 2025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The Company has recorded contingent liabilities related to the Guaranteed Consideration to reflect the Company's 1-for-3 reverse stock split that occurred on March 23, 2023. At or before December 31, 2022, the condition of certain customers of Reflect collectively to achieve over 85,000 billable devices online was not met. Accordingly, the amount of the Company's potential liability related to the contingent consideration was reduced at December 31, 2022 from $21.60 per share to $19.20 per share, a reduction of $2.40 per share.</w:t>
      </w:r>
    </w:p>
    <w:p>
      <w:pPr>
        <w:spacing w:after="0" w:line="1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The Merger Agreement provides that if the Extension Threshold Price is less than 80% of the Guaranteed Price, then the Guaranteed Price will be increased by $1.00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Merger, the Company adopted a Retention Bonus Plan and raised capital to, among other things, pay the cash portion of the Merger consideration. The Retention Bonus Plan is described below.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Retention Bonus Plan</w:t>
      </w:r>
    </w:p>
    <w:p>
      <w:pPr>
        <w:spacing w:after="0" w:line="22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On February 17, 2022, in connection with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was paid on February 17, 2023 (the one-year anniversary of Closing) and 25% was paid on February 17, 2024 (the two-year anniversary of the Closing). In connection with the closing of the Merger, the future cash payments due on the one-year and two-year anniversaries of the Closing were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was issued on February 17, 2023 (the one-year anniversary of Closing) and the remaining 25% of the value of such shares will be issued on February 17, 2024 (the two-year anniversary of the Closing). The shares issued on the Closing were valued at $6.00 per share. The shares issued on the one-year anniversary were valued at $2.22 based on the value of shares issuable divided by the trailing 10-day volume weighted average price ("VWAP") of the shares as of February 17, 2023 as reported on the Nasdaq Capital Market. The Company issued 62,475 shares to key members of Reflect's management team pursuant to the Retention Bonus Plan. Certain participants made an election to have stock withheld to cover applicable withholding taxes. In such cases, the Company reduced the stock award issued to the employee and settled the employees tax liability by remitting cash to the applicable taxing authorities. The shares issued on the two-year anniversary were valued at $3.29 based on the value of shares issuable divided by the trailing 10-day volume weighted average price ("VWAP") of the shares as of February 17, 2024 as reported on the Nasdaq Capital Market. The Company issued 37,632 shares to key members of Reflect's management team pursuant to the Retention Bonus</w:t>
      </w:r>
    </w:p>
    <w:p>
      <w:pPr>
        <w:spacing w:after="0" w:line="1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Plan. Certain participants made an election to have stock withheld to cover applicable withholding taxes. In such cases, the Company reduced the stock award issued to the employee and settled the employees tax liability by remitting cash to the applicable taxing authorities.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Purchase price</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9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preliminary purchase price of Reflect consisted of the following items: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9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80" w:type="dxa"/>
            <w:vAlign w:val="bottom"/>
          </w:tcPr>
          <w:p>
            <w:pPr>
              <w:spacing w:after="0"/>
              <w:rPr>
                <w:sz w:val="24"/>
                <w:szCs w:val="24"/>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for Reflect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16,664</w:t>
            </w:r>
            <w:r>
              <w:rPr>
                <w:rFonts w:ascii="Times New Roman" w:cs="Times New Roman" w:eastAsia="Times New Roman" w:hAnsi="Times New Roman"/>
                <w:sz w:val="14"/>
                <w:szCs w:val="14"/>
                <w:color w:val="auto"/>
              </w:rPr>
              <w:t>(1)</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for Retention Bonus Plan</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r>
              <w:rPr>
                <w:rFonts w:ascii="Times New Roman" w:cs="Times New Roman" w:eastAsia="Times New Roman" w:hAnsi="Times New Roman"/>
                <w:sz w:val="14"/>
                <w:szCs w:val="14"/>
                <w:color w:val="auto"/>
              </w:rPr>
              <w:t>(2)</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Reflect shareholders</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4,667</w:t>
            </w:r>
            <w:r>
              <w:rPr>
                <w:rFonts w:ascii="Times New Roman" w:cs="Times New Roman" w:eastAsia="Times New Roman" w:hAnsi="Times New Roman"/>
                <w:sz w:val="14"/>
                <w:szCs w:val="14"/>
                <w:color w:val="auto"/>
              </w:rPr>
              <w:t>(3)</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Retention Bonus Plan</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4"/>
                <w:szCs w:val="14"/>
                <w:color w:val="auto"/>
              </w:rPr>
              <w:t>(4)</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Promissory Note</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r>
              <w:rPr>
                <w:rFonts w:ascii="Times New Roman" w:cs="Times New Roman" w:eastAsia="Times New Roman" w:hAnsi="Times New Roman"/>
                <w:sz w:val="14"/>
                <w:szCs w:val="14"/>
                <w:color w:val="auto"/>
              </w:rPr>
              <w:t>(5)</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w:t>
            </w:r>
            <w:r>
              <w:rPr>
                <w:rFonts w:ascii="Times New Roman" w:cs="Times New Roman" w:eastAsia="Times New Roman" w:hAnsi="Times New Roman"/>
                <w:sz w:val="14"/>
                <w:szCs w:val="14"/>
                <w:color w:val="auto"/>
              </w:rPr>
              <w:t>(6)</w:t>
            </w:r>
          </w:p>
        </w:tc>
      </w:tr>
      <w:tr>
        <w:trPr>
          <w:trHeight w:val="209"/>
        </w:trPr>
        <w:tc>
          <w:tcPr>
            <w:tcW w:w="9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10"/>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Vendor deposit with the Company</w:t>
            </w:r>
          </w:p>
        </w:tc>
        <w:tc>
          <w:tcPr>
            <w:tcW w:w="120" w:type="dxa"/>
            <w:vAlign w:val="bottom"/>
          </w:tcPr>
          <w:p>
            <w:pPr>
              <w:spacing w:after="0"/>
              <w:rPr>
                <w:sz w:val="18"/>
                <w:szCs w:val="18"/>
                <w:color w:val="auto"/>
              </w:rPr>
            </w:pPr>
          </w:p>
        </w:tc>
        <w:tc>
          <w:tcPr>
            <w:tcW w:w="160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5"/>
                <w:szCs w:val="15"/>
                <w:color w:val="auto"/>
              </w:rPr>
              <w:t>(818)</w:t>
            </w:r>
            <w:r>
              <w:rPr>
                <w:rFonts w:ascii="Times New Roman" w:cs="Times New Roman" w:eastAsia="Times New Roman" w:hAnsi="Times New Roman"/>
                <w:sz w:val="24"/>
                <w:szCs w:val="24"/>
                <w:color w:val="auto"/>
                <w:vertAlign w:val="superscript"/>
              </w:rPr>
              <w:t>(7)</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6"/>
                <w:szCs w:val="16"/>
                <w:color w:val="auto"/>
              </w:rPr>
              <w:t>(812)</w:t>
            </w:r>
            <w:r>
              <w:rPr>
                <w:rFonts w:ascii="Times New Roman" w:cs="Times New Roman" w:eastAsia="Times New Roman" w:hAnsi="Times New Roman"/>
                <w:sz w:val="25"/>
                <w:szCs w:val="25"/>
                <w:color w:val="auto"/>
                <w:vertAlign w:val="superscript"/>
              </w:rPr>
              <w:t>(8)</w:t>
            </w:r>
          </w:p>
        </w:tc>
      </w:tr>
      <w:tr>
        <w:trPr>
          <w:trHeight w:val="209"/>
        </w:trPr>
        <w:tc>
          <w:tcPr>
            <w:tcW w:w="9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consideration transferred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280" w:type="dxa"/>
            <w:vAlign w:val="bottom"/>
            <w:tcBorders>
              <w:top w:val="single" w:sz="8" w:color="CCEEFF"/>
            </w:tcBorders>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for outstanding shares of Reflect capital stock per Merger Agreement.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utilized to fund the Retention Bonus Plan per Merger Agreement.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common stock issued in exchange for outstanding shares of Reflect capital stock per Merger Agreement.</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common stock issued to fund initial issuances under the Retention Bonus Plan per Merger Agreement.</w:t>
      </w:r>
    </w:p>
    <w:p>
      <w:pPr>
        <w:spacing w:after="0" w:line="225" w:lineRule="exact"/>
        <w:rPr>
          <w:rFonts w:ascii="Times New Roman" w:cs="Times New Roman" w:eastAsia="Times New Roman" w:hAnsi="Times New Roman"/>
          <w:sz w:val="18"/>
          <w:szCs w:val="18"/>
          <w:color w:val="auto"/>
        </w:rPr>
      </w:pPr>
    </w:p>
    <w:p>
      <w:pPr>
        <w:ind w:left="240" w:right="80" w:hanging="232"/>
        <w:spacing w:after="0" w:line="256"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Promissory Note accrued interest at 0.59% (the applicable federal rate at the time of issuance of the Secured Promissory Note) and required the Company and Reflect to collectively pay equal monthly principal installments of $104 on the fifteenth (15th) day of each month, commencing on March 15, 2022. On February 11, 2023, the Company and the Stockholders’ Representative executed an amendment (the “Note Amendment”) to the Secured Promissory Note. The Note Amendment eliminated the balloon payment, extending the maturity date for a one-year period, to February 17, 2024. During the extended period, the Company continued to make monthly principal payments of $104, and the annual interest rate on the outstanding principal increased from 0.59% to 4.60%, which will accrue and is payable in full on the new maturity date.</w:t>
      </w:r>
    </w:p>
    <w:p>
      <w:pPr>
        <w:spacing w:after="0" w:line="187" w:lineRule="exact"/>
        <w:rPr>
          <w:rFonts w:ascii="Times New Roman" w:cs="Times New Roman" w:eastAsia="Times New Roman" w:hAnsi="Times New Roman"/>
          <w:sz w:val="18"/>
          <w:szCs w:val="18"/>
          <w:color w:val="auto"/>
        </w:rPr>
      </w:pPr>
    </w:p>
    <w:p>
      <w:pPr>
        <w:ind w:left="240" w:right="140" w:hanging="232"/>
        <w:spacing w:after="0" w:line="258"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the fair value of the Guaranteed Consideration as of the Merger, which, if any, is payable on or after February 17, 2025 (subject to the Extension Option), in an amount by which the value of the CREX Shares on such anniversary is less than $6.40 per share, multiplied by the amount of CREX Shares held by the Reflect stockholders on the Guarantee Date (subject to the Extension Option), subject to the terms of the Merger Agreement. The Company has recorded contingent liabilities related to the Guaranteed Consideration to reflect the Company's 1-for-3 reverse stock split that occurred on March 23, 2023.</w:t>
      </w:r>
    </w:p>
    <w:p>
      <w:pPr>
        <w:spacing w:after="0" w:line="183" w:lineRule="exact"/>
        <w:rPr>
          <w:rFonts w:ascii="Times New Roman" w:cs="Times New Roman" w:eastAsia="Times New Roman" w:hAnsi="Times New Roman"/>
          <w:sz w:val="18"/>
          <w:szCs w:val="18"/>
          <w:color w:val="auto"/>
        </w:rPr>
      </w:pPr>
    </w:p>
    <w:p>
      <w:pPr>
        <w:ind w:left="240" w:right="60" w:hanging="232"/>
        <w:spacing w:after="0" w:line="282"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Reflect had engaged the Company on a project and paid the Company a deposit of $818. These amounts reduced consideration paid by the Company in accordance with ASC 805.</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Reflect cash balance acquired at Closing.</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$444 of direct transaction costs related to the Reflect Merger for the year ended December 31, 2022. These costs are included in deal and transaction expense in the accompanying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accounted for the Merger using the acquisition method of accounting. The final allocation of the purchase price is based on the fair value of assets acquired and liabilities assumed as of February 17, 2022, which included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Definite-lived trade names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Definite-lived developed technology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Definite-lived customer relationships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Definite-lived noncompete agreements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09"/>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consideration transferred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in the identification and calculation of the fair value of those separately identifiable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completed its valuation procedures by asset utilizing the following approaches:</w:t>
      </w:r>
    </w:p>
    <w:p>
      <w:pPr>
        <w:spacing w:after="0" w:line="225" w:lineRule="exact"/>
        <w:rPr>
          <w:sz w:val="20"/>
          <w:szCs w:val="20"/>
          <w:color w:val="auto"/>
        </w:rPr>
      </w:pPr>
    </w:p>
    <w:p>
      <w:pPr>
        <w:ind w:left="980" w:right="40"/>
        <w:spacing w:after="0" w:line="266" w:lineRule="auto"/>
        <w:tabs>
          <w:tab w:leader="none" w:pos="12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spacing w:after="0" w:line="175" w:lineRule="exact"/>
        <w:rPr>
          <w:rFonts w:ascii="Times New Roman" w:cs="Times New Roman" w:eastAsia="Times New Roman" w:hAnsi="Times New Roman"/>
          <w:sz w:val="18"/>
          <w:szCs w:val="18"/>
          <w:color w:val="auto"/>
        </w:rPr>
      </w:pPr>
    </w:p>
    <w:p>
      <w:pPr>
        <w:ind w:left="980" w:right="360"/>
        <w:spacing w:after="0" w:line="261" w:lineRule="auto"/>
        <w:tabs>
          <w:tab w:leader="none" w:pos="12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spacing w:after="0" w:line="179" w:lineRule="exact"/>
        <w:rPr>
          <w:rFonts w:ascii="Times New Roman" w:cs="Times New Roman" w:eastAsia="Times New Roman" w:hAnsi="Times New Roman"/>
          <w:sz w:val="18"/>
          <w:szCs w:val="18"/>
          <w:color w:val="auto"/>
        </w:rPr>
      </w:pPr>
    </w:p>
    <w:p>
      <w:pPr>
        <w:ind w:left="980" w:right="40"/>
        <w:spacing w:after="0" w:line="266" w:lineRule="auto"/>
        <w:tabs>
          <w:tab w:leader="none" w:pos="12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the weighted average lives ranging from 2 to 10 years as outlined in the table below. The table below sets forth the valuation and amortization period of identifiable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6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definite-lived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2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estimated the preliminary fair value of the acquired property, plant and equipment using a combination of the cost and market approaches, depending on the component. The preliminary fair value of such property, plant and equipment is $96.</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tangible net assets and identifiable intangible assets acquired was recorded as goodwill.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SUPPLEMENTAL CASH FLOW STATEMENT INFORMATION</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88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2"/>
        </w:trPr>
        <w:tc>
          <w:tcPr>
            <w:tcW w:w="8000" w:type="dxa"/>
            <w:vAlign w:val="bottom"/>
            <w:gridSpan w:val="2"/>
          </w:tcPr>
          <w:p>
            <w:pPr>
              <w:ind w:left="5440"/>
              <w:spacing w:after="0"/>
              <w:rPr>
                <w:sz w:val="20"/>
                <w:szCs w:val="20"/>
                <w:color w:val="auto"/>
              </w:rPr>
            </w:pPr>
            <w:r>
              <w:rPr>
                <w:rFonts w:ascii="Times New Roman" w:cs="Times New Roman" w:eastAsia="Times New Roman" w:hAnsi="Times New Roman"/>
                <w:sz w:val="18"/>
                <w:szCs w:val="18"/>
                <w:color w:val="auto"/>
              </w:rPr>
              <w:t>F- 21</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INTANGIBLE ASSETS AND GOODWILL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24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24,062</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23,752</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and 2022, amortization of intangible assets charged to operations was $3,055 and $2,702,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the Company wrote-off a $340 fully amortized trade name asset, a $1,090 fully amortized customer list asset,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$2,864 fully amortized technology asset, a $758 fully amortized capitalized software and the related accumulated amortization. There was no impact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 or Consolidated Statement of Operations as a result of these write-offs during the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amortization is as follows: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Future</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8"/>
                <w:szCs w:val="18"/>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3,490</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2,458</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Pr>
          <w:p>
            <w:pPr>
              <w:spacing w:after="0"/>
              <w:rPr>
                <w:sz w:val="18"/>
                <w:szCs w:val="18"/>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24,062</w:t>
            </w:r>
          </w:p>
        </w:tc>
      </w:tr>
      <w:tr>
        <w:trPr>
          <w:trHeight w:val="432"/>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include the following and are being amortized over their estimated useful lives as follows: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tc>
      </w:tr>
      <w:tr>
        <w:trPr>
          <w:trHeight w:val="216"/>
        </w:trPr>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8"/>
              </w:rPr>
              <w:t>Period:</w:t>
            </w:r>
          </w:p>
        </w:tc>
      </w:tr>
      <w:tr>
        <w:trPr>
          <w:trHeight w:val="238"/>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120" w:type="dxa"/>
            <w:vAlign w:val="bottom"/>
            <w:gridSpan w:val="2"/>
          </w:tcPr>
          <w:p>
            <w:pPr>
              <w:spacing w:after="0"/>
              <w:rPr>
                <w:sz w:val="20"/>
                <w:szCs w:val="20"/>
                <w:color w:val="auto"/>
              </w:rPr>
            </w:pPr>
          </w:p>
        </w:tc>
      </w:tr>
      <w:tr>
        <w:trPr>
          <w:trHeight w:val="209"/>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 and patents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7 - 10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3 - 5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3 - 5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3 - 15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904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F- 22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Goodwill is subject to an impairment review at a reporting unit level,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exceeds its carrying value, and accordingly, the goodwill associated with the reporting unit is not considered to be impaired at September 30, 2023.</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our overall business performance has been consistent with our expectations, both before and after the acquisition of Reflect, we believe a significant portion of the decline in our market price as of our assessment date related primarily to both macroeconomic and recent capital transaction factors including: (1) market wide recessionary fears, (2) a lack of comprehension by the markets of the contingent consideration issued in the Merger with Reflect, and (3) the Company’s recent execution of a public offering of 3,000,000 shares of our common stock at a discount to then-market prices, resulting in significant short-term negative volume and price pressure on our common stock unrelated to the Company fundamentals. We do not believe these factors are consistent with or reflective of the underlying value of the business, and there were no other indicators of potential impairment as of September 30, 2023. Based on the improvement of our share price and market capitalization, along with improving Company fundamentals, we believe our implied fair value continues to exceed our total carrying value as of December 31, 2023.</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our projected 2024 results could potentially have a material impact on our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LOANS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debt with detachable warrants, as applicable, are shown in the table below. Further discussion of the notes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8"/>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As of December 31, 2023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ind w:right="195"/>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Debt Type</w:t>
            </w:r>
          </w:p>
        </w:tc>
        <w:tc>
          <w:tcPr>
            <w:tcW w:w="2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5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20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1"/>
              </w:rPr>
              <w:t>A</w:t>
            </w:r>
          </w:p>
        </w:tc>
        <w:tc>
          <w:tcPr>
            <w:tcW w:w="28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2/17/2022</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833,334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15"/>
              <w:spacing w:after="0" w:line="210" w:lineRule="exact"/>
              <w:rPr>
                <w:sz w:val="20"/>
                <w:szCs w:val="20"/>
                <w:color w:val="auto"/>
              </w:rPr>
            </w:pPr>
            <w:r>
              <w:rPr>
                <w:rFonts w:ascii="Times New Roman" w:cs="Times New Roman" w:eastAsia="Times New Roman" w:hAnsi="Times New Roman"/>
                <w:sz w:val="15"/>
                <w:szCs w:val="15"/>
                <w:color w:val="auto"/>
              </w:rPr>
              <w:t>8.0% interest</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16"/>
        </w:trPr>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w:t>
            </w:r>
          </w:p>
        </w:tc>
        <w:tc>
          <w:tcPr>
            <w:tcW w:w="2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2/17/2022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5,147</w:t>
            </w: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tcPr>
          <w:p>
            <w:pPr>
              <w:spacing w:after="0"/>
              <w:rPr>
                <w:sz w:val="18"/>
                <w:szCs w:val="18"/>
                <w:color w:val="auto"/>
              </w:rPr>
            </w:pPr>
          </w:p>
        </w:tc>
        <w:tc>
          <w:tcPr>
            <w:tcW w:w="1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898,165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center"/>
              <w:ind w:right="95"/>
              <w:spacing w:after="0" w:line="216" w:lineRule="exact"/>
              <w:rPr>
                <w:sz w:val="20"/>
                <w:szCs w:val="20"/>
                <w:color w:val="auto"/>
              </w:rPr>
            </w:pPr>
            <w:r>
              <w:rPr>
                <w:rFonts w:ascii="Times New Roman" w:cs="Times New Roman" w:eastAsia="Times New Roman" w:hAnsi="Times New Roman"/>
                <w:sz w:val="16"/>
                <w:szCs w:val="16"/>
                <w:color w:val="auto"/>
              </w:rPr>
              <w:t>10.0% interest</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Total debt, gross</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1,731,499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Debt discount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Total debt, net</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Less current maturities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6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Long term debt</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9,829</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600" w:type="dxa"/>
            <w:vAlign w:val="bottom"/>
          </w:tcPr>
          <w:p>
            <w:pPr>
              <w:spacing w:after="0"/>
              <w:rPr>
                <w:sz w:val="24"/>
                <w:szCs w:val="24"/>
                <w:color w:val="auto"/>
              </w:rPr>
            </w:pPr>
          </w:p>
        </w:tc>
        <w:tc>
          <w:tcPr>
            <w:tcW w:w="284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0" w:type="dxa"/>
            <w:vAlign w:val="bottom"/>
          </w:tcPr>
          <w:p>
            <w:pPr>
              <w:spacing w:after="0"/>
              <w:rPr>
                <w:sz w:val="24"/>
                <w:szCs w:val="24"/>
                <w:color w:val="auto"/>
              </w:rPr>
            </w:pPr>
          </w:p>
        </w:tc>
        <w:tc>
          <w:tcPr>
            <w:tcW w:w="2220" w:type="dxa"/>
            <w:vAlign w:val="bottom"/>
            <w:gridSpan w:val="8"/>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As of December 31, 2022</w:t>
            </w:r>
          </w:p>
        </w:tc>
        <w:tc>
          <w:tcPr>
            <w:tcW w:w="1120" w:type="dxa"/>
            <w:vAlign w:val="bottom"/>
            <w:gridSpan w:val="2"/>
            <w:vMerge w:val="restart"/>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Debt Type</w:t>
            </w:r>
          </w:p>
        </w:tc>
        <w:tc>
          <w:tcPr>
            <w:tcW w:w="28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A</w:t>
            </w:r>
          </w:p>
        </w:tc>
        <w:tc>
          <w:tcPr>
            <w:tcW w:w="28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2/17/2022</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10,000</w:t>
            </w:r>
          </w:p>
        </w:tc>
        <w:tc>
          <w:tcPr>
            <w:tcW w:w="11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2/15/2025</w:t>
            </w:r>
          </w:p>
        </w:tc>
        <w:tc>
          <w:tcPr>
            <w:tcW w:w="1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833,334</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5"/>
                <w:szCs w:val="15"/>
                <w:color w:val="auto"/>
              </w:rPr>
              <w:t>8.0% interest</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30"/>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2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2/17/2022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7,185</w:t>
            </w: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2/15/2025</w:t>
            </w:r>
          </w:p>
        </w:tc>
        <w:tc>
          <w:tcPr>
            <w:tcW w:w="19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898,165</w:t>
            </w:r>
          </w:p>
        </w:tc>
        <w:tc>
          <w:tcPr>
            <w:tcW w:w="80" w:type="dxa"/>
            <w:vAlign w:val="bottom"/>
          </w:tcPr>
          <w:p>
            <w:pPr>
              <w:spacing w:after="0"/>
              <w:rPr>
                <w:sz w:val="19"/>
                <w:szCs w:val="19"/>
                <w:color w:val="auto"/>
              </w:rPr>
            </w:pPr>
          </w:p>
        </w:tc>
        <w:tc>
          <w:tcPr>
            <w:tcW w:w="136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color w:val="auto"/>
              </w:rPr>
              <w:t>10.0% interest</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8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2/17/2022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c>
          <w:tcPr>
            <w:tcW w:w="11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2/17/2024</w:t>
            </w:r>
          </w:p>
        </w:tc>
        <w:tc>
          <w:tcPr>
            <w:tcW w:w="1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0.59% interest</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w:t>
            </w:r>
          </w:p>
        </w:tc>
        <w:tc>
          <w:tcPr>
            <w:tcW w:w="2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10/31/2022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9/1/2023</w:t>
            </w:r>
          </w:p>
        </w:tc>
        <w:tc>
          <w:tcPr>
            <w:tcW w:w="420" w:type="dxa"/>
            <w:vAlign w:val="bottom"/>
            <w:gridSpan w:val="2"/>
          </w:tcPr>
          <w:p>
            <w:pPr>
              <w:spacing w:after="0"/>
              <w:rPr>
                <w:sz w:val="18"/>
                <w:szCs w:val="18"/>
                <w:color w:val="auto"/>
              </w:rPr>
            </w:pP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12.5% interest</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Total debt, gross</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20,641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1,731,499</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Debt discount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Total debt, gross</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17,572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Total debt, net</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13,073</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Acquisition Term Loan with related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Consolidation Term Loan with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 Secured 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 Term Loan (2022) with related party</w:t>
      </w:r>
    </w:p>
    <w:p>
      <w:pPr>
        <w:spacing w:after="0" w:line="20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cash interest per annum through maturity at February 15, 2025</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cash interest per annum through maturity date at February 15,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0.59% cash interest per annum (the applicable federal rate) through February 17, 2023. Annual interest rate on the outstanding principal increased from 0.59% to 4.60% per annum through maturity.</w:t>
      </w: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cash interest per annum through maturity at September 1,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Promissory Note</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On February 17, 2022, in connection with the Closing, the Company issued to RSI Exit Corporation (“Stockholders’ Representative”), the representative of Reflect stockholders, a $2,500 Note and Security Agreement (the “Secured Promissory Note”).</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Secured Promissory Note accrued interest at 0.59% per annum (the applicable federal rate on the date of issuance of the Secured Promissory Note) and required the Company and Reflect to collectively pay equal monthly principal installments of $104 on the fifteenth (15th) day of each month, commencing on March 15, 2022. Any remaining or unpaid principal was due and payable on February 17, 2023. All payments under the Secured Promissory Note were paid to the escrow agent in the Merger Agreement to be placed into the escrow account to secure the Reflect stockholders’ indemnification obligations until released on February 17, 2023 (the one-year anniversary of the closing of the Merger), at which time any remaining proceeds not subject to a pending indemnification claim would be paid to the exchange agent for payment to the Reflect stockholders pursuant to the Merger Agreement.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9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11, 2023, the Company, Reflect and the Stockholders’ Representative, executed a Second Amendment to the Merger Agreement. The Second Amendment to the Merger Agreement provided that, among other things, the cash merger consideration payable in the Merger should be reduced by $242, or the “Claim Amount,” subject to a reduction in the Claim Amount to the extent that Reflect or Creative Realities receive payments of certain accounts receivable of Reflect, up to $27. An employer retention credit of $242 (the “ERC”) based on the operations of Reflect pre-Merger remains outstanding and will be paid to the Stockholders’ Representative for the benefit of former Reflect stockholders upon receipt, subject to the offset rights of Creative Realities. In addition, the Company and the Stockholders’ Representative executed an amendment (the “Note Amendment”) to the Secured Promissory Note on February 11, 2023. The Note Amendment eliminated the balloon payment, extended the maturity date for a one-year period, to February 17, 2024. During the extended period, the Company continued to make monthly principal payments of $104, and the annual interest rate on the outstanding principal increased from 0.59% to 4.60%, which accrued and is payable in full on the new maturity date.</w:t>
      </w:r>
    </w:p>
    <w:p>
      <w:pPr>
        <w:spacing w:after="0" w:line="18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On December 15, 2023, the Company paid $110 as final settlement of the Secured Promissory Note, including accrued interest through the settlement date. All rights to payment of the ERC were retained by the Reflect stockholders as part of this settlement.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Loan and Security Agreement</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February 17, 2022, the Company and its subsidiaries (collectively, the “Borrowers”) refinanced their debt facilities with Slipstream, pursuant to a Second Amended and Restated Credit and Security Agreement (the “Credit Agreement”). The Borrowers include Reflect, which became a wholly owned subsidiary of the Company as a result of the Closing on February 17, 2022. The debt facilities continue to be fully secured by all assets of the Borrowers.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first day of each month, commencing March 1, 2022 through February 1, 2025, the Borrowers will make interest-only payments on the Consolidation Term Loan.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The Company assessed the combination of the pre-existing senior secured term loan and secured convertible loan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determined the transaction should be accounted for as an extinguishment, in part as the Consolidation Term Loan eliminated a substantive conversion feature. In aggregate the Company recorded a loss on extinguishment of $295 during the year ending December 31, 2022, primarily associated with the write-off of pre-existing debt discounts.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refinancing the existing debt with Slipstream, the Company issued to Slipstream a $10,000, 36-month senior secured term loan (the “Acquisition Term Loan”) resulting in $10,000 in gross proceeds, or $9,950 in net proceeds. The Acquisition Term Loan matures on February 17, 2025 (the “Maturity Date”) and has an interest rate of 8.0%, with 50.0% warrant coverage (or 833,334 warrants). On the first day of each month, commencing March 1, 2022 through February 1, 2025, the Borrowers will make interest-only payments on the Acquisition Term Loan. No principal payments on the Acquisition Term Loan are payable until the Maturity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was not exercisable until August 17, 2022. The warrants were assessed in accordance with ASC 470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and were deemed to represent bifurcated derivative instruments that should be recorded as liabilities in the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$1,443 and $1,268 for the years ended December 31, 2023 and 2022, respectively. The Company has deemed straight-line amortization to be materially consistent with the effective interest method.</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8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color w:val="auto"/>
        </w:rPr>
        <w:t>Effective June 30, 2022, the Company amended the terms of the Lender Warrant to remove the holder’s option to exercise such warrant on a cashless basis utilizing the VWAP of the Company’s common stock on the trading day immediately preceding the date of a notice of cashless exercise in certain circumstances, and remove the condition to exercising such warrant that the Company’s shareholders approve the exercise thereof (which</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had already been obtained). The amendments to the Lender Warrant also extend the term of such warrants for an additional one year, such that the Lender Warrant will expire on February 17, 2028. The foregoing amendments to the Lender Warrant caused such warrants to be accounted for as equity instruments in the Company’s Consolidated Financial Statements.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October 31, 2022, the Borrowers and Slipstream amended the Credit Agreement to provide the Borrowers with a $2,000 term loan ("Term Loan (2022)"), the net proceeds of which were used by the Company to accelerate an active software development project with potential to expand SaaS revenues associated with an existing customer. The Term Loan (2022) had an annual interest rate of 12.5% and matured on September 1, 2023. Commencing on February 1, 2023, the Company made monthly installment payments of approximately $270 until the maturity date, consisting of principal and interest sufficient to fully amortize the Term Loan (2022) through the maturity date. As of December 31, 2023, the Term Loan 2022 has been repaid in full to Slipstream.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COMMITMENTS AND CONTINGENCIES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August 2, 2019, the Company filed suit in Jefferson Circuit Court, Kentucky, against a supplier of the Company’s wholly owned subsidiary, Allure, for breach of contract, breach of warranty, and negligence with respect to equipment installations performed by such supplier for an Allure customer. 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On March 10, 2023, the Company, the supplier and the Allure customer reached a Settlement Agreement and Release of Claims ("Settlement Agreement"). Pursuant to the Settlement Agreement, the Company was obligated to pay $733; however, its insurer agreed to pay $700 of that amount. Thus, the Company paid $33 of the settlement amount in April 2023.</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NOTE 10: INCOME TAXES</w:t>
            </w:r>
          </w:p>
        </w:tc>
        <w:tc>
          <w:tcPr>
            <w:tcW w:w="5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consisted of the following:</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Tax provision summary:</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expense - federal</w:t>
            </w: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 – state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income tax expense includes federal and state income taxes currently payable and those deferred or prepaid because of temporary differences between financial statement and tax bases of assets and liabilities. The Company records income taxes under the liability method. Under this method, deferred income taxes are recognized for the estimated future tax effects of differences between the tax bases of assets and liabilities and their financial reporting amounts based on enacted tax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income tax rate to the effective income tax rates as a percentage of income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r>
      <w:tr>
        <w:trPr>
          <w:trHeight w:val="21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Warrant Liability/Contingent Consideration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(79.66)%</w:t>
            </w: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Discrete items, Transaction items, and Other</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69.60%</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r>
      <w:tr>
        <w:trPr>
          <w:trHeight w:val="413"/>
        </w:trPr>
        <w:tc>
          <w:tcPr>
            <w:tcW w:w="7840" w:type="dxa"/>
            <w:vAlign w:val="bottom"/>
            <w:tcBorders>
              <w:top w:val="single" w:sz="8" w:color="CCEEFF"/>
            </w:tcBorders>
          </w:tcPr>
          <w:p>
            <w:pPr>
              <w:ind w:left="5440"/>
              <w:spacing w:after="0"/>
              <w:rPr>
                <w:sz w:val="20"/>
                <w:szCs w:val="20"/>
                <w:color w:val="auto"/>
              </w:rPr>
            </w:pPr>
            <w:r>
              <w:rPr>
                <w:rFonts w:ascii="Times New Roman" w:cs="Times New Roman" w:eastAsia="Times New Roman" w:hAnsi="Times New Roman"/>
                <w:sz w:val="18"/>
                <w:szCs w:val="18"/>
                <w:color w:val="auto"/>
              </w:rPr>
              <w:t>F- 27</w:t>
            </w: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7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net deferred tax assets and liabilities recognized in the accompanying Consolidated Balance Sheets, determined using the income tax rate applicable to each period,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IRC 163(j) Interest Carryforward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IRC Section 174</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carryforwards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 net operating loss and contribution carryforwards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Total deferred tax liabilities, net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44,217</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43,391</w:t>
            </w:r>
          </w:p>
        </w:tc>
      </w:tr>
      <w:tr>
        <w:trPr>
          <w:trHeight w:val="234"/>
        </w:trPr>
        <w:tc>
          <w:tcPr>
            <w:tcW w:w="5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(44,290)</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(43,419)</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no reserves recorded as a liability for unrecognized tax benefits for U.S. federal and state tax jurisdictions. There were no unrecognized tax benefits as of December 31, 2023 that, if recognized, would affect the tax rate. It is the Company’s policy to accrue interest and penalties related to liabilities for income tax contingencies in the provision for income taxes. As of December 31, 2023, the Company had no accrued interest or penalties related to uncertain tax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As of December 31, 2023, the Company has federal and state net operating loss carryforwards expiring between 2024 and 2043, $13,808 of which has an indefinite carryforward period. The federal statute of limitations remains open for tax years 2019 through 2022 and state tax jurisdictions generally have statutes of limitations open for tax years 2019 through 2022.</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performed a preliminary analysis of the annual NOL carryforwards and limitations that are available to be used against taxable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history of losses of the Company, there continues to be a full valuation allowance against the net deferred tax assets of the Company.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warrants for the years ended December 31, 2023 and 2022 is included below:</w:t>
      </w: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Warrants (Equity)</w:t>
            </w:r>
          </w:p>
        </w:tc>
        <w:tc>
          <w:tcPr>
            <w:tcW w:w="14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38"/>
        </w:trPr>
        <w:tc>
          <w:tcPr>
            <w:tcW w:w="3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5,824,027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4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(1,237,025)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4,587,002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3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jc w:val="right"/>
              <w:ind w:right="1200"/>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Warrants (Equity)</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38"/>
        </w:trPr>
        <w:tc>
          <w:tcPr>
            <w:tcW w:w="3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1,367,737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4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(1,950,502)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4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(130,712)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reclassified</w:t>
            </w:r>
          </w:p>
        </w:tc>
        <w:tc>
          <w:tcPr>
            <w:tcW w:w="30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4,587,002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5,824,027</w:t>
            </w:r>
          </w:p>
        </w:tc>
        <w:tc>
          <w:tcPr>
            <w:tcW w:w="1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0"/>
        </w:trPr>
        <w:tc>
          <w:tcPr>
            <w:tcW w:w="3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February 3, 2022, the Company entered into a Securities Purchase Agreement with a purchaser (the “Purchaser”), pursuant to which the Company agreed to issue and sell to the Purchaser, in a private placement priced at-the-market under Nasdaq rules, (i) 438,334 shares (the “Shares”) of the Company’s common stock, par value $0.01 per share (the “Common Stock”) and accompanying warrants to purchase an aggregate of 438,334 shares of Common Stock, and (ii) pre-funded warrants to purchase up to an aggregate of 1,950,502 shares of Common Stock (the “Pre-Funded Warrants”) and accompanying warrants to purchase an aggregate of 1,950,502 shares of Common Stock. The accompanying warrants to purchase Common Stock are referred to herein collectively as the “Common Stock Warrants.” Under the Securities Purchase Agreement, each Share and accompanying warrants to purchase Common Stock were sold together at a combined price of $4.605, and each Pre-Funded Warrant and accompanying warrants to purchase Common Stock were sold together at a combined price of $4.6047, for gross proceeds of approximately $11,000, before deducting placement agent fees and estimated offering expenses payable by the Company. In 2022,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Warrants and concluded they do not meet the criteria to be classified within stockholders’ equity. The Common Stock Warrants included provisions which could result in a different settlement value for the Common Stock Warrants depending on the registration status of the underlying shares. Because these conditions were not an input into the pricing of a fixed-for-fixed option on the Company’s ordinary shares, the Common Stock Warrants are not considered to be indexed to the Company’s own stock. The Company recorded the Common Stock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Common Stock Warrants, resulting in a fair value of $3.2781 per Common Stock Warrant. At June 30, 2022, the Company reassessed the fair value of the Common Stock Warrants via Black Scholes valuation methodology and determined that the fair value of the Common Stock Warrants was $1.2057 per Common Stock Warrant, resulting in the Company recording a gain on the fair value of the Common Stock Warrants of $4,950 in the Consolidated Statement of Operations for the year ended December 31,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17, 2022, in connection with the Credit Agreement with Slipstream, the Company issued to Slipstream the Lender Warrants.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Warrants were not exercisable until 180 days after the issuance date. The common shares underlying the Lender Warrants have not yet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for resale under the Securities Act of 1933, which provided Slipstream with an option for cashless exercise once the Lender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became exercisable until such time as such registration occurs. The Lender Warrants expire five years from the date of issuance. The Company evaluated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Warrants and concluded that they do not meet the criteria to be classified within stockholders’ equity. The Lender Warrants include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result in a different settlement value, for the Lender Warrants depending on the registration status of the underlying shares. Because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are not an input into the pricing of a fixed-for-fixed option on the Company’s ordinary shares, the Lender Warrants are not considered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indexed to the Company’s own stock. The Company recorded the Lender Warrants as liabilities on the Consolidated Balance Sheets at fair value,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changes in their respective fair values recognized in the Consolidated Statements of Operations at each reporting date. At the date of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performed a Black-Scholes valuation of the Lender Warrants, resulting in a fair value of $2.4387 per Lender Warrant. In recording the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liability, the Company recorded an increase in debt discount in the Consolidated Balance Sheet associated with the issuance of the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of $4,223, which is being amortized through interest expense in the Condensed Consolidated Statement of Operations over the life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Term Loan and Consolidation Term Loans. At June 30, 2022, the Company reassessed the fair value of the Lender Warrants via Black Scholes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methodology and determined that the fair value of the Lender Warrants was $1.1097 per Lender Warrant, resulting in the Company recording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the fair value of the Lender Warrants of $2,302 in the Consolidated Statement of Operations for the year ended December 31, 2022.</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Warrants”) to purchase 466,667 shares of Company common stock in an at-the-market offering under Nasdaq rules. The number of shares of Company common stock subject to the Purchaser Warrants is equal to the waiver fee ($175) divided by $0.375 per share. The exercise price of the Purchaser Warrants is $4.23 per share, and the Purchaser Warrants were not exercisable until August 17, 2022. The Purchaser Warrants expire five</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years from the date of issuance. The Company evaluated the Purchaser Warrants and concluded that they do not meet the criteria to be classified within stockholders’ equity. The Purchaser Warrants include provisions which could result in a different settlement value, for the Purchaser Warrants depending on the registration status of the underlying shares. Because these conditions were not an input into the pricing of a fixed-for-fixed option on the Company’s ordinary shares, the Purchaser Warrants are not considered to be indexed to the Company’s own stock. The Company recorded the Purchaser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Purchaser Warrants, resulting in a fair value of $2.5968 per Purchaser Warrant. In recording the Purchaser Warrants liability, the Company recorded an expense in the Consolidated Statement of Operations associated with the issuance of the Purchaser Warrants of $1,211. At June 30, 2022, the Company reassessed the fair value of the Purchaser Warrants via Black Scholes valuation methodology and determined that the fair value of the Purchaser Warrants was $1.2051 per Purchaser Warrant, resulting in the Company recording a gain on the fair value of the Purchaser Warrants of $650 in the Consolidated Statement of Operations for the year ended December 31, 2022.</w:t>
      </w:r>
    </w:p>
    <w:p>
      <w:pPr>
        <w:spacing w:after="0" w:line="19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Effective June 30, 2022, the Company amended the terms of the Common Stock Warrants (2,388,836 warrants), Lender Warrants (1,731,499 warrants) and Purchaser Warrants (466,667 warrants). The amendments to such warrants removes the holder’s option to determine the value of such warrants utilizing the VWAP of the Company’s common stock on the trading day immediately preceding the date of a notice in a cashless exercise, and removes the condition to exercising such warrants that the Company’s shareholders approve the exercise thereof (which had already been obtained). The amendments to the warrants also extended the term of such warrants for an additional one year, such that the Common Stock Warrants will expire on February 3, 2028, and the Lender Warrants and Purchaser Warrants will expire on February 17, 2028.</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extension in term provided in exchange for the amendment, the Company reassessed the fair value of each of the Common Stock, Lender and Purchaser Warrants, resulting in the Company recording a loss on the fair value of these warrants of $345 in the Consolidated Statements of Operations for the year ended December 31, 2022. The foregoing amendments to the warrants resulted in such warrants to be accounted for as equity instruments in the Company’s Consolidated Financial Statements. As such, following recording the gains and losses with respect to these warrant amendments, the Company reclassified the warrant liability of $5,709 from noncurrent liabilities to additional paid-in-capital. These amounts are reflected as additional paid-in-capital in the Consolidated Balance Sheet as of December 31, 2022.</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foregoing amendments to the warrants resulted in such warrants to be accounted for as equity instruments on the Company’s Consolidated Financial Statements as of June 30, 2022. As such, the Company reclassified the warrant liability from noncurrent liabilities to additional paid-in-capital as of June 30, 2022. These amounts are reflected as additional paid-in-capital in the Consolidated Balance Sheet as of December 31,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options as of December 31, 2023 is included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$4.01 - $8.00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566,673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328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8.01+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662,798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432"/>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$4.01 - $8.00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432"/>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Prices between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$0.01 - $4.00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27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 Options</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633,334</w:t>
            </w: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662,910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662,798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6.1 years as of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Information for Stock-Based Compensation</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purposes of determining estimated fair value under FASB 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computed the estimated fair values of stock options using the Black-Scholes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Performance Options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June 1, 2020, Rick Mills, CEO, and Will Logan, CFO, were issued ten-year options to purchase 160,000 and 80,000 shares of common stock (the “Performance Options”), respectively, which vest in equal installments over a three-year period (2020-2022), subject to satisfying the Company revenue targets and EBITDA (earnings before interest, taxes, depreciation, and amortization) targets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15, 2022, the Board approved of an amendment to the Performance Options to provide that the revenue target for the calendar year 2022 set forth therein ($38,000) was eliminated, and the remaining shares that are available for vesting under the Performance Options (106,667 unvested shares for Mr. Mills and 53,334 for Mr. Logan) (including the unvested portions of shares based on the satisfaction of the revenue targets for 2020 and 2021 by virtue of the catch-up provisions in the Performance Options) will fully vest upon the achievement of an updated EBITDA target for calendar year 2022 of $3,600.</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Performance Options state that the calculation of EBITDA set forth in the Performance Options shall be calculated in a form consistent with the Company’s 2022 approved budget, which</w:t>
      </w:r>
    </w:p>
    <w:p>
      <w:pPr>
        <w:spacing w:after="0" w:line="162"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any impact on EBITDA of:</w:t>
      </w:r>
    </w:p>
    <w:p>
      <w:pPr>
        <w:spacing w:after="0" w:line="225" w:lineRule="exact"/>
        <w:rPr>
          <w:rFonts w:ascii="Times New Roman" w:cs="Times New Roman" w:eastAsia="Times New Roman" w:hAnsi="Times New Roman"/>
          <w:sz w:val="18"/>
          <w:szCs w:val="18"/>
          <w:color w:val="auto"/>
        </w:rPr>
      </w:pPr>
    </w:p>
    <w:p>
      <w:pPr>
        <w:ind w:left="820" w:right="1060" w:firstLine="646"/>
        <w:spacing w:after="0" w:line="282" w:lineRule="auto"/>
        <w:tabs>
          <w:tab w:leader="none" w:pos="171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treatment (including any "mark-to-market accounting") of the Company's warrants or the "Guaranteed Consideration" (as defined in the Merger Agreement),</w:t>
      </w:r>
    </w:p>
    <w:p>
      <w:pPr>
        <w:spacing w:after="0" w:line="161" w:lineRule="exact"/>
        <w:rPr>
          <w:rFonts w:ascii="Times New Roman" w:cs="Times New Roman" w:eastAsia="Times New Roman" w:hAnsi="Times New Roman"/>
          <w:sz w:val="18"/>
          <w:szCs w:val="18"/>
          <w:color w:val="auto"/>
        </w:rPr>
      </w:pPr>
    </w:p>
    <w:p>
      <w:pPr>
        <w:ind w:left="820" w:right="580" w:firstLine="646"/>
        <w:spacing w:after="0" w:line="282" w:lineRule="auto"/>
        <w:tabs>
          <w:tab w:leader="none" w:pos="17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transaction expenses associated with the Merger and the capital raising financing activities of the Company to effectuate the Merger, and</w:t>
      </w:r>
    </w:p>
    <w:p>
      <w:pPr>
        <w:spacing w:after="0" w:line="161" w:lineRule="exact"/>
        <w:rPr>
          <w:rFonts w:ascii="Times New Roman" w:cs="Times New Roman" w:eastAsia="Times New Roman" w:hAnsi="Times New Roman"/>
          <w:sz w:val="18"/>
          <w:szCs w:val="18"/>
          <w:color w:val="auto"/>
        </w:rPr>
      </w:pPr>
    </w:p>
    <w:p>
      <w:pPr>
        <w:ind w:left="1720" w:hanging="254"/>
        <w:spacing w:after="0"/>
        <w:tabs>
          <w:tab w:leader="none" w:pos="17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write-down or write-off of any Company inventory of Safe Space Solutions products.</w:t>
      </w:r>
    </w:p>
    <w:p>
      <w:pPr>
        <w:spacing w:after="0" w:line="225" w:lineRule="exact"/>
        <w:rPr>
          <w:sz w:val="20"/>
          <w:szCs w:val="20"/>
          <w:color w:val="auto"/>
        </w:rPr>
      </w:pPr>
    </w:p>
    <w:p>
      <w:pPr>
        <w:jc w:val="both"/>
        <w:ind w:right="140" w:firstLine="656"/>
        <w:spacing w:after="0" w:line="266" w:lineRule="auto"/>
        <w:tabs>
          <w:tab w:leader="none" w:pos="9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below).</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unvested portion of the Performance Options as of December 31, 2022 vested in full effective March 30, 2023 upon confirmation by the Board of Directors of achievement of the performance metrics for the year ended December 31, 2022.</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of the foregoing options is $7.59 per share, the closing price of the Company’s common stock on the date of issuance (as adjusted by the Company's 1-for-3 reverse stock split in March 2023). The options were issued from the 2014 Stock Incentive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Options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June 15, 2022, Messrs. Mills and Logan received ten-year options to purchase 333,334 and 200,000 shares of common stock, respectively (the “New Options”). The New Options are eligible to vest at any time on or prior to February 17, 2025 if the trailing 10-trading day VWAP of the Company’s common stock, as reported on the Nasdaq Capital Market, exceeds the share price targets below, subject to such executive serving the Company as a director, officer, employee or consultant at such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 Price Targets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Guaranteed</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Mills Shares Vested</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66,667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83,334</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Logan Shares Vested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 Vested</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“Guaranteed Price” has the meaning ascribed to such term in the Merger Agreement.</w:t>
      </w:r>
    </w:p>
    <w:p>
      <w:pPr>
        <w:spacing w:after="0" w:line="225"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of the New Options is $3.00 per share, which exceeded the closing price of the Company’s common stock on the date of issuance (as adjusted by the Company's 1-for-3 reverse stock split in March 2023). The New Options were issued from the Company’s 2014 Stock Incentive Plan, as amended. An additional 100,000 options with identical market vesting restrictions were issued to non-executives.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options on the grant date varied between $0.63 and $1.11 per award as determined using the Monte Carlo model. These values were calculated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the grant date, the Company evaluated the probability of achieving the share price targets in each tranche based, in part, on work performed by the Company’s third party valuation specialist in conjunction with evaluating the contingent consideration. As a result of that evaluation of probability, during the year-ended December 31, 2023, the Company recorded $13 of compensation expense. These awards have not yet vested and are subject to actual share price performance through February 2025.</w:t>
      </w:r>
    </w:p>
    <w:p>
      <w:pPr>
        <w:spacing w:after="0" w:line="180"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On November 17, 2021, Creative Realities’ Board of Directors updated its director compensation plan to compensate non-officer directors resulting in the Company granting 10-year options to purchase an aggregate of 85,000 shares of its common stock to non-employee directors of the Company under the Company’s 2014 Stock Incentive Plan (the “Plan”). One-third of the options vested immediately, with half of the remaining options vesting at each of the first and second anniversaries of the grant date. The options have an exercise price of $6.63, the market value of the Company’s common stock on the grant date. The fair value of the options on the grant date was $5.23 and was determined using the Black-Scholes model. These values were calculated using the following weighted average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7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14"/>
        </w:trPr>
        <w:tc>
          <w:tcPr>
            <w:tcW w:w="3600" w:type="dxa"/>
            <w:vAlign w:val="bottom"/>
          </w:tcPr>
          <w:p>
            <w:pPr>
              <w:spacing w:after="0"/>
              <w:rPr>
                <w:sz w:val="24"/>
                <w:szCs w:val="24"/>
                <w:color w:val="auto"/>
              </w:rPr>
            </w:pPr>
          </w:p>
        </w:tc>
        <w:tc>
          <w:tcPr>
            <w:tcW w:w="764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F- 33</w:t>
            </w:r>
          </w:p>
        </w:tc>
      </w:tr>
      <w:tr>
        <w:trPr>
          <w:trHeight w:val="115"/>
        </w:trPr>
        <w:tc>
          <w:tcPr>
            <w:tcW w:w="3600" w:type="dxa"/>
            <w:vAlign w:val="bottom"/>
            <w:tcBorders>
              <w:bottom w:val="single" w:sz="8" w:color="auto"/>
            </w:tcBorders>
          </w:tcPr>
          <w:p>
            <w:pPr>
              <w:spacing w:after="0"/>
              <w:rPr>
                <w:sz w:val="10"/>
                <w:szCs w:val="10"/>
                <w:color w:val="auto"/>
              </w:rPr>
            </w:pPr>
          </w:p>
        </w:tc>
        <w:tc>
          <w:tcPr>
            <w:tcW w:w="7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June 1, 2020 the Board of Directors of the Company granted 10-year options to purchase an aggregate of 526,667 shares of its common stock to employees of the Company subject to shareholder approval of an increase in the reserve of shares authorized for issuance under the Company’s 2014 Stock Incentive Plan (the “Plan”). On July 10, 2020, the Company held a special meeting of the Company’s shareholders at which the shareholders approved the amendment to the Plan, which increased the reserve of shares authorized for issuance thereunder to 2,000,000 shares.</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options awarded vest over 3 years and have an exercise price of $7.59, the market value of the Company’s common stock on the grant date. The fair value of the options on the grant date was $5.61 and was determined using the Black-Scholes model. These values were calculated using the following weighted average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 Information</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ASC 718-10,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573,334 shares for purchase by the Company’s employees and under the Amended and Restated 2006 Non-Employee Director Stock Option Plan the Company reserved 233,334 shares for purchase by the Company’s employees. There are 3,890 options outstanding under the 2006 Equity Incentive Plan.</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Following a 1-for-3 reverse stock split, the shares authorized for issuance under the Company's 2014 Stock Incentive Plan was reduced to 2,000,000. There are 1,632,242 options outstanding under the 2014 Stock Incentive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to employees for the years ended December 31, 2023 and 2022 of $383 and $1,689, respectively, was included in general and administrative expense in the Consolidated Financial Statements.</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there was $0 and $100 of total unrecognized compensation expense related to unvested share-based awards with time vesting and performance vesting criteria for employees, respectively. Expense related to performance vesting options will be recognized over the next 14 months and will be adjusted for any future forfeitures as they occur.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Awards</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the issuance of stock options, including those options awarded to our Board of Directors, for the years ended December 31, 2023 and 2022 of $150 and $198, respectively, was included in general and administrative expense in the Consolidated Financial Statements. At December 31, 2023, unrecognized compensation expense related to unvested share-based awards with time vesting criteria for non-employee directors was $0.</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engages certain consultants to perform services in exchange for Company common stock. Shares issued for services were calculated based on the ten (10) day volume weighted average price (“VWAP”) for the last ten (10) days during the month of service provided.</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December 31, 2022, the Company issued shares issuable in exchange for services in the amount of $55 and $100,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SEGMENT INFORMATION AND SIGNIFICANT CUSTOMERS/VENDORS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Substantially all property and equipment is located at our offices in the United States, and a data center located in the United States. All material sales for the years ended December 31, 2023 and 2022 were in the United States and Canada.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year ended December 31, 2023. We had three customers that accounted for 44% of revenue for the years ended December 31, 2022.</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had two and three customers that in the aggregate accounted for 50% and 49% of accounts receivable as of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one vendor that accounted for 38% and 30% of outstanding accounts payable at December 31,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LEASES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lease portfolio is primarily comprised of operating leases for office space and finance leases for computer equipment. At the inception of an arrangement, the Company determines whether the arrangement is or contains a lease based on whether the contract conveys the right to control the use of identified property or equipment for a period of time in exchange for consideration. Leases are classified as operating or finance leases at the commencement date of the lease. Leases may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Consolidated Balance Sheet as of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 w:type="dxa"/>
            <w:vAlign w:val="bottom"/>
          </w:tcPr>
          <w:p>
            <w:pPr>
              <w:spacing w:after="0"/>
              <w:rPr>
                <w:sz w:val="18"/>
                <w:szCs w:val="18"/>
                <w:color w:val="auto"/>
              </w:rPr>
            </w:pPr>
          </w:p>
        </w:tc>
      </w:tr>
      <w:tr>
        <w:trPr>
          <w:trHeight w:val="21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46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4660" w:type="dxa"/>
            <w:vAlign w:val="bottom"/>
          </w:tcPr>
          <w:p>
            <w:pPr>
              <w:spacing w:after="0"/>
              <w:rPr>
                <w:sz w:val="18"/>
                <w:szCs w:val="18"/>
                <w:color w:val="auto"/>
              </w:rPr>
            </w:pP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 w:type="dxa"/>
            <w:vAlign w:val="bottom"/>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64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4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7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4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4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4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8"/>
                <w:szCs w:val="18"/>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obligation</w:t>
            </w:r>
          </w:p>
        </w:tc>
        <w:tc>
          <w:tcPr>
            <w:tcW w:w="4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9"/>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46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1,187</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 w:type="dxa"/>
            <w:vAlign w:val="bottom"/>
          </w:tcPr>
          <w:p>
            <w:pPr>
              <w:spacing w:after="0"/>
              <w:rPr>
                <w:sz w:val="21"/>
                <w:szCs w:val="21"/>
                <w:color w:val="auto"/>
              </w:rPr>
            </w:pPr>
          </w:p>
        </w:tc>
      </w:tr>
      <w:tr>
        <w:trPr>
          <w:trHeight w:val="413"/>
        </w:trPr>
        <w:tc>
          <w:tcPr>
            <w:tcW w:w="264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ind w:left="2800"/>
              <w:spacing w:after="0"/>
              <w:rPr>
                <w:sz w:val="20"/>
                <w:szCs w:val="20"/>
                <w:color w:val="auto"/>
              </w:rPr>
            </w:pPr>
            <w:r>
              <w:rPr>
                <w:rFonts w:ascii="Times New Roman" w:cs="Times New Roman" w:eastAsia="Times New Roman" w:hAnsi="Times New Roman"/>
                <w:sz w:val="18"/>
                <w:szCs w:val="18"/>
                <w:color w:val="auto"/>
              </w:rPr>
              <w:t>F- 35</w:t>
            </w:r>
          </w:p>
        </w:tc>
        <w:tc>
          <w:tcPr>
            <w:tcW w:w="7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classification of lease expense in the Company's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80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209"/>
        </w:trPr>
        <w:tc>
          <w:tcPr>
            <w:tcW w:w="8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expense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Pr>
          <w:p>
            <w:pPr>
              <w:spacing w:after="0"/>
              <w:rPr>
                <w:sz w:val="18"/>
                <w:szCs w:val="18"/>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lease term and discount rate information related to operating leases as of December 31, 2023: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4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80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scheduled maturities of lease obligations as of December 31, 2023:</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6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4"/>
        </w:trPr>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Leases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Leases</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4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88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the Company's Consolidated Statements of Cash Flows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paid for finance leases</w:t>
            </w:r>
          </w:p>
        </w:tc>
        <w:tc>
          <w:tcPr>
            <w:tcW w:w="2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paid for finance leases</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340" w:type="dxa"/>
            <w:vAlign w:val="bottom"/>
          </w:tcPr>
          <w:p>
            <w:pPr>
              <w:spacing w:after="0"/>
              <w:rPr>
                <w:sz w:val="24"/>
                <w:szCs w:val="24"/>
                <w:color w:val="auto"/>
              </w:rPr>
            </w:pPr>
          </w:p>
        </w:tc>
        <w:tc>
          <w:tcPr>
            <w:tcW w:w="282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F- 36</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PROFIT-SHARING PLAN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a defined contribution 401(k) retirement plans for eligible associates in the United States. Associates may contribute up to 15% of their pretax compensation to the plan subject to IRS limitations. The Company contributes an employer contribution match of 50% of employee wages up to 6%, for an effective match of 3%.</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a Registered Retirement Savings Plan for eligible associates in Canada. Associates may contribute up to 18% of earned income reported on their tax return in the previous year, subject to legal contribution limits. The Company contributes an employer contribution match of 50% of employee wages up to 6%, for an effective match of 3%.</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Company contributed $253 and $142 to employee retirement plans for the year-ended December 31, 2023 and 2022,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20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undersigned incorporator, being a natural person 18 years of age or older, in order to form a corporate entity under Minnesota Statutes, Chapter 302A, hereby adopts the following articles of incorporation:</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color w:val="auto"/>
        </w:rPr>
        <w:t>: The name of this Corporation shall be Creative Realities,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Office and Agent</w:t>
      </w:r>
      <w:r>
        <w:rPr>
          <w:rFonts w:ascii="Times New Roman" w:cs="Times New Roman" w:eastAsia="Times New Roman" w:hAnsi="Times New Roman"/>
          <w:sz w:val="18"/>
          <w:szCs w:val="18"/>
          <w:color w:val="auto"/>
        </w:rPr>
        <w:t>: The address of the Corporation’s registered office in the State of Minnesota is located at 1010 Dale Street N, 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Minnesota 55117-5603. The name of its registered agent at that address is National Registered Agents,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b w:val="1"/>
          <w:bCs w:val="1"/>
          <w:u w:val="single" w:color="auto"/>
          <w:color w:val="auto"/>
        </w:rPr>
        <w:t>Authorized Shares</w:t>
      </w:r>
      <w:r>
        <w:rPr>
          <w:rFonts w:ascii="Times New Roman" w:cs="Times New Roman" w:eastAsia="Times New Roman" w:hAnsi="Times New Roman"/>
          <w:sz w:val="17"/>
          <w:szCs w:val="17"/>
          <w:color w:val="auto"/>
        </w:rPr>
        <w:t>: The total authorized shares of all classes that the Corporation shall have authority to issue is 250,000,000 shares, consisting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50,000,000 shares of preferred stock, par value of $0.01 per share (hereinafter the “preferred shares”); and 200,000,000 shares of common stock, par value of $0.01 per share (hereinafter the “common shares”). Notwithstanding the foregoing, effective as of the later of (i) 12:01 am on March 27, 2023 or</w:t>
      </w:r>
    </w:p>
    <w:p>
      <w:pPr>
        <w:spacing w:after="0" w:line="1" w:lineRule="exact"/>
        <w:rPr>
          <w:sz w:val="20"/>
          <w:szCs w:val="20"/>
          <w:color w:val="auto"/>
        </w:rPr>
      </w:pPr>
    </w:p>
    <w:p>
      <w:pPr>
        <w:ind w:right="80" w:firstLine="8"/>
        <w:spacing w:after="0" w:line="260"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these Articles of Amendment (the “Reverse Split Effective Time”), the total authorized shares of all classes that the Corporation shall have authority to issue shall be reduced to 116,666,666 shares, consisting of 50,000,000 preferred shares; and 66,666,666 common shares.</w:t>
      </w:r>
    </w:p>
    <w:p>
      <w:pPr>
        <w:spacing w:after="0" w:line="1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3.1 The Board of Directors of the Corporation (hereinafter referred to as the “Board of Directors” or “Board”) may, from time to time, establish by resolution, different classes or series of preferred shares and may fix the rights and preferences of said shares in any class or series. Specifically, preferred shares of the Corporation may be issued from time to time in one or more series, each of which series shall have such designation or title and such number of shares as shall be fixed by resolution of the Board of Directors prior to the issuance thereof. Each such series of preferred shares shall have such voting powers, full or limited, or no voting powers, and such preferences and relative, participating, optional or other special rights, and such qualifications, limitations or restrictions thereof as shall be stated and expressed in the resolution or resolutions providing for the issuance of such series of preferred shares as may be adopted from time to time by the Board of Directors prior to the issuance of any shares thereof pursuant to the authority hereby expressly vested in the Board.</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3.2 Except as provided or required by law, or as provided in the resolution or resolutions of the Board of Directors creating any series of preferred shares, the common shares shall have the exclusive right to vote, on a noncumulative basis, for the election and removal of directors and for all other purposes. Unless otherwise provided by resolution or resolutions of the Board of Directors, each holder of common shares shall be entitled to one vote for each share held.</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3.3 The Board of Directors shall have the authority to issue shares of a class or series, shares of which may then be outstanding, to holders of shares of another class or series to effectuate share dividends, splits, or conversion of its outstanding shares.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3.4 The Board of Directors is authorized to accept and reject subscriptions for and to dispose of authorized shares of the Corporation, including the granting of stock options, warrants and other rights to purchase shares, without action by the shareholders and upon such terms and conditions as may be deemed advisable by the Board of Directors in the exercise of its discretion, except as otherwise limited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3.5 The Board of Directors is authorized to issue, sell or otherwise dispose of bonds, debentures, certificates of indebtedness and other securities, including those convertible into shares of stock, without action by the shareholders and for such consideration and upon such terms and conditions as may be deemed advisable by the Board of Directors in the exercise of its discretion, except as otherwise limited by law.”</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 Effective upon the later of (i) October 18, 2018 or (ii) the filing of the Articles of Amendment approved by the shareholders of the Corporation at a special meeting held on August 7, 2018 (the “Effective Time”), the issued and outstanding common stock of the Corporation shall be combined on a 1-for-30 basis such that, at the Effective Time, every 30 shares of common stock outstanding immediately prior to the Effective Time shall be combined into one share of common stock. This share combination will be effected through the exchange and replacement of certificates representing issued and outstanding shares of common stock as of the Effective Time, together with immediate book-entry adjustments to the stock register of the Corporation maintained in accordance with the Act. In the event that the share combination would result in a shareholder being entitled to receive less than a full share of common stock, the fractional share that would so result shall be rounded up to the nearest whole share of common stock. The par value of each share of issued and outstanding common stock shall not be affected by the share combination.</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 Effective upon the Reverse Split Effective Time, the issued and outstanding common stock of the Corporation shall be combined on a 1-for-3 basis such that, at the Effective Time, every three shares of common stock outstanding immediately prior to the Effective Time shall be combined into one share of common stock. This share combination will be effected through the exchange and replacement of certificates representing issued and outstanding shares of common stock as of the Effective Time, together with immediate book-entry adjustments to the stock register of the Corporation maintained in accordance with the Act. In the event that the share combination would result in a shareholder being entitled to receive less than a full share of common stock, the fractional share that would so result shall be rounded up to the nearest whole share of common stock. The par value of each share of issued and outstanding common stock shall not be affected by the share combination.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Certain Shareholder Rights</w:t>
      </w:r>
      <w:r>
        <w:rPr>
          <w:rFonts w:ascii="Times New Roman" w:cs="Times New Roman" w:eastAsia="Times New Roman" w:hAnsi="Times New Roman"/>
          <w:sz w:val="18"/>
          <w:szCs w:val="18"/>
          <w:color w:val="auto"/>
        </w:rPr>
        <w:t>: No shareholder shall have any preemptive rights to subscribe for, purchase or acquire any shares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class, whether unissued or now or hereafter authorized, or any obligations or other securities convertible into or exchangeable for any such shares; provided, however, the foregoing shall not limit in any way the power of the Corporation and any holder of shares of any class of capital stock to provide for the same or similar rights by contract or otherwise. No shareholder of this Corporation shall have any cumulative voting rights.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Written Action by Board</w:t>
      </w:r>
      <w:r>
        <w:rPr>
          <w:rFonts w:ascii="Times New Roman" w:cs="Times New Roman" w:eastAsia="Times New Roman" w:hAnsi="Times New Roman"/>
          <w:sz w:val="18"/>
          <w:szCs w:val="18"/>
          <w:color w:val="auto"/>
        </w:rPr>
        <w:t>: An action required or permitted to be taken by the Board of Directors may be taken by written action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directors that would be required to take the same action at a meeting of the Board at which all directors are present, except as to those matters which require shareholder approval, in which case the written action must be signed by all members of the Board of Directors.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Nonliability of Directors for Certain Actions</w:t>
      </w:r>
      <w:r>
        <w:rPr>
          <w:rFonts w:ascii="Times New Roman" w:cs="Times New Roman" w:eastAsia="Times New Roman" w:hAnsi="Times New Roman"/>
          <w:sz w:val="18"/>
          <w:szCs w:val="18"/>
          <w:color w:val="auto"/>
        </w:rPr>
        <w:t>: To the fullest extent permitted by the Minnesota Business Corporation Act, Minnesota Statutes,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Chapter 302A, as it exists on the date hereof or may hereafter be amended, a director of this Corporation shall not be liable to the Corporation or its shareholders for monetary damages for breach of fiduciary duty as a director. No amendment to or repeal of this Article shall apply to or have any effect on the liability or alleged liability of any director of the Corporation for or with respect to any acts or omissions of such director occurring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3" w:name="page84"/>
    <w:bookmarkEnd w:id="8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color w:val="auto"/>
        </w:rPr>
        <w:t>: The Corporation shall indemnify and may, in the discretion of the Board of Directors, insure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former directors, officers and employees of the Corporation in the manner and to the fullest extent permitted by law.</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Incorporator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address of the incorporator is: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Joseph P. Noack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Briggs and Morgan,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 I.D.S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ectPr>
          <w:pgSz w:w="11900" w:h="16838" w:orient="portrait"/>
          <w:cols w:equalWidth="0" w:num="1">
            <w:col w:w="11140"/>
          </w:cols>
          <w:pgMar w:left="320" w:top="576" w:right="4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right="60" w:firstLine="774"/>
        <w:spacing w:after="0" w:line="258" w:lineRule="auto"/>
        <w:rPr>
          <w:sz w:val="20"/>
          <w:szCs w:val="20"/>
          <w:color w:val="auto"/>
        </w:rPr>
      </w:pPr>
      <w:r>
        <w:rPr>
          <w:rFonts w:ascii="Times New Roman" w:cs="Times New Roman" w:eastAsia="Times New Roman" w:hAnsi="Times New Roman"/>
          <w:sz w:val="18"/>
          <w:szCs w:val="18"/>
          <w:color w:val="auto"/>
        </w:rPr>
        <w:t>The shares of common stock, par value $0.01 per share, of Creative Realities, Inc. (“we,” us” or the “Company”) is registered under Section 12 of the Securities Exchange Act of 1934, as amended (the “Exchange Act”). The following is a description of our common stock, and certain material provisions of Minnesota law, our Amended and Restated Articles of Incorporation (“Articles”) and our Amended and Restated Bylaws (“Bylaws”). The following is only a summary. For a more detailed description of our common stock, you should refer to the provisions of our Articles and our Bylaws, both of which are filed as exhibits to this Annual Report on Form 10-K, and to the Minnesota Business Corporation Act (“MBCA”).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The holders of our common stock are entitled to one vote for each outstanding share of common stock owned by that shareholder on every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 properly submitted to the shareholders for their vote. Shareholders are not entitled to vote cumulatively for the election of directors.</w:t>
      </w:r>
    </w:p>
    <w:p>
      <w:pPr>
        <w:spacing w:after="0" w:line="15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the dividend rights of the holders of any outstanding series of preferred stock, holders of our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ratably such dividends and other distributions of cash or any other right or property as may be declared by our Board of Directors out of our assets or funds legally available for such dividends or distributions.</w:t>
      </w:r>
    </w:p>
    <w:p>
      <w:pPr>
        <w:spacing w:after="0" w:line="173"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voluntary or involuntary liquidation, dissolution or winding up of our affairs, holders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 entitled to share ratably in our assets that are legally available for distribution to shareholders after payment of liabilities and after the satisfaction of any liquidation preference owed to the holders of any outstanding series of preferred stock.</w:t>
      </w:r>
    </w:p>
    <w:p>
      <w:pPr>
        <w:spacing w:after="0" w:line="173"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Conversion, Redemption and Preemptive Rights</w:t>
      </w:r>
      <w:r>
        <w:rPr>
          <w:rFonts w:ascii="Times New Roman" w:cs="Times New Roman" w:eastAsia="Times New Roman" w:hAnsi="Times New Roman"/>
          <w:sz w:val="18"/>
          <w:szCs w:val="18"/>
          <w:color w:val="auto"/>
        </w:rPr>
        <w:t>. Holders of our common stock have no conversion, redemption, preemptive, subscription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rights.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certain provisions of the MBCA and our Bylaws that are likely to discourage any unfriendly attempt to obtain control of the Company. This summary does not purport to be complete and is qualified in its entirety by reference to the MBCA and our Bylaws.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Minnesota Business Combination Act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Section 302A.673 of the MBCA. Subject to certain qualifications and exceptions, the statute prohibits an “interested shareholder” of an “issuing public corporation” from effecting any “business combination” with the corporation for a period of four years from the date the shareholder becomes an “interested shareholder” unless the corporation’s Board of Directors approved the business combination prior to the shareholder becoming an “interested shareholder” or otherwise approved the shareholder becoming an “interested shareholder.” As a public corporation incorporated under the MBCA, we are an “issuing public corporation” under the statute.</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An “interested shareholder” is defined to include (i) any beneficial owner of 10% or more of the voting power of the outstanding voting stock of the corporation, or (ii) any affiliate or associate of the corporation, that, within the prior four-year period has at any time directly or indirectly beneficially owned 10% or more of the voting power of the then-outstanding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The term “business combination” is defined broadly to include, among other things:</w:t>
      </w:r>
    </w:p>
    <w:p>
      <w:pPr>
        <w:spacing w:after="0" w:line="225" w:lineRule="exact"/>
        <w:rPr>
          <w:sz w:val="20"/>
          <w:szCs w:val="20"/>
          <w:color w:val="auto"/>
        </w:rPr>
      </w:pPr>
    </w:p>
    <w:p>
      <w:pPr>
        <w:ind w:left="340" w:right="800" w:hanging="170"/>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consolidation or share exchange of the corporation with the interested shareholder or any corporation that is, or after the merger, consolidation or share exchange would be, an affiliate or associate of the interested shareholder (subject to certain exceptions);</w:t>
      </w:r>
    </w:p>
    <w:p>
      <w:pPr>
        <w:spacing w:after="0" w:line="161" w:lineRule="exact"/>
        <w:rPr>
          <w:rFonts w:ascii="Times New Roman" w:cs="Times New Roman" w:eastAsia="Times New Roman" w:hAnsi="Times New Roman"/>
          <w:sz w:val="18"/>
          <w:szCs w:val="18"/>
          <w:color w:val="auto"/>
        </w:rPr>
      </w:pPr>
    </w:p>
    <w:p>
      <w:pPr>
        <w:ind w:left="340" w:right="100" w:hanging="170"/>
        <w:spacing w:after="0" w:line="281" w:lineRule="auto"/>
        <w:tabs>
          <w:tab w:leader="none" w:pos="3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exchange, mortgage, pledge, transfer or other disposition to or with an interested shareholder or any affiliate or associate of the interested shareholder, of assets of the corporation or any subsidiary (i) having an aggregate market value of 10% or more of the corporation’s consolidated assets, (ii) having an aggregate market value of 10% or more of the market value of all outstanding shares of the corporation, or (iii) representing 10% or more of the earning power or net income of the corporation determined on a consolidated basis (subject to certain exceptions); or</w:t>
      </w:r>
    </w:p>
    <w:p>
      <w:pPr>
        <w:spacing w:after="0" w:line="164" w:lineRule="exact"/>
        <w:rPr>
          <w:rFonts w:ascii="Times New Roman" w:cs="Times New Roman" w:eastAsia="Times New Roman" w:hAnsi="Times New Roman"/>
          <w:sz w:val="17"/>
          <w:szCs w:val="17"/>
          <w:color w:val="auto"/>
        </w:rPr>
      </w:pPr>
    </w:p>
    <w:p>
      <w:pPr>
        <w:ind w:left="340" w:right="280" w:hanging="170"/>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to an interested shareholder or any affiliate or associate of the interested shareholder of 5% or more of the aggregate market value of the outstanding stock of the corporation (subject to certain exceptions).</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statute is designed to protect minority shareholders of an issuing public corporation by prohibiting transactions in which an acquirer could favor itself at the expense of minority shareholders. The statute’s prohibition on the issuance or transfer to an interested shareholder of 5% or more of the aggregate market value of the outstanding stock of a corporation is subject to an exemption for shares purchased pursuant to the exercise of rights offered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all shareholders, such as a rights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Bylaws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spacing w:after="0" w:line="185"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Advance Notice Provisions for Raising Business or Nominating Directors</w:t>
      </w:r>
      <w:r>
        <w:rPr>
          <w:rFonts w:ascii="Times New Roman" w:cs="Times New Roman" w:eastAsia="Times New Roman" w:hAnsi="Times New Roman"/>
          <w:sz w:val="17"/>
          <w:szCs w:val="17"/>
          <w:color w:val="auto"/>
        </w:rPr>
        <w:t>. Sections 2.2 and 3.3 of our Bylaws contain advance-notice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relating to the ability of shareholders to raise business at a shareholder meeting and make nominations for directors to serve on our Board of Directors. These advance-notice provisions generally require shareholders to raise business within a specified period of time prior to a shareholder meeting in order for the business to be properly brought before the shareholder meeting. Similarly, our Bylaws prescribe the timing of submissions for nominations to our Board of Directors and the certain of factual and background information respecting the nominee and the shareholder making the nomination.</w:t>
      </w:r>
    </w:p>
    <w:p>
      <w:pPr>
        <w:spacing w:after="0" w:line="168"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Limited Shareholder Action in Writing</w:t>
      </w:r>
      <w:r>
        <w:rPr>
          <w:rFonts w:ascii="Times New Roman" w:cs="Times New Roman" w:eastAsia="Times New Roman" w:hAnsi="Times New Roman"/>
          <w:sz w:val="18"/>
          <w:szCs w:val="18"/>
          <w:color w:val="auto"/>
        </w:rPr>
        <w:t>. Our Bylaws provide that shareholder action can be taken only at an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and cannot be taken by written consent in lieu of a meeting by fewer than all shareholders entitled to vote. This provision is consistent with the MBCA, which does not allow for fewer than all shareholders of a public corporation to take action other than at an actual meeting of the shareholders.</w:t>
      </w:r>
    </w:p>
    <w:p>
      <w:pPr>
        <w:spacing w:after="0" w:line="17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Number of Directors and Vacancies</w:t>
      </w:r>
      <w:r>
        <w:rPr>
          <w:rFonts w:ascii="Times New Roman" w:cs="Times New Roman" w:eastAsia="Times New Roman" w:hAnsi="Times New Roman"/>
          <w:sz w:val="18"/>
          <w:szCs w:val="18"/>
          <w:color w:val="auto"/>
        </w:rPr>
        <w:t>. Our Bylaws provide that the number of directors shall initially consist of seven persons, with the precise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directors comprising the board shall be determined from time to time by the board itself. The prescribed number of directors comprising the board may be increased (but not decreased) by a majority of the directors then serving on the board. The Bylaws also provide that our board has the right, except as may be provided in the terms of any series of preferred stock created by resolutions of the board, to fill vacancies, including vacancies created by any decision of our board to increase the number of directors comprising the board.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Blank-Check Preferred Stock</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Under our Articles, our board has the authority to fix by resolution the terms and conditions of one or more series of preferred stock and provide by resolution for the issuance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6" w:name="page87"/>
    <w:bookmarkEnd w:id="86"/>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availability of our preferred stock, in each case issuable in series, and additional shares of common stock could facilitate certain financings and acquisitions and provide a means for meeting other corporate needs which might arise. The authorized shares of our preferred stock, as well as authorized but unissued shares of common stock, will be available for issuance without further action by our shareholders, unless shareholder action is required by applicable law or the rules of any stock exchange on which any series of our stock may then be listed, or except as may be provided in the terms of any preferred stock created by resolution of our board.</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give our board the power to approve the issuance of a series of preferred stock, or additional shares of common stock, that could, depending on its terms, either impede or facilitate the completion of a merger, tender offer or other takeover attempt. For example, the issuance of new shares of preferred stock might impede a business combination if the terms of those shares include voting rights which would enable a holder to block business combinations or, alternatively, might facilitate a business combination if those shares have general voting rights sufficient to cause an applicable percentage vote requirement to be satisfied.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“CREX.”</w:t>
      </w:r>
    </w:p>
    <w:p>
      <w:pPr>
        <w:sectPr>
          <w:pgSz w:w="11900" w:h="16838" w:orient="portrait"/>
          <w:cols w:equalWidth="0" w:num="1">
            <w:col w:w="11200"/>
          </w:cols>
          <w:pgMar w:left="320" w:top="580" w:right="3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28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2">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(Updated March 18, 2024)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Federal securities laws prohibit trading in the securities of a company on the basis of material non-public information, as well as disclosing such information to others who then trade in the company’s securities. Anyone violating these laws is subject to personal liability and could face criminal penalties.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together with the U.S. Attorneys, pursue insider trading violations vigorously. Cases have been successfully prosecuted against trading by employees through foreign accounts, trading by family members and friends, and trading involving only a small number of shares.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the regulatory authorities, including the SEC and the Financial Industry Regulatory Agency (FINRA), concentrate their enforcement efforts on the individuals who trade, or who tip inside information to others who trade, the federal securities laws also impose potential liability on companies and other “controlling persons” if they fail to take reasonable steps to prevent insider trading by company personnel. Creative Realities, Inc. and its subsidiaries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take seriously our obligation, and that of our associates, to prevent insider trading violations. In light of the severity of the possible sanctions, both to you individually and to us as a company, the Board of Directors has adopted this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satisfy the Company’s obligation to prevent insider trading, to assist Company personnel in avoiding the severe consequences associated with insider trading laws, and to protect the Company’s reputation for integrity and ethical conduct.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is not intended to replace your responsibility to understand and comply with the legal prohibition on insider trading. If you have specific questions regarding this Policy or the applicable law, you should contact our Compliance Officer. Consequences of violating this Policy may be severe and may include civil and criminal penalties resulting in significant fines and imprisonment. Violations of this Policy may also subject you to Company-imposed sanctions, including dismissal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ind w:left="180" w:hanging="172"/>
        <w:spacing w:after="0"/>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Covered by this Policy</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Insiders</w:t>
      </w:r>
      <w:r>
        <w:rPr>
          <w:rFonts w:ascii="Times New Roman" w:cs="Times New Roman" w:eastAsia="Times New Roman" w:hAnsi="Times New Roman"/>
          <w:sz w:val="18"/>
          <w:szCs w:val="18"/>
          <w:color w:val="auto"/>
        </w:rPr>
        <w:t>. This Policy applies to all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of the Company, which include members of the Board of Directors, executive officers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all employees of the Company.</w:t>
      </w:r>
    </w:p>
    <w:p>
      <w:pPr>
        <w:spacing w:after="0" w:line="156" w:lineRule="exact"/>
        <w:rPr>
          <w:rFonts w:ascii="Times New Roman" w:cs="Times New Roman" w:eastAsia="Times New Roman" w:hAnsi="Times New Roman"/>
          <w:sz w:val="18"/>
          <w:szCs w:val="18"/>
          <w:i w:val="1"/>
          <w:iCs w:val="1"/>
          <w:color w:val="auto"/>
        </w:rPr>
      </w:pPr>
    </w:p>
    <w:p>
      <w:pPr>
        <w:jc w:val="both"/>
        <w:ind w:left="980" w:hanging="324"/>
        <w:spacing w:after="0" w:line="254" w:lineRule="auto"/>
        <w:tabs>
          <w:tab w:leader="none" w:pos="980" w:val="left"/>
        </w:tabs>
        <w:numPr>
          <w:ilvl w:val="1"/>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Family Members. </w:t>
      </w:r>
      <w:r>
        <w:rPr>
          <w:rFonts w:ascii="Times New Roman" w:cs="Times New Roman" w:eastAsia="Times New Roman" w:hAnsi="Times New Roman"/>
          <w:sz w:val="18"/>
          <w:szCs w:val="18"/>
          <w:color w:val="auto"/>
        </w:rPr>
        <w:t>The same restrictions that apply to you as an Insider apply to your family members who reside with you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8" w:lineRule="exact"/>
        <w:rPr>
          <w:rFonts w:ascii="Times New Roman" w:cs="Times New Roman" w:eastAsia="Times New Roman" w:hAnsi="Times New Roman"/>
          <w:sz w:val="18"/>
          <w:szCs w:val="18"/>
          <w:i w:val="1"/>
          <w:iCs w:val="1"/>
          <w:color w:val="auto"/>
        </w:rPr>
      </w:pPr>
    </w:p>
    <w:p>
      <w:pPr>
        <w:jc w:val="both"/>
        <w:ind w:left="980" w:hanging="324"/>
        <w:spacing w:after="0" w:line="267" w:lineRule="auto"/>
        <w:tabs>
          <w:tab w:leader="none" w:pos="980" w:val="left"/>
        </w:tabs>
        <w:numPr>
          <w:ilvl w:val="1"/>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Entities that You Influence or Control. </w:t>
      </w:r>
      <w:r>
        <w:rPr>
          <w:rFonts w:ascii="Times New Roman" w:cs="Times New Roman" w:eastAsia="Times New Roman" w:hAnsi="Times New Roman"/>
          <w:sz w:val="18"/>
          <w:szCs w:val="18"/>
          <w:color w:val="auto"/>
        </w:rPr>
        <w:t>This Policy applies to entities that you as an Insider influence or control, including any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or trusts (collectively referred to as “</w:t>
      </w:r>
      <w:r>
        <w:rPr>
          <w:rFonts w:ascii="Times New Roman" w:cs="Times New Roman" w:eastAsia="Times New Roman" w:hAnsi="Times New Roman"/>
          <w:sz w:val="18"/>
          <w:szCs w:val="18"/>
          <w:b w:val="1"/>
          <w:bCs w:val="1"/>
          <w:i w:val="1"/>
          <w:iCs w:val="1"/>
          <w:color w:val="auto"/>
        </w:rPr>
        <w:t>Controlled Entities</w:t>
      </w:r>
      <w:r>
        <w:rPr>
          <w:rFonts w:ascii="Times New Roman" w:cs="Times New Roman" w:eastAsia="Times New Roman" w:hAnsi="Times New Roman"/>
          <w:sz w:val="18"/>
          <w:szCs w:val="18"/>
          <w:color w:val="auto"/>
        </w:rPr>
        <w:t>”), and transaction by these Controlled Entities should be treated for purposes of this Policy and applicable securities laws as if they were for your own account.</w:t>
      </w:r>
    </w:p>
    <w:p>
      <w:pPr>
        <w:spacing w:after="0" w:line="173"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1"/>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Others</w:t>
      </w:r>
      <w:r>
        <w:rPr>
          <w:rFonts w:ascii="Times New Roman" w:cs="Times New Roman" w:eastAsia="Times New Roman" w:hAnsi="Times New Roman"/>
          <w:sz w:val="18"/>
          <w:szCs w:val="18"/>
          <w:color w:val="auto"/>
        </w:rPr>
        <w:t>. The Company may also determine that other persons should be subject to this Policy, such as contractors or consultants who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material non-public information.</w:t>
      </w:r>
    </w:p>
    <w:p>
      <w:pPr>
        <w:spacing w:after="0" w:line="156"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Statement</w:t>
      </w:r>
    </w:p>
    <w:p>
      <w:pPr>
        <w:spacing w:after="0" w:line="229"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subject to this Policy may buy or sell securities of the Company at any time except in accordance with Section 3 of this Policy (Certain Exceptions) or in compliance with Section 4 (Blackout Period and Procedures) and Section 5 (Pre-Clearance &amp; Suspension of Trading) of this Policy.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subject to this Policy may buy or sell securities of another company (including, without limitation, any of our customers, suppliers or other companies with which we have a contractual relationship or may be negotiating) at any time when they have material non-public information about that company that was obtained in the course of services performed on the Company’s behalf.</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subject to this Policy may disclose (“tip”) material non-public information to any other person (including family members), and no person subject to this Policy may make recommendations or express opinions on the basis of material non-public information with regard to trading in securities.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subject to “pre-clearance” (see Section 5) may not buy or sell securities of the Company or securities of another publicly traded company known or believed by such person to be a significant customer of or a significant supplier to the Company, </w:t>
      </w:r>
      <w:r>
        <w:rPr>
          <w:rFonts w:ascii="Times New Roman" w:cs="Times New Roman" w:eastAsia="Times New Roman" w:hAnsi="Times New Roman"/>
          <w:sz w:val="18"/>
          <w:szCs w:val="18"/>
          <w:u w:val="single" w:color="auto"/>
          <w:color w:val="auto"/>
        </w:rPr>
        <w:t>whether or not the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possesses specific material non-public information</w:t>
      </w:r>
      <w:r>
        <w:rPr>
          <w:rFonts w:ascii="Times New Roman" w:cs="Times New Roman" w:eastAsia="Times New Roman" w:hAnsi="Times New Roman"/>
          <w:sz w:val="18"/>
          <w:szCs w:val="18"/>
          <w:color w:val="auto"/>
        </w:rPr>
        <w:t>, unless the person first receives the permission of the Compliance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3. Certain Exceptions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5" w:lineRule="exact"/>
        <w:rPr>
          <w:sz w:val="20"/>
          <w:szCs w:val="20"/>
          <w:color w:val="auto"/>
        </w:rPr>
      </w:pPr>
    </w:p>
    <w:p>
      <w:pPr>
        <w:jc w:val="both"/>
        <w:ind w:left="980" w:hanging="323"/>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The prohibition on trading in the Company’s securities set forth above does not apply to the exercise of stock options issued under the Company’s stock option plans (but not the sale of any such shares), or to the exercise of a “net exercise” or tax withholding right pursuant to which you elect to have the Company withhold shares subject to an option to satisfy the payment of the option exercise price or tax withholding requirements. These transactions are exempt from the restrictions of this Policy because the Company is the other party to these transactions and the price does not vary with the market but is fixed by the terms of the option agreement. This Policy does apply, however, to any sale of stock as part of a broker-assisted cashless exercise of an option, or any other market sale for the purpose of generating the cash needed to pay the exercise price of an option.</w:t>
      </w:r>
    </w:p>
    <w:p>
      <w:pPr>
        <w:spacing w:after="0" w:line="189" w:lineRule="exact"/>
        <w:rPr>
          <w:sz w:val="20"/>
          <w:szCs w:val="20"/>
          <w:color w:val="auto"/>
        </w:rPr>
      </w:pPr>
    </w:p>
    <w:p>
      <w:pPr>
        <w:jc w:val="both"/>
        <w:ind w:left="980" w:hanging="323"/>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The prohibition on trading in the Company’s securities set forth above does not apply to the vesting of restricted stock, or the exercise of a tax withholding right pursuant to which you elect to have the Company withhold shares of stock to satisfy tax withholding requirements upon vesting of any restricted stock. This Policy does apply, however, to any market sale of restricted stock, including a market sale for the purpose of generating the cash needed to pay taxes triggered upon vesting of restricted stock.</w:t>
      </w:r>
    </w:p>
    <w:p>
      <w:pPr>
        <w:spacing w:after="0" w:line="180" w:lineRule="exact"/>
        <w:rPr>
          <w:sz w:val="20"/>
          <w:szCs w:val="20"/>
          <w:color w:val="auto"/>
        </w:rPr>
      </w:pPr>
    </w:p>
    <w:p>
      <w:pPr>
        <w:jc w:val="both"/>
        <w:ind w:left="980" w:hanging="323"/>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If the Company sponsors an employee stock purchase plan, the prohibition on trading in the Company’s securities set forth above does not apply to purchases of Company stock in such plan resulting from any periodic contribution of money to such plan pursuant to an election made at the time of your enrollment therein. This Policy also does not apply to purchases of Company stock resulting from lump sum contributions to such a plan, provided that you elected to participate by lump-sum payment at the beginning of the applicable enrollment period. This Policy does apply, however, to your election to participate in such a plan for any enrollment period, and to your sales of Company stock purchased pursuant to such a plan.</w:t>
      </w:r>
    </w:p>
    <w:p>
      <w:pPr>
        <w:spacing w:after="0" w:line="187" w:lineRule="exact"/>
        <w:rPr>
          <w:sz w:val="20"/>
          <w:szCs w:val="20"/>
          <w:color w:val="auto"/>
        </w:rPr>
      </w:pPr>
    </w:p>
    <w:p>
      <w:pPr>
        <w:jc w:val="both"/>
        <w:ind w:left="980" w:hanging="323"/>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The prohibition on trading in the Company’s securities set forth above does not apply to purchases of Company stock in any Company 401(k) plan resulting from any periodic contribution of money to the plan pursuant to your payroll deduction election. This Policy does apply, however, to certain elections you may make under the 401(k) plan, including (i) an election to increase or decrease the percentage of your periodic contributions that will be allocated to the Company stock fund, (ii) an election to make an intra-plan transfer of an existing account balance into or out of the Company stock fund, (iii) an election to borrow money against your 401(k) plan account if the loan will result in a liquidation of some or all of your Company stock fund balance, and (iv) your election to pre-pay a plan loan if the pre-payment will result in allocation of loan proceeds to the Company stock fund.</w:t>
      </w:r>
    </w:p>
    <w:p>
      <w:pPr>
        <w:spacing w:after="0" w:line="189" w:lineRule="exact"/>
        <w:rPr>
          <w:sz w:val="20"/>
          <w:szCs w:val="20"/>
          <w:color w:val="auto"/>
        </w:rPr>
      </w:pPr>
    </w:p>
    <w:p>
      <w:pPr>
        <w:jc w:val="both"/>
        <w:ind w:left="980" w:hanging="323"/>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Dividend Reinvestment Plan</w:t>
      </w:r>
      <w:r>
        <w:rPr>
          <w:rFonts w:ascii="Times New Roman" w:cs="Times New Roman" w:eastAsia="Times New Roman" w:hAnsi="Times New Roman"/>
          <w:sz w:val="18"/>
          <w:szCs w:val="18"/>
          <w:color w:val="auto"/>
        </w:rPr>
        <w:t>. The prohibition on trading in the Company’s securities set forth above does not apply to purchases of Company stock under a Company dividend reinvestment plan resulting from your reinvestment of dividends paid on Company securities. This Policy does apply, however, to voluntary purchases of Company stock resulting from additional contributions you choose to make to such a plan, and to your election to participate in such a plan or increase your level of participation therein. This Policy also applies to your sale of any Company stock purchased pursuant to such a plan.</w:t>
      </w:r>
    </w:p>
    <w:p>
      <w:pPr>
        <w:spacing w:after="0" w:line="183" w:lineRule="exact"/>
        <w:rPr>
          <w:sz w:val="20"/>
          <w:szCs w:val="20"/>
          <w:color w:val="auto"/>
        </w:rPr>
      </w:pPr>
    </w:p>
    <w:p>
      <w:pPr>
        <w:jc w:val="both"/>
        <w:ind w:left="980" w:hanging="323"/>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 to this Policy.</w:t>
      </w:r>
    </w:p>
    <w:p>
      <w:pPr>
        <w:spacing w:after="0" w:line="162" w:lineRule="exact"/>
        <w:rPr>
          <w:sz w:val="20"/>
          <w:szCs w:val="20"/>
          <w:color w:val="auto"/>
        </w:rPr>
      </w:pPr>
    </w:p>
    <w:p>
      <w:pPr>
        <w:jc w:val="both"/>
        <w:ind w:left="980" w:hanging="323"/>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Exceptions for Transactions Not Involving a Purchase or Sale</w:t>
      </w:r>
      <w:r>
        <w:rPr>
          <w:rFonts w:ascii="Times New Roman" w:cs="Times New Roman" w:eastAsia="Times New Roman" w:hAnsi="Times New Roman"/>
          <w:sz w:val="18"/>
          <w:szCs w:val="18"/>
          <w:color w:val="auto"/>
        </w:rPr>
        <w:t>. Bona fide gifts of Company securities are not transactions subject to this Policy unless the person making the gift has reason to believe that the recipient intends to sell the Company securities while the officer, employee, director or other person subject to this Policy is aware of material nonpublic information. Further, transactions in mutual funds that are invested in Company securities are not transactions subject to this Policy.</w:t>
      </w:r>
    </w:p>
    <w:p>
      <w:pPr>
        <w:spacing w:after="0" w:line="176" w:lineRule="exact"/>
        <w:rPr>
          <w:sz w:val="20"/>
          <w:szCs w:val="20"/>
          <w:color w:val="auto"/>
        </w:rPr>
      </w:pPr>
    </w:p>
    <w:p>
      <w:pPr>
        <w:jc w:val="both"/>
        <w:ind w:left="980" w:hanging="323"/>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Exception for Approved and Compliant 10b5-1 Plans</w:t>
      </w:r>
      <w:r>
        <w:rPr>
          <w:rFonts w:ascii="Times New Roman" w:cs="Times New Roman" w:eastAsia="Times New Roman" w:hAnsi="Times New Roman"/>
          <w:sz w:val="18"/>
          <w:szCs w:val="18"/>
          <w:color w:val="auto"/>
        </w:rPr>
        <w:t>.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provides an affirmative defense from insider trading liability under the federal securities laws for trading plans that meet the requirements set forth in Rule 10b5-1. In general, a 10b5-1 plan must be entered into before you are aware of material non-public information. Once the 10b5-1 plan is adopted, you must not exercise any influence over the amount of securities to be traded, the price at which they are to be traded or the date of the trade. The 10b5-1 plan must either specify (including by formula) the amount, pricing and timing of transactions in advance or delegate discretion on those matters to an independent third party. The Company requires that all 10b5-1 plans, and any amendments or modifications thereof, be approved in writing in advance by the Compliance Officer and satisfy the requirements of Rule 10b5-1 Plans and the Company’s “Guidelines for 10b5-1 Plan”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Policy. A 10b5-1 plan should be submitted for approval at least five business days prior to entry into the 10b5-1 plan. No further pre-approval of transactions conducted pursuant to the 10b5-1 Plan will be required. Trades in the Company securities that are executed pursuant to an approved and compliant 10b5-1 plan are not subject to the prohibition on trading on the basis of material non-public information contained in this Policy or to Section 4 (Blackout Period and Procedures) or Section 5 (Pre-Clearance &amp; Suspension of Trading) of this Policy.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ind w:left="180" w:hanging="172"/>
        <w:spacing w:after="0"/>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 and Procedures</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61" w:lineRule="auto"/>
        <w:tabs>
          <w:tab w:leader="none" w:pos="8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To help prevent inadvertent violations of the federal securities laws and to avoid even the appearance of trading on the basis of inside information, the Company has designated certain “</w:t>
      </w:r>
      <w:r>
        <w:rPr>
          <w:rFonts w:ascii="Times New Roman" w:cs="Times New Roman" w:eastAsia="Times New Roman" w:hAnsi="Times New Roman"/>
          <w:sz w:val="18"/>
          <w:szCs w:val="18"/>
          <w:b w:val="1"/>
          <w:bCs w:val="1"/>
          <w:i w:val="1"/>
          <w:iCs w:val="1"/>
          <w:color w:val="auto"/>
        </w:rPr>
        <w:t>Blackout Periods</w:t>
      </w:r>
      <w:r>
        <w:rPr>
          <w:rFonts w:ascii="Times New Roman" w:cs="Times New Roman" w:eastAsia="Times New Roman" w:hAnsi="Times New Roman"/>
          <w:sz w:val="18"/>
          <w:szCs w:val="18"/>
          <w:color w:val="auto"/>
        </w:rPr>
        <w:t xml:space="preserve">” during which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persons subject to this Policy may not trade in the Company’s securities, directly or through family members or other persons or entities. Even if a Blackout Period is not in effect, at no time may you trade in the Company’s securities if you are aware of material non-public information about the Company.</w:t>
      </w:r>
    </w:p>
    <w:p>
      <w:pPr>
        <w:spacing w:after="0" w:line="179" w:lineRule="exact"/>
        <w:rPr>
          <w:rFonts w:ascii="Times New Roman" w:cs="Times New Roman" w:eastAsia="Times New Roman" w:hAnsi="Times New Roman"/>
          <w:sz w:val="18"/>
          <w:szCs w:val="18"/>
          <w:color w:val="auto"/>
        </w:rPr>
      </w:pPr>
    </w:p>
    <w:p>
      <w:pPr>
        <w:ind w:left="980" w:hanging="324"/>
        <w:spacing w:after="0" w:line="255" w:lineRule="auto"/>
        <w:tabs>
          <w:tab w:leader="none" w:pos="8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Blackout Periods</w:t>
      </w:r>
      <w:r>
        <w:rPr>
          <w:rFonts w:ascii="Times New Roman" w:cs="Times New Roman" w:eastAsia="Times New Roman" w:hAnsi="Times New Roman"/>
          <w:sz w:val="18"/>
          <w:szCs w:val="18"/>
          <w:color w:val="auto"/>
        </w:rPr>
        <w:t>. The Company’s announcement of its quarterly financial results almost always has the potential to have a material effect on the market for the Company’s securities. Therefore, to avoid the appearance of trading on the basis of material non-public information, persons subject to this Policy, as well as their family members or entities they control or influence, may not conduct any transactions involving the Company’s securities (other than as specified by this Policy) during a Blackout Period beginning on the 15th day prior to the end of each fiscal quarter and ending following the expiration of two full trading days after the Company’s public release of its earnings results for that quarter. If the 15th day falls on a weekend, the applicable Blackout Period will begin at the close of business on the last trading day prior to that weekend.</w:t>
      </w:r>
    </w:p>
    <w:p>
      <w:pPr>
        <w:spacing w:after="0" w:line="188" w:lineRule="exact"/>
        <w:rPr>
          <w:rFonts w:ascii="Times New Roman" w:cs="Times New Roman" w:eastAsia="Times New Roman" w:hAnsi="Times New Roman"/>
          <w:sz w:val="18"/>
          <w:szCs w:val="18"/>
          <w:color w:val="auto"/>
        </w:rPr>
      </w:pPr>
    </w:p>
    <w:p>
      <w:pPr>
        <w:ind w:left="980" w:hanging="324"/>
        <w:spacing w:after="0" w:line="253" w:lineRule="auto"/>
        <w:tabs>
          <w:tab w:leader="none" w:pos="8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Event-Specific Trading Restriction Periods</w:t>
      </w:r>
      <w:r>
        <w:rPr>
          <w:rFonts w:ascii="Times New Roman" w:cs="Times New Roman" w:eastAsia="Times New Roman" w:hAnsi="Times New Roman"/>
          <w:sz w:val="18"/>
          <w:szCs w:val="18"/>
          <w:color w:val="auto"/>
        </w:rPr>
        <w:t>. From time to time, an event may occur that is material to the Company and is known by only a few directors, officers, employees and/or others subject to this Policy. So long as the event remains material and non-public, the persons designated and notified by the Compliance Officer may not trade the Company’s securities. In addition, the Company’s financial results may be sufficiently material in a particular fiscal quarter that, in the judgment of the Compliance Officer, designated persons should refrain from trading in the Company’s securities even sooner than the typical Blackout Period described above. In that situation, the Compliance Officer may notify these persons that they should not trade in the Company’s securities. The existence of an event-specific trading restriction period or extension of a Blackout Period will not be announced to the Company as a whole, and should not be communicated to any other person. If, however, a person whose trades are subject to pre-clearance requests permission to trade in the Company’s securities during an event-specific Blackout Period, the Compliance Officer will inform the requesting person of the existence of a Blackout Period, without disclosing the reason for the restriction. Any person made aware of the existence of an event-specific Blackout Period should not disclose the existence of the Blackout Period to any other person. The failure of the Compliance Officer to designate a person as being subject to an event-specific Blackout Period will not relieve that person of the obligation not to trade while aware of material non-public information.</w:t>
      </w:r>
    </w:p>
    <w:p>
      <w:pPr>
        <w:spacing w:after="0" w:line="189" w:lineRule="exact"/>
        <w:rPr>
          <w:rFonts w:ascii="Times New Roman" w:cs="Times New Roman" w:eastAsia="Times New Roman" w:hAnsi="Times New Roman"/>
          <w:sz w:val="18"/>
          <w:szCs w:val="18"/>
          <w:color w:val="auto"/>
        </w:rPr>
      </w:pPr>
    </w:p>
    <w:p>
      <w:pPr>
        <w:ind w:left="980" w:hanging="324"/>
        <w:spacing w:after="0" w:line="261" w:lineRule="auto"/>
        <w:tabs>
          <w:tab w:leader="none" w:pos="8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Blackout Periods</w:t>
      </w:r>
      <w:r>
        <w:rPr>
          <w:rFonts w:ascii="Times New Roman" w:cs="Times New Roman" w:eastAsia="Times New Roman" w:hAnsi="Times New Roman"/>
          <w:sz w:val="18"/>
          <w:szCs w:val="18"/>
          <w:color w:val="auto"/>
        </w:rPr>
        <w:t>. The quarterly trading restrictions and event-driven trading restrictions do not apply to those transactions to which this Policy does not apply, as described above in Section 3. Further, the requirement for pre-clearance, the quarterly trading restrictions and event-driven trading restrictions do not apply to transactions conducted pursuant to a pre-approved trading plan that complies with Rule 10b5-1.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ind w:left="180" w:hanging="172"/>
        <w:spacing w:after="0"/>
        <w:tabs>
          <w:tab w:leader="none" w:pos="1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&amp; Suspension of Trading</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8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Insiders Requiring Pre-Clearance</w:t>
      </w:r>
      <w:r>
        <w:rPr>
          <w:rFonts w:ascii="Times New Roman" w:cs="Times New Roman" w:eastAsia="Times New Roman" w:hAnsi="Times New Roman"/>
          <w:sz w:val="18"/>
          <w:szCs w:val="18"/>
          <w:color w:val="auto"/>
        </w:rPr>
        <w:t>. Certain Insiders must contact our Compliance Officer to obtain pre-clearance at any time prior to buying or selling securities of the Company. Individuals subject to this pre-clearance requirement are:</w:t>
      </w:r>
    </w:p>
    <w:p>
      <w:pPr>
        <w:spacing w:after="0" w:line="157" w:lineRule="exact"/>
        <w:rPr>
          <w:rFonts w:ascii="Times New Roman" w:cs="Times New Roman" w:eastAsia="Times New Roman" w:hAnsi="Times New Roman"/>
          <w:sz w:val="18"/>
          <w:szCs w:val="18"/>
          <w:color w:val="auto"/>
        </w:rPr>
      </w:pPr>
    </w:p>
    <w:p>
      <w:pPr>
        <w:jc w:val="both"/>
        <w:ind w:left="1620" w:hanging="316"/>
        <w:spacing w:after="0" w:line="262"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Individuals</w:t>
      </w:r>
      <w:r>
        <w:rPr>
          <w:rFonts w:ascii="Times New Roman" w:cs="Times New Roman" w:eastAsia="Times New Roman" w:hAnsi="Times New Roman"/>
          <w:sz w:val="18"/>
          <w:szCs w:val="18"/>
          <w:color w:val="auto"/>
        </w:rPr>
        <w:t>. All members of the Board of Directors and the Company’s executive officers are “</w:t>
      </w:r>
      <w:r>
        <w:rPr>
          <w:rFonts w:ascii="Times New Roman" w:cs="Times New Roman" w:eastAsia="Times New Roman" w:hAnsi="Times New Roman"/>
          <w:sz w:val="18"/>
          <w:szCs w:val="18"/>
          <w:b w:val="1"/>
          <w:bCs w:val="1"/>
          <w:i w:val="1"/>
          <w:iCs w:val="1"/>
          <w:color w:val="auto"/>
        </w:rPr>
        <w:t>Section 16 Individuals</w:t>
      </w:r>
      <w:r>
        <w:rPr>
          <w:rFonts w:ascii="Times New Roman" w:cs="Times New Roman" w:eastAsia="Times New Roman" w:hAnsi="Times New Roman"/>
          <w:sz w:val="18"/>
          <w:szCs w:val="18"/>
          <w:color w:val="auto"/>
        </w:rPr>
        <w:t>.” We will inform each person who is subject to the reporting and penalty provisions of the federal securities laws that they are deemed to be a Section 16 Individual. Section 16 Individuals must comply with the pre-clearance requirement for six months after the termination of their status as a Section 16 Individual.</w:t>
      </w:r>
    </w:p>
    <w:p>
      <w:pPr>
        <w:spacing w:after="0" w:line="180" w:lineRule="exact"/>
        <w:rPr>
          <w:rFonts w:ascii="Times New Roman" w:cs="Times New Roman" w:eastAsia="Times New Roman" w:hAnsi="Times New Roman"/>
          <w:sz w:val="18"/>
          <w:szCs w:val="18"/>
          <w:color w:val="auto"/>
        </w:rPr>
      </w:pPr>
    </w:p>
    <w:p>
      <w:pPr>
        <w:jc w:val="both"/>
        <w:ind w:left="1620" w:hanging="316"/>
        <w:spacing w:after="0" w:line="256"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Restricted Persons</w:t>
      </w:r>
      <w:r>
        <w:rPr>
          <w:rFonts w:ascii="Times New Roman" w:cs="Times New Roman" w:eastAsia="Times New Roman" w:hAnsi="Times New Roman"/>
          <w:sz w:val="18"/>
          <w:szCs w:val="18"/>
          <w:color w:val="auto"/>
        </w:rPr>
        <w:t>. From time-to-time we will notify other persons that they are subject to the pre-clearance requirement if we believe that, in the normal course of their duties, they are likely to have regular access to material non-public information. Examples of persons subject to pre-clearance by virtue of their jobs may be members of the executive leadership team and their administrative staff, and members of the legal, investor relations, finance and business development departments. Occasionally, certain individuals may have access to material non-public information for a limited period of time. During such a period, such persons may be notified that they are also subject to the pre-clearance procedure.</w:t>
      </w:r>
    </w:p>
    <w:p>
      <w:pPr>
        <w:spacing w:after="0" w:line="187" w:lineRule="exact"/>
        <w:rPr>
          <w:rFonts w:ascii="Times New Roman" w:cs="Times New Roman" w:eastAsia="Times New Roman" w:hAnsi="Times New Roman"/>
          <w:sz w:val="18"/>
          <w:szCs w:val="18"/>
          <w:color w:val="auto"/>
        </w:rPr>
      </w:pPr>
    </w:p>
    <w:p>
      <w:pPr>
        <w:ind w:left="980" w:hanging="324"/>
        <w:spacing w:after="0" w:line="266" w:lineRule="auto"/>
        <w:tabs>
          <w:tab w:leader="none" w:pos="8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Trading</w:t>
      </w:r>
      <w:r>
        <w:rPr>
          <w:rFonts w:ascii="Times New Roman" w:cs="Times New Roman" w:eastAsia="Times New Roman" w:hAnsi="Times New Roman"/>
          <w:sz w:val="18"/>
          <w:szCs w:val="18"/>
          <w:color w:val="auto"/>
        </w:rPr>
        <w:t>. From time-to-time, we may recommend that directors, officers, selected employees and others suspend trading in our securities because of developments that have not yet been disclosed to the public. All those affected should not trade in our securities while the suspension is in effect, and should not disclose to others that we have suspended trading for certain individuals.</w:t>
      </w:r>
    </w:p>
    <w:p>
      <w:pPr>
        <w:spacing w:after="0" w:line="175" w:lineRule="exact"/>
        <w:rPr>
          <w:rFonts w:ascii="Times New Roman" w:cs="Times New Roman" w:eastAsia="Times New Roman" w:hAnsi="Times New Roman"/>
          <w:sz w:val="18"/>
          <w:szCs w:val="18"/>
          <w:color w:val="auto"/>
        </w:rPr>
      </w:pPr>
    </w:p>
    <w:p>
      <w:pPr>
        <w:ind w:left="980" w:hanging="324"/>
        <w:spacing w:after="0" w:line="261" w:lineRule="auto"/>
        <w:tabs>
          <w:tab w:leader="none" w:pos="8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material non-public information about the Company, and should describe fully those circumstances to the Compliance Officer. If the requestor is a Section 16 Individual, the requestor should also indicate whether he or she has effected any non-exempt “opposite-way” transactions within the past six months, and should be prepared to report the proposed transaction on an appropriate Form 4 or Form 5.</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Each individual subject to this Policy is responsible for making sure that he or she complies with this Policy, and that any family member, household member or entity whose transactions are subject to this Policy, as discussed herein, also comply with this Policy. Receipt of pre-clearance from the Compliance Officer does not in any way constitute legal advice or insulate an individual from liability under applicable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Special and Prohibited Transactions</w:t>
      </w:r>
    </w:p>
    <w:p>
      <w:pPr>
        <w:spacing w:after="0" w:line="229"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persons subject to this Policy to engage in short-term or speculative transactions in Company securities or other transactions in Company securities that may lead to inadvertent violations of the insider trading laws. Accordingly, trading in Company securities is subject to the following additional guidance:</w:t>
      </w:r>
    </w:p>
    <w:p>
      <w:pPr>
        <w:spacing w:after="0" w:line="176" w:lineRule="exact"/>
        <w:rPr>
          <w:sz w:val="20"/>
          <w:szCs w:val="20"/>
          <w:color w:val="auto"/>
        </w:rPr>
      </w:pPr>
    </w:p>
    <w:p>
      <w:pPr>
        <w:jc w:val="both"/>
        <w:ind w:left="980" w:hanging="324"/>
        <w:spacing w:after="0" w:line="261"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Short sales of Company securities (i.e., the sale of a security that the seller does not own) may evidence an expectation on the part of the seller that the seller lacks confidence in the Company’s prospects. In addition, short sales may reduce a seller’s incentive to seek to improve the Company’s performance. For these reasons, short sales of Company securities are prohibited by this Policy. In addition, Section 16(c) of the Exchange Act prohibits officers and directors from engaging in short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jc w:val="both"/>
        <w:ind w:left="98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Options</w:t>
      </w:r>
      <w:r>
        <w:rPr>
          <w:rFonts w:ascii="Times New Roman" w:cs="Times New Roman" w:eastAsia="Times New Roman" w:hAnsi="Times New Roman"/>
          <w:sz w:val="18"/>
          <w:szCs w:val="18"/>
          <w:color w:val="auto"/>
        </w:rPr>
        <w:t>. Given the relatively short term of publicly-traded options, transactions in options may create the appearance that an Insider is trading based on material non-public information and focus his or her attention on short-term performance at the expense of the Company’s long-term objectives. Accordingly, transactions in put options, call options or other derivative securities, on an exchange or in any other organized market, are prohibited by this Policy.</w:t>
      </w:r>
    </w:p>
    <w:p>
      <w:pPr>
        <w:spacing w:after="0" w:line="17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Hedging transactions can be accomplished through a number of possible mechanisms, including through the use of financial instruments such as prepaid variable forwards, equity swaps, collars and exchange funds. Such hedging transactions might permit a person to own Company securities without the full risks and rewards of ownership. When that occurs, that person may no longer have the same objectives as the Company’s other shareholders. In addition, certain forms of hedging or monetization transactions are extremely complex and can present unique insider trading risks. For these reasons, hedging transactions are prohibited by this Policy.</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or foreclosure sale may occur at a time when you are aware of material nonpublic information or otherwise are not permitted to trade in Company securities, you are prohibited from, directly or indirectly, holding Company securities in a margin account or pledging Company securities as collateral for a loan unless you have received consent in advance from the Compliance Officer. Advance consent may be granted where you wish to pledge Company securities as collateral for a loan (not including margin debt) and clearly demonstrate the financial capacity to repay the loan without resort to the pledged securities. Even in such situations, the Company strongly discourages you from pledging Company securities as collateral for a loan. If you wish to pledge Company securities as collateral for a loan, you must submit a request for approval to the Compliance Officer prior to the proposed execution of documents evidencing the proposed pledge.</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Standing and limit orders (except standing and limit orders under approved 10b5-1 plans)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employee, or other person subject to this Policy is in possession of material nonpublic information. The Company therefore discourages placing standing or limit orders on Company securities. If a person subject to this Policy determines that he or she must use a standing or limit order, the order should be limited to short duration and should otherwise comply with the restrictions and procedures outlined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Post-Termination of Employment.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your transactions in Company securities even after you have terminated employment or your services to the Company. If you are in possession of material non-public information when your employment or service to the Company terminates, you may not trade in Company securities until that information has become public or is no longer material. The pre-clearance specified under Section 5 however, will cease to apply to transactions in Company securities upon the expiration of a Blackout Period or other Company-imposed trading restrictions applicable at the time of the termination of employment or service relationship.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Important Definitions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55" w:lineRule="auto"/>
        <w:tabs>
          <w:tab w:leader="none" w:pos="8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Information is deemed to be “</w:t>
      </w:r>
      <w:r>
        <w:rPr>
          <w:rFonts w:ascii="Times New Roman" w:cs="Times New Roman" w:eastAsia="Times New Roman" w:hAnsi="Times New Roman"/>
          <w:sz w:val="18"/>
          <w:szCs w:val="18"/>
          <w:b w:val="1"/>
          <w:bCs w:val="1"/>
          <w:i w:val="1"/>
          <w:iCs w:val="1"/>
          <w:color w:val="auto"/>
        </w:rPr>
        <w:t>material</w:t>
      </w:r>
      <w:r>
        <w:rPr>
          <w:rFonts w:ascii="Times New Roman" w:cs="Times New Roman" w:eastAsia="Times New Roman" w:hAnsi="Times New Roman"/>
          <w:sz w:val="18"/>
          <w:szCs w:val="18"/>
          <w:color w:val="auto"/>
        </w:rPr>
        <w:t>” if there is a reasonable likelihood that it would be considered important to an investor in making a decision regarding the purchase, holding or sale of Company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For this reason, questions concerning the materiality of particular information should be resolved in favor of materiality, and trading should be avoided. Although it is not possible to define all categories of material information, there are various categories of information that are particularly sensitive and, as a general rule, should always be considered material. Examples of such information include:</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guidance, including projections of future revenues, earnings or losses;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tender or exchange offer;</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significant sale of assets or the disposition of a subsidiary;</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substantial customer or supplier;</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of a significant nature;</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contract or supplier;</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 and</w:t>
      </w:r>
    </w:p>
    <w:p>
      <w:pPr>
        <w:spacing w:after="0" w:line="3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w:t>
      </w:r>
    </w:p>
    <w:p>
      <w:pPr>
        <w:spacing w:after="0" w:line="248" w:lineRule="exact"/>
        <w:rPr>
          <w:rFonts w:ascii="Times New Roman" w:cs="Times New Roman" w:eastAsia="Times New Roman" w:hAnsi="Times New Roman"/>
          <w:sz w:val="18"/>
          <w:szCs w:val="18"/>
          <w:color w:val="auto"/>
        </w:rPr>
      </w:pPr>
    </w:p>
    <w:p>
      <w:pPr>
        <w:ind w:left="980" w:hanging="324"/>
        <w:spacing w:after="0" w:line="256" w:lineRule="auto"/>
        <w:tabs>
          <w:tab w:leader="none" w:pos="8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Non-public information</w:t>
      </w:r>
      <w:r>
        <w:rPr>
          <w:rFonts w:ascii="Times New Roman" w:cs="Times New Roman" w:eastAsia="Times New Roman" w:hAnsi="Times New Roman"/>
          <w:sz w:val="18"/>
          <w:szCs w:val="18"/>
          <w:color w:val="auto"/>
        </w:rPr>
        <w:t xml:space="preserve">” is information that has not been disclosed to the general public and is not available to the general public. Information is considered to be available to the general public only when it has been released to the public through appropriate channels,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means of a press release or a statement from one of the Company’s executive officers, and enough time has elapsed to permit the investment market to absorb and evaluate the information. Once public release of non-public information has occurred, such information will normally be regarded as absorbed and evaluated after such information has been broadly released for a minimum of two full trading days. By contrast, information would likely not be considered widely disseminated if it is available only to the Company’s employees and/or consultants, or if it is only available to a select group of analysts, broker and institutional investors.</w:t>
      </w:r>
    </w:p>
    <w:p>
      <w:pPr>
        <w:spacing w:after="0" w:line="182" w:lineRule="exact"/>
        <w:rPr>
          <w:rFonts w:ascii="Times New Roman" w:cs="Times New Roman" w:eastAsia="Times New Roman" w:hAnsi="Times New Roman"/>
          <w:sz w:val="18"/>
          <w:szCs w:val="18"/>
          <w:color w:val="auto"/>
        </w:rPr>
      </w:pPr>
    </w:p>
    <w:p>
      <w:pPr>
        <w:ind w:left="980" w:hanging="324"/>
        <w:spacing w:after="0" w:line="268" w:lineRule="auto"/>
        <w:tabs>
          <w:tab w:leader="none" w:pos="8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include common stock, preferred stock, options to purchase common stock, warrants, convertible debentures and other derivative securities. Securities of a company will also include derivative securities that are not issued by that company, such as exchange-traded put or call options or swaps, relating to that company’s securities.</w:t>
      </w:r>
    </w:p>
    <w:p>
      <w:pPr>
        <w:spacing w:after="0" w:line="170" w:lineRule="exact"/>
        <w:rPr>
          <w:rFonts w:ascii="Times New Roman" w:cs="Times New Roman" w:eastAsia="Times New Roman" w:hAnsi="Times New Roman"/>
          <w:sz w:val="18"/>
          <w:szCs w:val="18"/>
          <w:color w:val="auto"/>
        </w:rPr>
      </w:pPr>
    </w:p>
    <w:p>
      <w:pPr>
        <w:ind w:left="980" w:hanging="324"/>
        <w:spacing w:after="0" w:line="262" w:lineRule="auto"/>
        <w:tabs>
          <w:tab w:leader="none" w:pos="8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Customer/Significant Supplier</w:t>
      </w:r>
      <w:r>
        <w:rPr>
          <w:rFonts w:ascii="Times New Roman" w:cs="Times New Roman" w:eastAsia="Times New Roman" w:hAnsi="Times New Roman"/>
          <w:sz w:val="18"/>
          <w:szCs w:val="18"/>
          <w:color w:val="auto"/>
        </w:rPr>
        <w:t>. A company will be deemed to be a “</w:t>
      </w:r>
      <w:r>
        <w:rPr>
          <w:rFonts w:ascii="Times New Roman" w:cs="Times New Roman" w:eastAsia="Times New Roman" w:hAnsi="Times New Roman"/>
          <w:sz w:val="18"/>
          <w:szCs w:val="18"/>
          <w:b w:val="1"/>
          <w:bCs w:val="1"/>
          <w:i w:val="1"/>
          <w:iCs w:val="1"/>
          <w:color w:val="auto"/>
        </w:rPr>
        <w:t>significant customer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significant supplier</w:t>
      </w:r>
      <w:r>
        <w:rPr>
          <w:rFonts w:ascii="Times New Roman" w:cs="Times New Roman" w:eastAsia="Times New Roman" w:hAnsi="Times New Roman"/>
          <w:sz w:val="18"/>
          <w:szCs w:val="18"/>
          <w:color w:val="auto"/>
        </w:rPr>
        <w:t>” if its business with the Company constitutes either a material or important portion of the Company’s business or a material or important portion of its own business. All inquiries as to whether a company is a significant customer or significant supplier of the Company should be directed to the Compliance Officer.</w:t>
      </w:r>
    </w:p>
    <w:p>
      <w:pPr>
        <w:spacing w:after="0" w:line="17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 For Section 16 Filers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 Individuals must also comply with the reporting obligations and limitations on “short-swing” transactions set forth in the federal securities laws. The practical effect of these provisions is that Section 16 Individuals who both purchase and sell the Company’s securities within a six-month period must refund all profits from the sale to the Company, whether or not they had knowledge of any material non-public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these provisions, and so long as certain other criteria are met, the receipt of options under the Company’s option plans, the exercise of that option is not subject to these restrictions; however, the sale of any such shares is subject to this six-month rule. Additionally, Section 16 Individuals may never make a short sale of the Company’s stock. The Company may provide separate memoranda and other appropriate materials to its Section 16 Individuals regarding compliance with these rules.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10. Administration of Policy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Company’s Chief Financial Officer will serve as the “</w:t>
      </w:r>
      <w:r>
        <w:rPr>
          <w:rFonts w:ascii="Times New Roman" w:cs="Times New Roman" w:eastAsia="Times New Roman" w:hAnsi="Times New Roman"/>
          <w:sz w:val="18"/>
          <w:szCs w:val="18"/>
          <w:b w:val="1"/>
          <w:bCs w:val="1"/>
          <w:i w:val="1"/>
          <w:iCs w:val="1"/>
          <w:color w:val="auto"/>
        </w:rPr>
        <w:t>Compliance Officer</w:t>
      </w:r>
      <w:r>
        <w:rPr>
          <w:rFonts w:ascii="Times New Roman" w:cs="Times New Roman" w:eastAsia="Times New Roman" w:hAnsi="Times New Roman"/>
          <w:sz w:val="18"/>
          <w:szCs w:val="18"/>
          <w:color w:val="auto"/>
        </w:rPr>
        <w:t>” of this Policy, and in such officer’s absence another employee designated by the Board of Directors shall be responsible for administration of this Policy. All determinations and interpretations by the Compliance Officer shall be final and not subject to further review.</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 question concerning the propriety of a proposed transaction, or who has a question about this Policy generally, may obtain additional guidance from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Unauthorized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or other engagement the Company as confidential and proprietary to the Company. Inadvertent disclosure of confidential or inside information may expose the Company and you to risk of investigation and litigation.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refer to other Company policies that may be in place from time to time for more details regarding the Company’s policies on speaking to the media, financial analysts and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Cooperation of Covered Persons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Persons covered by this Policy shall obtain and maintain accurate and complete records of their trading activity in Company securities in order to demonstrate compliance with this Policy. Further, persons covered by this Policy shall respond promptly, accurately and completely to any request from the Compliance Officer for information and/or materials in order to demonstrate or confirm such persons’ compliance with this Policy. Requests may include but are not limited to documentation evidencing trading activity of such persons, their Family Members and Controlled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Personal Responsibility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individual is responsible for making sure that he or she complies with this Policy, and that any Family Member or Controlled Entity whose transactions are subject to this Policy, as discussed herein, also comply with this Policy. In all cases, the responsibility for determining whether an individual is in possession of material nonpublic information rests with that individual, and any action on the part of the Company, the Compliance Officer or any other employee, director or agent of the Company with respect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further described in Section 15 (Consequences of Violations).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Company Assistance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Your compliance with this Policy is of the utmost importance both for you and for the Company. If you have any questions about this Policy or its application to any proposed transaction, you may obtain additional guidance from the Compliance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Violations</w:t>
      </w:r>
    </w:p>
    <w:p>
      <w:pPr>
        <w:spacing w:after="0" w:line="227" w:lineRule="exact"/>
        <w:rPr>
          <w:rFonts w:ascii="Times New Roman" w:cs="Times New Roman" w:eastAsia="Times New Roman" w:hAnsi="Times New Roman"/>
          <w:sz w:val="18"/>
          <w:szCs w:val="18"/>
          <w:b w:val="1"/>
          <w:bCs w:val="1"/>
          <w:color w:val="auto"/>
        </w:rPr>
      </w:pPr>
    </w:p>
    <w:p>
      <w:pPr>
        <w:jc w:val="both"/>
        <w:ind w:left="660" w:right="20" w:hanging="328"/>
        <w:spacing w:after="0" w:line="261"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Civil and Criminal Penalties. </w:t>
      </w:r>
      <w:r>
        <w:rPr>
          <w:rFonts w:ascii="Times New Roman" w:cs="Times New Roman" w:eastAsia="Times New Roman" w:hAnsi="Times New Roman"/>
          <w:sz w:val="18"/>
          <w:szCs w:val="18"/>
          <w:color w:val="auto"/>
        </w:rPr>
        <w:t>The purchase and sale of securities while aware of material nonpublic information, or the disclosure of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nonpublic information to others who then trade in Company securities, is prohibited by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Controlling Person Liability. </w:t>
      </w:r>
      <w:r>
        <w:rPr>
          <w:rFonts w:ascii="Times New Roman" w:cs="Times New Roman" w:eastAsia="Times New Roman" w:hAnsi="Times New Roman"/>
          <w:sz w:val="18"/>
          <w:szCs w:val="18"/>
          <w:color w:val="auto"/>
        </w:rPr>
        <w:t>Although regulatory authorities concentrate their efforts on individuals who trade, or tip inside information to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trade, the federal securities laws also impose liability on companies and other “controlling persons” if they fail to take reasonable steps to prevent insider trading by company personnel.</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Sanctions. </w:t>
      </w:r>
      <w:r>
        <w:rPr>
          <w:rFonts w:ascii="Times New Roman" w:cs="Times New Roman" w:eastAsia="Times New Roman" w:hAnsi="Times New Roman"/>
          <w:sz w:val="18"/>
          <w:szCs w:val="18"/>
          <w:color w:val="auto"/>
        </w:rPr>
        <w:t>In addition, an individual’s failure to comply with this Policy may also subject the individual to Company-imposed sanctions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or not the employee’s failure to comply with this Policy results in a violation of law, including without limitation suspension or termination for cause. Needless to say, a violation of law, or even an SEC investigation that does not result in prosecution, can tarnish a person’s reputation and irreparably damage a career.</w:t>
      </w:r>
    </w:p>
    <w:p>
      <w:pPr>
        <w:spacing w:after="0" w:line="17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with Other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terms of this Policy conflict with any obligations set forth in any codes, handbooks or policies of the Company or its controlled subsidiaries, the terms of this Policy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Insiders must certify their understanding of, and intent to comply with, this Policy. A copy of the form of certification that all Insiders must sign is attached; provided, however, that any Insider, or any consultant to the Company that has been notified that such consultant is subject to this Policy, shall be bound by this Policy even if a certification is not signed by such party, provided that such party has received a copy of this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534670</wp:posOffset>
            </wp:positionV>
            <wp:extent cx="2468880"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18"/>
          <w:szCs w:val="18"/>
          <w:b w:val="1"/>
          <w:bCs w:val="1"/>
          <w:color w:val="auto"/>
        </w:rPr>
        <w:t>CREATIVE REALITES,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I certify that I have received and reviewed the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Creative Realities, Inc. I understand that the Compliance Officer is available to answer to any questions I have regarding the Policy. Furthermore, I hereby affirm that I intend to comply with the Policy.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2940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wp:posOffset>
            </wp:positionV>
            <wp:extent cx="2940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29400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380365</wp:posOffset>
            </wp:positionV>
            <wp:extent cx="2468880" cy="428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REQUEST TO TRADE IN COMPANY SECURITIES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Compliance Officer - Creative Realities,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3531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Transaction in Company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3531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intends to engage in transactions in Company securities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56261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56261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540385</wp:posOffset>
            </wp:positionV>
            <wp:extent cx="56261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562610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814705</wp:posOffset>
            </wp:positionV>
            <wp:extent cx="56261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562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such transaction(s), the undersigned hereby requests permission from Creative Realities,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engage in the foregoing transaction and hereby certifies to the Company, that, to the best knowledge of the undersigned, the undersigned is not in possession of any information that is not also available to the public at large or which could affect the market price of the above security or to which a reasonable investor would attach importance in deciding whether to buy, sell, or retain such security.</w:t>
      </w: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as of ____________, 20___.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GUIDELINES FOR 10B5-1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provides an affirmative defense from insider trading liability under the federal securities laws for trading plans that meet the requirements set forth in Rule 10b5-1. In general, a 10b5-1 plan must be entered into before you are aware of material non-public information. Once the 10b5-1 plan is adopted, you must not exercise any influence over the amount of securities to be traded, the price at which they are to be traded or the date of the trade. The 10b5-1 plan must either specify (including by formula) the amount, pricing and timing of transactions in advance or delegate discretion on those matters to an independent third party. Trades in the Company securities that are executed pursuant to an approved and compliant 10b5-1 plan are not subject to the prohibition on trading on the basis of material non-public information contained Creative Realities’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or to Section 4 (Blackout Period and Procedures) or Section 5 (Pre-Clearance &amp; Suspension of Trading) of the Policy.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specified in the Policy, each 10b5-1 plan, and any amendments or modifications thereof, must be approved in writing in advance by the Compliance Officer. A 10b5-1 plan (or any amendment or modification thereof) should be submitted for approval at least five days prior to the entry into, amendment or modification of the 10b5-1 plan. No further pre-approval of transactions conducted pursuant to the 10b5-1 Plan will be required.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guidelines apply to 10b5-1 plans:</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suspend or otherwise modify a 10b5-1 plan during a Blackout Period or while in possession of material nonpublic information.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entry into, suspension or other modification of a 10b5-1 plan must be made in good faith and not as part of a plan or scheme to evade the prohibitions of Rule 10b5-1.</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of the Company, each 10b5-1 plan must include a representation that such director of officer is (i) not aware of material non-public information about the Company or its securities and (ii) adopting the 10b5-1 plan in good faith and not as a scheme to evade the prohibitions of Rule 10b-5.</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trading can commence, you must comply with the following mandatory cooling-off period after the adoption, suspension or modification of a 10b5-1 plan:</w:t>
      </w:r>
    </w:p>
    <w:p>
      <w:pPr>
        <w:spacing w:after="0" w:line="162" w:lineRule="exact"/>
        <w:rPr>
          <w:sz w:val="20"/>
          <w:szCs w:val="20"/>
          <w:color w:val="auto"/>
        </w:rPr>
      </w:pPr>
    </w:p>
    <w:p>
      <w:pPr>
        <w:ind w:left="1620" w:hanging="316"/>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 xml:space="preserve"> – the later of (i) 90 days after adoption or modification and (ii) two business days after the disclosure of the Company’s financial results for the fiscal quarter in which the 10b5-1 plan was adopted or modified (not to exceed 120 days);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Company Personnel</w:t>
      </w:r>
      <w:r>
        <w:rPr>
          <w:rFonts w:ascii="Times New Roman" w:cs="Times New Roman" w:eastAsia="Times New Roman" w:hAnsi="Times New Roman"/>
          <w:sz w:val="18"/>
          <w:szCs w:val="18"/>
          <w:color w:val="auto"/>
        </w:rPr>
        <w:t xml:space="preserve"> – 30 days after adoption or modification of a 10b5-1 plan.</w:t>
      </w:r>
    </w:p>
    <w:p>
      <w:pPr>
        <w:spacing w:after="0" w:line="25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These cooling off periods are required by SEC rules and designed to minimize the risk that a claim will be made that you were aware of material nonpublic information when you entered into the 10b5-1 plan and that the plan was not entered into in good faith.</w:t>
      </w:r>
    </w:p>
    <w:p>
      <w:pPr>
        <w:spacing w:after="0" w:line="162"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have more than one 10b5-1 plan outstanding at the same time, except in limited circumstances pursuant to Rule 10b5-1 and subject in all cases to preapproval by the Compliance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in accordance with the terms of Rule 10b5-1, you may not have more than one “single trade” 10b5-1 plan during any 12-month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10b5-1 plans must be operated in good faith and otherwise comply with Rule 10b5-1. None of the requirements or plan terms currently contemplated by these Guidelines are exhaustive or limiting on the Company. The Company has the right to require the inclusion of additional provisions in your 10b5-1 plan designed to protect you and/or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director, officer and other Section 16 insider understands that the approval or adoption of a 10b5-1 plan in no way reduces or eliminates such person’s obligations under Section 16 of the Exchange Act, including such person’s disclosure and short-swing trading liabilities thereunder. If any questions arise, such person should consult with their own counsel in implementing a 10b5-1 plan.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be required to make certain quarterly disclosures, in accordance with Rule 10b5-1 and the disclosure requirements under the Exchange Act regarding any adoption, modification or termination of a 10b5-1 plan by a director or executive officer. Upon the occurrence of any such adoption, modification or termination, such persons are required to promptly furnish the Compliance Officer information regarding the date of adoption, termination or modification of the 10b5-1 plan, the 10b5-1 plan’s duration, the aggregate number of securities to be sold or purchased under the 10b5-1 plan and any other information reasonably requested by the Compliance Officer. As a condition to any approval by the Company of any 10b5-1 plan, you agree to provide the Compliance Officer the foregoing information promptly to enable the Company to make such disclosures on a timely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8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structure, including our principal operating subsidiaries,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4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191"/>
        </w:trPr>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Allure Global Solutions, Inc.</w:t>
            </w:r>
          </w:p>
        </w:tc>
        <w:tc>
          <w:tcPr>
            <w:tcW w:w="2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Reflect Systems, Inc.</w:t>
            </w:r>
          </w:p>
        </w:tc>
        <w:tc>
          <w:tcPr>
            <w:tcW w:w="2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Creative Realities Canada, Inc.</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333-272202, 333-265699, 333-262516, 333-239108, 333-238275, and 333-255001 on Form S-3, and Nos. 333-257288, 333-189318, 333-181999, 333-174861, 333-167454, 333-159927, 333-147458, and 333-145795 on Form S-8 of our report dated March 21, 2024, relating to the consolidated financial statements of Creative Realities, Inc. appearing in this Annual Report on Form 10-K for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Deloitte and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Kentucky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2024</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520" w:hanging="188"/>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Creative Realities,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332"/>
        <w:spacing w:after="0" w:line="266" w:lineRule="auto"/>
        <w:tabs>
          <w:tab w:leader="none" w:pos="5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5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20" w:firstLine="332"/>
        <w:spacing w:after="0" w:line="282"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680" w:type="dxa"/>
            <w:vAlign w:val="bottom"/>
          </w:tcPr>
          <w:p>
            <w:pPr>
              <w:spacing w:after="0"/>
              <w:rPr>
                <w:sz w:val="16"/>
                <w:szCs w:val="16"/>
                <w:color w:val="auto"/>
              </w:rPr>
            </w:pPr>
          </w:p>
        </w:tc>
        <w:tc>
          <w:tcPr>
            <w:tcW w:w="4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Logan, certify that:</w:t>
      </w:r>
    </w:p>
    <w:p>
      <w:pPr>
        <w:spacing w:after="0" w:line="225" w:lineRule="exact"/>
        <w:rPr>
          <w:sz w:val="20"/>
          <w:szCs w:val="20"/>
          <w:color w:val="auto"/>
        </w:rPr>
      </w:pPr>
    </w:p>
    <w:p>
      <w:pPr>
        <w:ind w:left="520" w:hanging="188"/>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Creative Realities, Inc.;</w:t>
      </w:r>
    </w:p>
    <w:p>
      <w:pPr>
        <w:spacing w:after="0" w:line="225" w:lineRule="exact"/>
        <w:rPr>
          <w:rFonts w:ascii="Times New Roman" w:cs="Times New Roman" w:eastAsia="Times New Roman" w:hAnsi="Times New Roman"/>
          <w:sz w:val="18"/>
          <w:szCs w:val="18"/>
          <w:color w:val="auto"/>
        </w:rPr>
      </w:pPr>
    </w:p>
    <w:p>
      <w:pPr>
        <w:jc w:val="both"/>
        <w:ind w:right="260" w:firstLine="332"/>
        <w:spacing w:after="0" w:line="282"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332"/>
        <w:spacing w:after="0" w:line="282"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332"/>
        <w:spacing w:after="0" w:line="266" w:lineRule="auto"/>
        <w:tabs>
          <w:tab w:leader="none" w:pos="5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332"/>
        <w:spacing w:after="0" w:line="266" w:lineRule="auto"/>
        <w:tabs>
          <w:tab w:leader="none" w:pos="5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 w:firstLine="332"/>
        <w:spacing w:after="0" w:line="282" w:lineRule="auto"/>
        <w:tabs>
          <w:tab w:leader="none" w:pos="5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332"/>
        <w:spacing w:after="0" w:line="266" w:lineRule="auto"/>
        <w:tabs>
          <w:tab w:leader="none" w:pos="5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20" w:firstLine="332"/>
        <w:spacing w:after="0" w:line="282" w:lineRule="auto"/>
        <w:tabs>
          <w:tab w:leader="none" w:pos="5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20" w:firstLine="332"/>
        <w:spacing w:after="0" w:line="282" w:lineRule="auto"/>
        <w:tabs>
          <w:tab w:leader="none" w:pos="5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Logan</w:t>
            </w:r>
          </w:p>
        </w:tc>
      </w:tr>
      <w:tr>
        <w:trPr>
          <w:trHeight w:val="191"/>
        </w:trPr>
        <w:tc>
          <w:tcPr>
            <w:tcW w:w="680" w:type="dxa"/>
            <w:vAlign w:val="bottom"/>
          </w:tcPr>
          <w:p>
            <w:pPr>
              <w:spacing w:after="0"/>
              <w:rPr>
                <w:sz w:val="16"/>
                <w:szCs w:val="16"/>
                <w:color w:val="auto"/>
              </w:rPr>
            </w:pPr>
          </w:p>
        </w:tc>
        <w:tc>
          <w:tcPr>
            <w:tcW w:w="4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 Logan</w:t>
            </w:r>
          </w:p>
        </w:tc>
      </w:tr>
      <w:tr>
        <w:trPr>
          <w:trHeight w:val="234"/>
        </w:trPr>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2023,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Creative Realities, Inc. (the “Company”) on Form 10-K for the year ended December 31, 2023, as filed with the Securities and Exchange Commission on the date hereof (the “Report”), I, Will Logan, certify, pursuant to 18 U.S.C. Section 1350, as adopted pursuant to Section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21, 2024</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Will Logan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06" w:name="page107"/>
    <w:bookmarkEnd w:id="10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Realities Reports Fiscal 2023 Fourth Quarter Results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Record Revenue, Gross Profit, and Adjusted EBITDA for Quarter and Year</w:t>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LOUISVILLE, KY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21, 2024 </w:t>
      </w:r>
      <w:r>
        <w:rPr>
          <w:rFonts w:ascii="Times New Roman" w:cs="Times New Roman" w:eastAsia="Times New Roman" w:hAnsi="Times New Roman"/>
          <w:sz w:val="18"/>
          <w:szCs w:val="18"/>
          <w:color w:val="auto"/>
        </w:rPr>
        <w:t>– Creative Realities, Inc. (“Creative Realities,” “CRI,” or the “Company”) (NASDAQ: CREX), a leading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digital signage and media solutions, announced its financial results for the fiscal fourth quarter and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500" w:hanging="317"/>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record revenue of $14.5 million ($15.4 million*) and $45.2 million ($46.1 million*) for the fourth quarter and full year 2023, respectively</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record gross profit of $7.5 million and $22.2 million for the fourth quarter and full year 2023, respectively</w:t>
      </w:r>
    </w:p>
    <w:p>
      <w:pPr>
        <w:spacing w:after="0" w:line="225"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All-time record Adjusted EBITDA** of $2.8 million and $5.1 million for the fourth quarter and full year 2023, respectively</w:t>
      </w:r>
    </w:p>
    <w:p>
      <w:pPr>
        <w:spacing w:after="0" w:line="225" w:lineRule="exact"/>
        <w:rPr>
          <w:rFonts w:ascii="Times New Roman" w:cs="Times New Roman" w:eastAsia="Times New Roman" w:hAnsi="Times New Roman"/>
          <w:sz w:val="18"/>
          <w:szCs w:val="18"/>
          <w:color w:val="auto"/>
        </w:rPr>
      </w:pPr>
    </w:p>
    <w:p>
      <w:pPr>
        <w:ind w:left="500" w:hanging="317"/>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rose to an all-time high of a $16.3 million run rate exiting 2023; Company increasing 2024 exit run rate guidance to $20.0 million from $18.0 million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 am pleased to report that the Company generated all-time record quarterly revenue of $14.5 million in the last three months of fiscal 2023, up nearly 40% versus the prior-year period, bringing the full fiscal year to $45.2 million – also a new high mark for Creative Realities,” said Rick Mills, Chief Executive Officer. “At the same time, the Company generated all-time records in terms of gross profit – $7.5 million and $22.2 million, respectively, for the fourth quarter and full year – representing gross margins of 51.8% and 49.1%, respectively. In addition, due to the strong fourth quarter, we posted positive operating income in 2023, the first time in history. We also achieved record Adjusted EBITDA of $2.8 million in the quarter, reflecting the largest media sales transaction ever, and exited the year with an ARR of $16.3 million, exceeding expectations.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 have conveyed repeatedly, a key financial focus is to generate high-margin, subscription Software-as-a-Service (“SaaS”) revenue, with hardware sales and deployments being one means to this end. The fact that we were able to over-perform on ARR helped the Company achieve its revenue projections, with superior gross profit, despite delayed rollouts for certain major customer deployments. As of January 1, 2024, new customer contracts and pricing changes have already driven our ARR on SaaS to $17.7 million – leading us to increase the Company’s 2024 ARR exit guidance to $20.0 million from $18 million. I cannot overemphasize the magnitude of this accomplishment, as higher ARR should accelerate our growth trajectory, bolster margins, and improve cash flow generation in the year ahead.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these results, once again, underscore the strength of our platform and demonstrate the Company’s considerable potential to drive value for shareholders. Given the momentum within our current customer base – and as our pipeline for potential new customers continues to grow – we remain excited about the future and we are on track for our best year ever.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contracted revenue prior to net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 reconciliation is provided in the tables of this press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Fourth Quarter Financial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both entry into a significant new multi-year media sales contract and amending a related customer contract during the fourth quarter of 2023, the Company modified its accounting for media sales to be recorded net rather than gross beginning in Q4 2023 and forward, which resulted in recording revenues associated with these customer contracts at net beginning in this quarter and for all future periods. This will have the effect of recognizing revenue at a lower value than under previous periods for the same type of transactions. While this does not impact gross profit, operating income, Adjusted EBITDA or net income in terms of absolute dollars, the percentage of such metrics as a factor of sales does change, in a manner the Company believes is a more appropriate depiction of its actual profitability. The Company’s calculation of ARR is completely unaffected by these contract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Sales were $14.5 million for the fiscal 2023 fourth quarter, an increase of $4.0 million, or 38%, as compared to the same period in fiscal 2022. Hardware revenues were $7.7 million, more than double that in 2022, reflecting growth across the Company’s customer base. Gross margin on hardware revenue was 22.5% in fiscal 2023 as compared to a negative margin in the prior-year period, reflecting greatly improved efficiencies through purchasing power and product mix as well as the write-off of obsolete inventory in the fiscal 2022 fourth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and other revenues were $6.8 million in the fiscal 2023 fourth quarter, a decline of 13% year-over-year, reflecting contract timing. Gross margin on Services amounted to 85.2%, a 240 basis point improvement year-over-year, with the increase driven by higher software subscription run-rates and improved service mix, leading to a record ARR of $16.3 million as of December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gross profit was $7.5 million for the fiscal 2023 fourth quarter versus $4.7 million in the prior-year period, and consolidated gross margin increased to 51.8% from 44.5% in the fiscal 2022 fourth quarter, an increase of 73 basis points, driven by higher margins across the board, expansion of SaaS-based revenue, and entry into a material, long-term media sales contract for which revenue is recognized at contract inception on a net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fourth quarter rose to $1.6 million, up 47% compared to the prior-year period, reflecting enhanced investment in business development activities. Research and development expenses in the fourth quarter were roughly flat year-over-year, at $0.4 million. Fourth quarter general and administrative expenses decreased $1.0 million, or 26%, largely driven by lower stock compensation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was $2.0 million for the fiscal 2023 fourth quarter versus an operating loss of $1.2 million during the same period in 2022, reflecting the aforementioned higher gross profit and lower operating expenses. The Company reported net income of $1.4 million in the quarter ended December 31, 2023 versus a net loss of $1.3 million in the prior-year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(defined later in this release) was $2.8 million in the fourth quarter of 2023 as compared to Adjusted EBITDA of $1.0 million in the prior-year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the December 31, 2023, the Company had cash on hand of approximately $2.9 million. As of the date of this earnings release, the Company has cash on hand of approximately $4.5 million, driven in part by customers with annual SaaS billings at the start of each calendar year.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outstanding principal debt of approximately $15.1 million, resulting in net debt of approximately $12.2 million as of that date. This represents a reduction of approximately $7.0 million in net debt as compared to December 31, 2022, at which point net debt was $19.0 million. The Company continues to repay approximately $0.4 million in debt principal monthly, with a focus to reduce its leverage ratio to between 1.0x and 1.2x by December 31, 2024. As of the date of this earnings release, the Company’s net debt position is approximately $9.5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will host a conference call to review the results of the Company’s fourth quarter and year ended 2023, and provide additional commentary about the Company’s recent performance, on March 21, 2024 at 9:00 am Eastern Time.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call, participants should register at bit.ly/CRIearningsYE2023. Once registered, participants can use the weblink provided in the registration email to participate in the live webcast. An archived edition of the year-end earnings conference call will also be posted on the Company’s website later that same day and will remain available for one year after the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Creative Realities,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its acquisition of Reflect Systems, Inc. (“Reflect”), the Company accelerated its growth in SaaS revenue by extending its products and solutions to include Reflect’s flagship products-- the market-leading ReflectView digital signage platform and Reflect AdLogic ad management platform. ReflectView is the industry’s most comprehensive, scalable, enterprise-grade digital signage platform, powering enterprise customer networks. Reflect AdLogic has become the benchmark for digital signage powered ad networks, delivering nearly 50 million ads daily. The acquisition of Reflect also brought to the Company a media sales division with the expertise and relationships to help any digital signage venue owner develop and execute a monetization plan for their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 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 For further information, please refer to Creative Realities, Inc.’s filings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including its Annual Report on Form 10-K anticipated to be filed with the Securities and Exchange Commission on March 21,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2022 and in our Quarterly Report on Form 10-Q for the period ended June 30, 2023, and the Company’s subsequent filings with the U.S. Securities and Exchange Commission. Important factors, among others, that may affect actual results or outcomes include: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Davies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cdavies@ideagrove.com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ir@cri.com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70,777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66,015</w:t>
            </w:r>
          </w:p>
        </w:tc>
      </w:tr>
      <w:tr>
        <w:trPr>
          <w:trHeight w:val="197"/>
        </w:trPr>
        <w:tc>
          <w:tcPr>
            <w:tcW w:w="80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Secured Promissory Note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portion of related party Consolidation Term Loan, net of $747 and $745 discount, respectively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related party Term Loan (2022)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Secured Promissory Note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related party Acquisition Term Loan, net of $787 and $1,484 discount, respectively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related party Consolidation Term Loan, net of $94 and $840 discount, respectively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at fair value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40,436</w:t>
            </w: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10,409 and 7,266 shares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75,916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25,579</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70,777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66,015</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12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19,895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43,350</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17,739</w:t>
            </w:r>
          </w:p>
        </w:tc>
      </w:tr>
      <w:tr>
        <w:trPr>
          <w:trHeight w:val="216"/>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and transaction costs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amortization of debt discount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warrant amendment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settlement of obligations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(4,435)</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(2,937)</w:t>
            </w:r>
          </w:p>
        </w:tc>
        <w:tc>
          <w:tcPr>
            <w:tcW w:w="10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 - basic</w:t>
            </w:r>
          </w:p>
        </w:tc>
        <w:tc>
          <w:tcPr>
            <w:tcW w:w="940" w:type="dxa"/>
            <w:vAlign w:val="bottom"/>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20" w:type="dxa"/>
            <w:vAlign w:val="bottom"/>
            <w:gridSpan w:val="2"/>
            <w:shd w:val="clear" w:color="auto" w:fill="CCEEFF"/>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 - diluted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20" w:type="dxa"/>
            <w:vAlign w:val="bottom"/>
            <w:gridSpan w:val="2"/>
          </w:tcPr>
          <w:p>
            <w:pPr>
              <w:jc w:val="right"/>
              <w:ind w:righ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8,479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6,664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6,664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(2,937)</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be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change in fair value of contingent consideration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 on change in fair value of warrants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on warrant amendment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settlement of obligations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 and external labor for software development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(4,140)</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(21,475)</w:t>
            </w: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Acquisition Term Loan, net of offering expenses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&amp; exercise of pre-funded warrants in PIPE,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 (2022)</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in PIPE, net of offering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Consolidated Term Loan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Term Loan (2022)</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Secured Promissory Note</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Creative Realities, Inc. prepares its consolidated financial statements in accordance with United States generally accepted accounting principles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disclosing financial results prepared in accordance with GAAP, the Company discloses information regarding “EBITDA” and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CRI defines “EBITDA” as earnings before interest, income taxes, depreciation and amortization of intangibles. CRI defines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EBITDA excluding stock-based compensation, fair value adjustments and both cash and non-cash non-recurring gains and charges.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EBITDA and Adjusted EBITDA from net loss, CRI’s most directly comparable financial measure calculated and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9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555"/>
        </w:trPr>
        <w:tc>
          <w:tcPr>
            <w:tcW w:w="45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20" w:type="dxa"/>
            <w:vAlign w:val="bottom"/>
          </w:tcPr>
          <w:p>
            <w:pPr>
              <w:spacing w:after="0"/>
              <w:rPr>
                <w:sz w:val="16"/>
                <w:szCs w:val="16"/>
                <w:color w:val="auto"/>
              </w:rPr>
            </w:pPr>
          </w:p>
        </w:tc>
        <w:tc>
          <w:tcPr>
            <w:tcW w:w="120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of warrant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settlement of obligations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waiver consent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warrant amendment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fair value of contingent 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Disposal of Safe Space Solutions inventory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Deal and transaction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lvl w:ilvl="1">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o"/>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o"/>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
      <w:numFmt w:val="bullet"/>
      <w:start w:val="1"/>
    </w:lvl>
    <w:lvl w:ilvl="1">
      <w:lvlJc w:val="left"/>
      <w:lvlText w:val="(%2)"/>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o"/>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lowerLetter"/>
      <w:start w:val="9"/>
    </w:lvl>
    <w:lvl w:ilvl="1">
      <w:lvlJc w:val="left"/>
      <w:lvlText w:val="(%2)"/>
      <w:numFmt w:val="lowerLetter"/>
      <w:start w:val="1"/>
    </w:lvl>
  </w:abstractNum>
  <w:abstractNum w:abstractNumId="41">
    <w:nsid w:val="520EEDD1"/>
    <w:multiLevelType w:val="hybridMultilevel"/>
    <w:lvl w:ilvl="0">
      <w:lvlJc w:val="left"/>
      <w:lvlText w:val="(%1)"/>
      <w:numFmt w:val="lowerRoman"/>
      <w:start w:val="2"/>
    </w:lvl>
  </w:abstractNum>
  <w:abstractNum w:abstractNumId="42">
    <w:nsid w:val="374A3FE6"/>
    <w:multiLevelType w:val="hybridMultilevel"/>
    <w:lvl w:ilvl="0">
      <w:lvlJc w:val="left"/>
      <w:lvlText w:val="(%1)"/>
      <w:numFmt w:val="lowerRoman"/>
      <w:start w:val="2"/>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lvl w:ilvl="1">
      <w:lvlJc w:val="left"/>
      <w:lvlText w:val="●"/>
      <w:numFmt w:val="bullet"/>
      <w:start w:val="1"/>
    </w:lvl>
  </w:abstractNum>
  <w:abstractNum w:abstractNumId="45">
    <w:nsid w:val="649BB77C"/>
    <w:multiLevelType w:val="hybridMultilevel"/>
    <w:lvl w:ilvl="0">
      <w:lvlJc w:val="left"/>
      <w:lvlText w:val="%1."/>
      <w:numFmt w:val="decimal"/>
      <w:start w:val="4"/>
    </w:lvl>
    <w:lvl w:ilvl="1">
      <w:lvlJc w:val="left"/>
      <w:lvlText w:val="%2."/>
      <w:numFmt w:val="lowerLetter"/>
      <w:start w:val="1"/>
    </w:lvl>
  </w:abstractNum>
  <w:abstractNum w:abstractNumId="46">
    <w:nsid w:val="275AC79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50">
    <w:nsid w:val="235BA861"/>
    <w:multiLevelType w:val="hybridMultilevel"/>
    <w:lvl w:ilvl="0">
      <w:lvlJc w:val="left"/>
      <w:lvlText w:val="%1."/>
      <w:numFmt w:val="decimal"/>
      <w:start w:val="15"/>
    </w:lvl>
    <w:lvl w:ilvl="1">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o"/>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decimal"/>
      <w:start w:val="5"/>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decimal"/>
      <w:start w:val="5"/>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pn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12" Type="http://schemas.openxmlformats.org/officeDocument/2006/relationships/image" Target="media/image77.jpeg"/><Relationship Id="rId113" Type="http://schemas.openxmlformats.org/officeDocument/2006/relationships/image" Target="media/image78.png"/><Relationship Id="rId114"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jpe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jpe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49" Type="http://schemas.openxmlformats.org/officeDocument/2006/relationships/hyperlink" Target="http://www.sec.gov/Archives/edgar/data/1356093/000121390021059463/ea150536ex2-1_creativereal.htm" TargetMode="External"/><Relationship Id="rId50" Type="http://schemas.openxmlformats.org/officeDocument/2006/relationships/hyperlink" Target="http://www.sec.gov/Archives/edgar/data/1356093/000121390022006040/ea155158ex2-1_creativereal.htm" TargetMode="External"/><Relationship Id="rId51" Type="http://schemas.openxmlformats.org/officeDocument/2006/relationships/hyperlink" Target="http://www.sec.gov/Archives/edgar/data/1356093/000143774923003464/ex_475912.htm" TargetMode="External"/><Relationship Id="rId52" Type="http://schemas.openxmlformats.org/officeDocument/2006/relationships/hyperlink" Target="http://www.sec.gov/Archives/edgar/data/1356093/000095012311094400/c24019exv3.htm" TargetMode="External"/><Relationship Id="rId53" Type="http://schemas.openxmlformats.org/officeDocument/2006/relationships/hyperlink" Target="http://www.sec.gov/Archives/edgar/data/1356093/000095013406016951/c04558sbexv4w2.htm" TargetMode="External"/><Relationship Id="rId54" Type="http://schemas.openxmlformats.org/officeDocument/2006/relationships/hyperlink" Target="http://www.sec.gov/Archives/edgar/data/1356093/000121390018008179/fs12018ex10-26_creative.htm" TargetMode="External"/><Relationship Id="rId55" Type="http://schemas.openxmlformats.org/officeDocument/2006/relationships/hyperlink" Target="http://www.sec.gov/Archives/edgar/data/1356093/000121390018008179/fs12018ex10-32_creative.htm" TargetMode="External"/><Relationship Id="rId56" Type="http://schemas.openxmlformats.org/officeDocument/2006/relationships/hyperlink" Target="http://www.sec.gov/Archives/edgar/data/1356093/000121390022037700/ea162551ex10-2_creative.htm" TargetMode="External"/><Relationship Id="rId57" Type="http://schemas.openxmlformats.org/officeDocument/2006/relationships/hyperlink" Target="http://www.sec.gov/Archives/edgar/data/1356093/000121390022037700/ea162551ex10-1_creative.htm" TargetMode="External"/><Relationship Id="rId58" Type="http://schemas.openxmlformats.org/officeDocument/2006/relationships/hyperlink" Target="http://www.sec.gov/Archives/edgar/data/1356093/000121390022037700/ea162551ex10-3_creative.htm" TargetMode="External"/><Relationship Id="rId59" Type="http://schemas.openxmlformats.org/officeDocument/2006/relationships/hyperlink" Target="http://www.sec.gov/Archives/edgar/data/1356093/000121390021059463/ea150536ex10-1_creativereal.htm" TargetMode="External"/><Relationship Id="rId60" Type="http://schemas.openxmlformats.org/officeDocument/2006/relationships/hyperlink" Target="http://www.sec.gov/Archives/edgar/data/1356093/000121390021059463/ea150536ex10-2_creativereal.htm" TargetMode="External"/><Relationship Id="rId61" Type="http://schemas.openxmlformats.org/officeDocument/2006/relationships/hyperlink" Target="http://www.sec.gov/Archives/edgar/data/1356093/000121390022008352/ea155906ex10-1_creative.htm" TargetMode="External"/><Relationship Id="rId62" Type="http://schemas.openxmlformats.org/officeDocument/2006/relationships/hyperlink" Target="http://www.sec.gov/Archives/edgar/data/1356093/000121390022072337/f10q0922ex10-4_creative.htm" TargetMode="External"/><Relationship Id="rId63" Type="http://schemas.openxmlformats.org/officeDocument/2006/relationships/hyperlink" Target="http://www.sec.gov/Archives/edgar/data/1356093/000121390022008352/ea155906ex10-2_creative.htm" TargetMode="External"/><Relationship Id="rId64" Type="http://schemas.openxmlformats.org/officeDocument/2006/relationships/hyperlink" Target="http://www.sec.gov/Archives/edgar/data/1356093/000121390022008352/ea155906ex10-3_creative.htm" TargetMode="External"/><Relationship Id="rId65" Type="http://schemas.openxmlformats.org/officeDocument/2006/relationships/hyperlink" Target="http://www.sec.gov/Archives/edgar/data/1356093/000121390022008352/ea155906ex10-4_creative.htm" TargetMode="External"/><Relationship Id="rId66" Type="http://schemas.openxmlformats.org/officeDocument/2006/relationships/hyperlink" Target="http://www.sec.gov/Archives/edgar/data/1356093/000143774923003464/ex_475913.htm" TargetMode="External"/><Relationship Id="rId67" Type="http://schemas.openxmlformats.org/officeDocument/2006/relationships/hyperlink" Target="http://www.sec.gov/Archives/edgar/data/1356093/000121390020014877/def14a0620_creative.htm" TargetMode="External"/><Relationship Id="rId68" Type="http://schemas.openxmlformats.org/officeDocument/2006/relationships/hyperlink" Target="http://www.sec.gov/Archives/edgar/data/1356093/000143774923031312/ex_594437.htm" TargetMode="External"/><Relationship Id="rId69" Type="http://schemas.openxmlformats.org/officeDocument/2006/relationships/hyperlink" Target="http://www.sec.gov/Archives/edgar/data/1356093/000121390022008352/ea155906ex10-5_creative.htm" TargetMode="External"/><Relationship Id="rId70" Type="http://schemas.openxmlformats.org/officeDocument/2006/relationships/hyperlink" Target="http://www.sec.gov/Archives/edgar/data/1356093/000121390022008352/ea155906ex10-6_creative.htm" TargetMode="External"/><Relationship Id="rId71" Type="http://schemas.openxmlformats.org/officeDocument/2006/relationships/hyperlink" Target="http://www.sec.gov/Archives/edgar/data/1356093/000121390022033599/ea161551ex10-1_creativereal.htm" TargetMode="External"/><Relationship Id="rId72" Type="http://schemas.openxmlformats.org/officeDocument/2006/relationships/hyperlink" Target="http://www.sec.gov/Archives/edgar/data/1356093/000121390022033599/ea161551ex10-2_creativereal.htm" TargetMode="External"/><Relationship Id="rId73" Type="http://schemas.openxmlformats.org/officeDocument/2006/relationships/hyperlink" Target="http://www.sec.gov/Archives/edgar/data/1356093/000121390022033599/ea161551ex10-3_creativereal.htm" TargetMode="External"/><Relationship Id="rId74" Type="http://schemas.openxmlformats.org/officeDocument/2006/relationships/hyperlink" Target="http://www.sec.gov/Archives/edgar/data/1356093/000121390022033599/ea161551ex10-4_creativereal.htm" TargetMode="External"/><Relationship Id="rId75" Type="http://schemas.openxmlformats.org/officeDocument/2006/relationships/hyperlink" Target="http://www.sec.gov/Archives/edgar/data/1356093/000143774923024330/ex_563014.htm" TargetMode="External"/><Relationship Id="rId76" Type="http://schemas.openxmlformats.org/officeDocument/2006/relationships/hyperlink" Target="http://www.sec.gov/Archives/edgar/data/1356093/000121390019005126/f10k2018ex14-1_creativere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2024-03-21T07:32:21Z</dcterms:created>
  <dcterms:modified xsi:type="dcterms:W3CDTF">2024-03-21T07:32:21Z</dcterms:modified>
</cp:coreProperties>
</file>