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jc w:val="center"/>
        <w:ind w:left="3940" w:right="940" w:hanging="3068"/>
        <w:spacing w:after="0" w:line="503" w:lineRule="auto"/>
        <w:tabs>
          <w:tab w:leader="none" w:pos="120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2023</w:t>
      </w: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3420" w:right="920" w:hanging="2548"/>
        <w:spacing w:after="0" w:line="503" w:lineRule="auto"/>
        <w:tabs>
          <w:tab w:leader="none" w:pos="118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 to ___________</w:t>
      </w:r>
    </w:p>
    <w:p>
      <w:pPr>
        <w:ind w:left="428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151765</wp:posOffset>
            </wp:positionV>
            <wp:extent cx="246888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89"/>
              </w:rPr>
              <w:t>Minnesota</w:t>
            </w:r>
          </w:p>
        </w:tc>
        <w:tc>
          <w:tcPr>
            <w:tcW w:w="3540" w:type="dxa"/>
            <w:vAlign w:val="bottom"/>
          </w:tcPr>
          <w:p>
            <w:pPr>
              <w:jc w:val="right"/>
              <w:ind w:right="2230"/>
              <w:spacing w:after="0"/>
              <w:rPr>
                <w:sz w:val="20"/>
                <w:szCs w:val="20"/>
                <w:color w:val="auto"/>
              </w:rPr>
            </w:pPr>
            <w:r>
              <w:rPr>
                <w:rFonts w:ascii="Arial" w:cs="Arial" w:eastAsia="Arial" w:hAnsi="Arial"/>
                <w:sz w:val="18"/>
                <w:szCs w:val="18"/>
                <w:b w:val="1"/>
                <w:bCs w:val="1"/>
                <w:color w:val="auto"/>
              </w:rPr>
              <w:t>41-1967918</w:t>
            </w:r>
          </w:p>
        </w:tc>
      </w:tr>
      <w:tr>
        <w:trPr>
          <w:trHeight w:val="195"/>
        </w:trPr>
        <w:tc>
          <w:tcPr>
            <w:tcW w:w="55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State or Other Jurisdiction of</w:t>
            </w: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87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7700" w:type="dxa"/>
            <w:vAlign w:val="bottom"/>
            <w:gridSpan w:val="5"/>
          </w:tcPr>
          <w:p>
            <w:pPr>
              <w:jc w:val="center"/>
              <w:ind w:right="2180"/>
              <w:spacing w:after="0"/>
              <w:rPr>
                <w:sz w:val="20"/>
                <w:szCs w:val="20"/>
                <w:color w:val="auto"/>
              </w:rPr>
            </w:pPr>
            <w:r>
              <w:rPr>
                <w:rFonts w:ascii="Arial" w:cs="Arial" w:eastAsia="Arial" w:hAnsi="Arial"/>
                <w:sz w:val="18"/>
                <w:szCs w:val="18"/>
                <w:color w:val="auto"/>
                <w:w w:val="92"/>
              </w:rPr>
              <w:t>Incorporation or Organization</w:t>
            </w:r>
          </w:p>
        </w:tc>
        <w:tc>
          <w:tcPr>
            <w:tcW w:w="3540" w:type="dxa"/>
            <w:vAlign w:val="bottom"/>
          </w:tcPr>
          <w:p>
            <w:pPr>
              <w:jc w:val="center"/>
              <w:ind w:right="189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70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92"/>
              </w:rPr>
              <w:t>13100 Magisterial Drive, Suite 100, Louisville KY</w:t>
            </w:r>
          </w:p>
        </w:tc>
        <w:tc>
          <w:tcPr>
            <w:tcW w:w="3540" w:type="dxa"/>
            <w:vAlign w:val="bottom"/>
          </w:tcPr>
          <w:p>
            <w:pPr>
              <w:jc w:val="right"/>
              <w:ind w:right="2430"/>
              <w:spacing w:after="0"/>
              <w:rPr>
                <w:sz w:val="20"/>
                <w:szCs w:val="20"/>
                <w:color w:val="auto"/>
              </w:rPr>
            </w:pPr>
            <w:r>
              <w:rPr>
                <w:rFonts w:ascii="Arial" w:cs="Arial" w:eastAsia="Arial" w:hAnsi="Arial"/>
                <w:sz w:val="18"/>
                <w:szCs w:val="18"/>
                <w:b w:val="1"/>
                <w:bCs w:val="1"/>
                <w:color w:val="auto"/>
              </w:rPr>
              <w:t>40223</w:t>
            </w:r>
          </w:p>
        </w:tc>
      </w:tr>
      <w:tr>
        <w:trPr>
          <w:trHeight w:val="224"/>
        </w:trPr>
        <w:tc>
          <w:tcPr>
            <w:tcW w:w="5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870"/>
              <w:spacing w:after="0"/>
              <w:rPr>
                <w:sz w:val="20"/>
                <w:szCs w:val="20"/>
                <w:color w:val="auto"/>
              </w:rPr>
            </w:pPr>
            <w:r>
              <w:rPr>
                <w:rFonts w:ascii="Arial" w:cs="Arial" w:eastAsia="Arial" w:hAnsi="Arial"/>
                <w:sz w:val="18"/>
                <w:szCs w:val="18"/>
                <w:color w:val="auto"/>
                <w:w w:val="90"/>
              </w:rPr>
              <w:t>Zip Code</w:t>
            </w:r>
          </w:p>
        </w:tc>
      </w:tr>
      <w:tr>
        <w:trPr>
          <w:trHeight w:val="418"/>
        </w:trPr>
        <w:tc>
          <w:tcPr>
            <w:tcW w:w="4940" w:type="dxa"/>
            <w:vAlign w:val="bottom"/>
          </w:tcPr>
          <w:p>
            <w:pPr>
              <w:spacing w:after="0"/>
              <w:rPr>
                <w:sz w:val="24"/>
                <w:szCs w:val="24"/>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w w:val="99"/>
              </w:rPr>
              <w:t>(502) 791-8800</w:t>
            </w:r>
          </w:p>
        </w:tc>
        <w:tc>
          <w:tcPr>
            <w:tcW w:w="14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4"/>
        </w:trPr>
        <w:tc>
          <w:tcPr>
            <w:tcW w:w="7700" w:type="dxa"/>
            <w:vAlign w:val="bottom"/>
            <w:gridSpan w:val="5"/>
          </w:tcPr>
          <w:p>
            <w:pPr>
              <w:jc w:val="center"/>
              <w:ind w:left="3470"/>
              <w:spacing w:after="0"/>
              <w:rPr>
                <w:sz w:val="20"/>
                <w:szCs w:val="20"/>
                <w:color w:val="auto"/>
              </w:rPr>
            </w:pPr>
            <w:r>
              <w:rPr>
                <w:rFonts w:ascii="Arial" w:cs="Arial" w:eastAsia="Arial" w:hAnsi="Arial"/>
                <w:sz w:val="18"/>
                <w:szCs w:val="18"/>
                <w:color w:val="auto"/>
                <w:w w:val="90"/>
              </w:rPr>
              <w:t>Registrant’s Telephone Number, Including Area Code</w:t>
            </w:r>
          </w:p>
        </w:tc>
        <w:tc>
          <w:tcPr>
            <w:tcW w:w="3540" w:type="dxa"/>
            <w:vAlign w:val="bottom"/>
          </w:tcPr>
          <w:p>
            <w:pPr>
              <w:spacing w:after="0"/>
              <w:rPr>
                <w:sz w:val="19"/>
                <w:szCs w:val="19"/>
                <w:color w:val="auto"/>
              </w:rPr>
            </w:pP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3"/>
          </w:tcPr>
          <w:p>
            <w:pPr>
              <w:ind w:left="340"/>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432"/>
        </w:trPr>
        <w:tc>
          <w:tcPr>
            <w:tcW w:w="46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6"/>
              </w:rPr>
              <w:t>Title of each class</w:t>
            </w:r>
          </w:p>
        </w:tc>
        <w:tc>
          <w:tcPr>
            <w:tcW w:w="230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Trading Symbol(s)</w:t>
            </w:r>
          </w:p>
        </w:tc>
        <w:tc>
          <w:tcPr>
            <w:tcW w:w="10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330"/>
              <w:spacing w:after="0" w:line="195" w:lineRule="exact"/>
              <w:rPr>
                <w:sz w:val="20"/>
                <w:szCs w:val="20"/>
                <w:color w:val="auto"/>
              </w:rPr>
            </w:pPr>
            <w:r>
              <w:rPr>
                <w:rFonts w:ascii="Arial" w:cs="Arial" w:eastAsia="Arial" w:hAnsi="Arial"/>
                <w:sz w:val="18"/>
                <w:szCs w:val="18"/>
                <w:color w:val="auto"/>
                <w:w w:val="95"/>
              </w:rPr>
              <w:t>CREX</w:t>
            </w:r>
          </w:p>
        </w:tc>
        <w:tc>
          <w:tcPr>
            <w:tcW w:w="100" w:type="dxa"/>
            <w:vAlign w:val="bottom"/>
          </w:tcPr>
          <w:p>
            <w:pPr>
              <w:spacing w:after="0"/>
              <w:rPr>
                <w:sz w:val="16"/>
                <w:szCs w:val="16"/>
                <w:color w:val="auto"/>
              </w:rPr>
            </w:pPr>
          </w:p>
        </w:tc>
        <w:tc>
          <w:tcPr>
            <w:tcW w:w="4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680" w:type="dxa"/>
            <w:vAlign w:val="bottom"/>
            <w:gridSpan w:val="3"/>
          </w:tcPr>
          <w:p>
            <w:pPr>
              <w:jc w:val="center"/>
              <w:ind w:right="520"/>
              <w:spacing w:after="0"/>
              <w:rPr>
                <w:sz w:val="20"/>
                <w:szCs w:val="20"/>
                <w:color w:val="auto"/>
              </w:rPr>
            </w:pPr>
            <w:r>
              <w:rPr>
                <w:rFonts w:ascii="Arial" w:cs="Arial" w:eastAsia="Arial" w:hAnsi="Arial"/>
                <w:sz w:val="18"/>
                <w:szCs w:val="18"/>
                <w:color w:val="auto"/>
                <w:w w:val="89"/>
              </w:rPr>
              <w:t>Warrants to purchase Common Stock</w:t>
            </w:r>
          </w:p>
        </w:tc>
        <w:tc>
          <w:tcPr>
            <w:tcW w:w="2300" w:type="dxa"/>
            <w:vAlign w:val="bottom"/>
          </w:tcPr>
          <w:p>
            <w:pPr>
              <w:jc w:val="center"/>
              <w:ind w:right="330"/>
              <w:spacing w:after="0"/>
              <w:rPr>
                <w:sz w:val="20"/>
                <w:szCs w:val="20"/>
                <w:color w:val="auto"/>
              </w:rPr>
            </w:pPr>
            <w:r>
              <w:rPr>
                <w:rFonts w:ascii="Arial" w:cs="Arial" w:eastAsia="Arial" w:hAnsi="Arial"/>
                <w:sz w:val="18"/>
                <w:szCs w:val="18"/>
                <w:color w:val="auto"/>
                <w:w w:val="95"/>
              </w:rPr>
              <w:t>CREXW</w:t>
            </w:r>
          </w:p>
        </w:tc>
        <w:tc>
          <w:tcPr>
            <w:tcW w:w="10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Arial" w:cs="Arial" w:eastAsia="Arial" w:hAnsi="Arial"/>
                <w:sz w:val="18"/>
                <w:szCs w:val="18"/>
                <w:color w:val="auto"/>
                <w:w w:val="98"/>
              </w:rPr>
              <w:t>Large accelerated</w:t>
            </w:r>
          </w:p>
        </w:tc>
        <w:tc>
          <w:tcPr>
            <w:tcW w:w="22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spacing w:after="0"/>
              <w:rPr>
                <w:sz w:val="18"/>
                <w:szCs w:val="18"/>
                <w:color w:val="auto"/>
              </w:rPr>
            </w:pP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76"/>
        </w:trPr>
        <w:tc>
          <w:tcPr>
            <w:tcW w:w="1440" w:type="dxa"/>
            <w:vAlign w:val="bottom"/>
          </w:tcPr>
          <w:p>
            <w:pPr>
              <w:spacing w:after="0" w:line="176" w:lineRule="exact"/>
              <w:rPr>
                <w:sz w:val="20"/>
                <w:szCs w:val="20"/>
                <w:color w:val="auto"/>
              </w:rPr>
            </w:pPr>
            <w:r>
              <w:rPr>
                <w:rFonts w:ascii="Arial" w:cs="Arial" w:eastAsia="Arial" w:hAnsi="Arial"/>
                <w:sz w:val="18"/>
                <w:szCs w:val="18"/>
                <w:color w:val="auto"/>
              </w:rPr>
              <w:t>filer</w:t>
            </w:r>
          </w:p>
        </w:tc>
        <w:tc>
          <w:tcPr>
            <w:tcW w:w="2280" w:type="dxa"/>
            <w:vAlign w:val="bottom"/>
            <w:vMerge w:val="continue"/>
          </w:tcPr>
          <w:p>
            <w:pPr>
              <w:spacing w:after="0"/>
              <w:rPr>
                <w:sz w:val="15"/>
                <w:szCs w:val="15"/>
                <w:color w:val="auto"/>
              </w:rPr>
            </w:pPr>
          </w:p>
        </w:tc>
        <w:tc>
          <w:tcPr>
            <w:tcW w:w="4020" w:type="dxa"/>
            <w:vAlign w:val="bottom"/>
          </w:tcPr>
          <w:p>
            <w:pPr>
              <w:ind w:left="1980"/>
              <w:spacing w:after="0" w:line="176" w:lineRule="exact"/>
              <w:rPr>
                <w:sz w:val="20"/>
                <w:szCs w:val="20"/>
                <w:color w:val="auto"/>
              </w:rPr>
            </w:pPr>
            <w:r>
              <w:rPr>
                <w:rFonts w:ascii="Arial" w:cs="Arial" w:eastAsia="Arial" w:hAnsi="Arial"/>
                <w:sz w:val="18"/>
                <w:szCs w:val="18"/>
                <w:color w:val="auto"/>
              </w:rPr>
              <w:t>Accelerated filer</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4020" w:type="dxa"/>
            <w:vAlign w:val="bottom"/>
          </w:tcPr>
          <w:p>
            <w:pPr>
              <w:ind w:left="198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20" w:type="dxa"/>
            <w:vAlign w:val="bottom"/>
          </w:tcPr>
          <w:p>
            <w:pPr>
              <w:ind w:left="198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9" w:lineRule="exact"/>
        <w:rPr>
          <w:sz w:val="24"/>
          <w:szCs w:val="24"/>
          <w:color w:val="auto"/>
        </w:rPr>
      </w:pPr>
    </w:p>
    <w:p>
      <w:pPr>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May 15, 2023, the registrant had 7,409,027 shares of common stock outstanding.</w:t>
      </w:r>
    </w:p>
    <w:p>
      <w:pPr>
        <w:sectPr>
          <w:pgSz w:w="11900" w:h="16838" w:orient="portrait"/>
          <w:cols w:equalWidth="0" w:num="1">
            <w:col w:w="11240"/>
          </w:cols>
          <w:pgMar w:left="320" w:top="1120"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rPr>
              <w:t>PART 1. FINANCIAL INFORMATION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9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900" w:type="dxa"/>
            <w:vAlign w:val="bottom"/>
          </w:tcPr>
          <w:p>
            <w:pPr>
              <w:jc w:val="center"/>
              <w:ind w:left="3270"/>
              <w:spacing w:after="0"/>
              <w:rPr>
                <w:sz w:val="20"/>
                <w:szCs w:val="20"/>
                <w:color w:val="auto"/>
              </w:rPr>
            </w:pPr>
            <w:r>
              <w:rPr>
                <w:rFonts w:ascii="Arial" w:cs="Arial" w:eastAsia="Arial" w:hAnsi="Arial"/>
                <w:sz w:val="18"/>
                <w:szCs w:val="18"/>
                <w:b w:val="1"/>
                <w:bCs w:val="1"/>
                <w:color w:val="auto"/>
              </w:rPr>
              <w:t>CREATIVE REALITIES, INC.</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00" w:type="dxa"/>
            <w:vAlign w:val="bottom"/>
            <w:vMerge w:val="restart"/>
          </w:tcPr>
          <w:p>
            <w:pPr>
              <w:ind w:left="360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Work-in-process and inventories, net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Intangibles, net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operating leases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Short-term portion of Secured Promissory Note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Short-term portion of related party Consolidation Term Loan, net of $747 and $745 discount, respectively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Short-term related party Term Loan (2022)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Long-term Secured Promissory Note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related party Acquisition Term Loan, net of $1,312 and $1,484 discount, respectively</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Long-term related party Consolidation Term Loan, net of $654 and $840 discount, respectively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obligations under operating leases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Contingent acquisition consideration, at fair value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89"/>
              </w:rPr>
              <w:t>Common stock, $0.01 par value, 66,666 shares authorized; 7,394 and 7,266 shares issued and outstanding,</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76,417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(50,409)</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25,082</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7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Hardware</w:t>
            </w:r>
          </w:p>
        </w:tc>
        <w:tc>
          <w:tcPr>
            <w:tcW w:w="960" w:type="dxa"/>
            <w:vAlign w:val="bottom"/>
            <w:gridSpan w:val="2"/>
          </w:tcPr>
          <w:p>
            <w:pPr>
              <w:jc w:val="right"/>
              <w:ind w:right="778"/>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4,322</w:t>
            </w:r>
          </w:p>
        </w:tc>
        <w:tc>
          <w:tcPr>
            <w:tcW w:w="140" w:type="dxa"/>
            <w:vAlign w:val="bottom"/>
          </w:tcPr>
          <w:p>
            <w:pPr>
              <w:spacing w:after="0"/>
              <w:rPr>
                <w:sz w:val="18"/>
                <w:szCs w:val="18"/>
                <w:color w:val="auto"/>
              </w:rPr>
            </w:pPr>
          </w:p>
        </w:tc>
        <w:tc>
          <w:tcPr>
            <w:tcW w:w="50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6,459</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 and other</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8"/>
                <w:szCs w:val="18"/>
                <w:color w:val="auto"/>
              </w:rPr>
              <w:t>Total sales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Hardware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 and other</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8"/>
                <w:szCs w:val="18"/>
                <w:color w:val="auto"/>
              </w:rPr>
              <w:t>Total cost of sales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Deal and transaction expenses</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Interest expense, including amortization of debt discount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(449)</w:t>
            </w: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Change in fair value of equity guarantee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extinguishment/settlement of obligations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Loss on debt waiver consent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(1,212)</w:t>
            </w: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8"/>
                <w:szCs w:val="18"/>
                <w:color w:val="auto"/>
              </w:rPr>
              <w:t>Total other income (expense)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income before income taxes</w:t>
            </w:r>
          </w:p>
        </w:tc>
        <w:tc>
          <w:tcPr>
            <w:tcW w:w="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5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 income</w:t>
            </w: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7980" w:type="dxa"/>
            <w:vAlign w:val="bottom"/>
          </w:tcPr>
          <w:p>
            <w:pPr>
              <w:spacing w:after="0" w:line="196" w:lineRule="exact"/>
              <w:rPr>
                <w:sz w:val="20"/>
                <w:szCs w:val="20"/>
                <w:color w:val="auto"/>
              </w:rPr>
            </w:pPr>
            <w:r>
              <w:rPr>
                <w:rFonts w:ascii="Arial" w:cs="Arial" w:eastAsia="Arial" w:hAnsi="Arial"/>
                <w:sz w:val="18"/>
                <w:szCs w:val="18"/>
                <w:color w:val="auto"/>
              </w:rPr>
              <w:t>Basic (loss) earnings per common share</w:t>
            </w:r>
          </w:p>
        </w:tc>
        <w:tc>
          <w:tcPr>
            <w:tcW w:w="960" w:type="dxa"/>
            <w:vAlign w:val="bottom"/>
            <w:gridSpan w:val="2"/>
          </w:tcPr>
          <w:p>
            <w:pPr>
              <w:jc w:val="right"/>
              <w:ind w:right="778"/>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(0.14)</w:t>
            </w:r>
          </w:p>
        </w:tc>
        <w:tc>
          <w:tcPr>
            <w:tcW w:w="500" w:type="dxa"/>
            <w:vAlign w:val="bottom"/>
            <w:gridSpan w:val="2"/>
          </w:tcPr>
          <w:p>
            <w:pPr>
              <w:jc w:val="right"/>
              <w:ind w:right="247"/>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0.51</w:t>
            </w:r>
          </w:p>
        </w:tc>
        <w:tc>
          <w:tcPr>
            <w:tcW w:w="100" w:type="dxa"/>
            <w:vAlign w:val="bottom"/>
          </w:tcPr>
          <w:p>
            <w:pPr>
              <w:spacing w:after="0"/>
              <w:rPr>
                <w:sz w:val="17"/>
                <w:szCs w:val="17"/>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(loss) earnings per common share</w:t>
            </w:r>
          </w:p>
        </w:tc>
        <w:tc>
          <w:tcPr>
            <w:tcW w:w="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7980" w:type="dxa"/>
            <w:vAlign w:val="bottom"/>
          </w:tcPr>
          <w:p>
            <w:pPr>
              <w:spacing w:after="0" w:line="196" w:lineRule="exact"/>
              <w:rPr>
                <w:sz w:val="20"/>
                <w:szCs w:val="20"/>
                <w:color w:val="auto"/>
              </w:rPr>
            </w:pPr>
            <w:r>
              <w:rPr>
                <w:rFonts w:ascii="Arial" w:cs="Arial" w:eastAsia="Arial" w:hAnsi="Arial"/>
                <w:sz w:val="18"/>
                <w:szCs w:val="18"/>
                <w:color w:val="auto"/>
              </w:rPr>
              <w:t>Weighted average shares outstanding - basic</w:t>
            </w: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4,873</w:t>
            </w:r>
          </w:p>
        </w:tc>
        <w:tc>
          <w:tcPr>
            <w:tcW w:w="100" w:type="dxa"/>
            <w:vAlign w:val="bottom"/>
          </w:tcPr>
          <w:p>
            <w:pPr>
              <w:spacing w:after="0"/>
              <w:rPr>
                <w:sz w:val="17"/>
                <w:szCs w:val="17"/>
                <w:color w:val="auto"/>
              </w:rPr>
            </w:pP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 - diluted</w:t>
            </w:r>
          </w:p>
        </w:tc>
        <w:tc>
          <w:tcPr>
            <w:tcW w:w="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7,351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4,873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6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(loss) income</w:t>
            </w:r>
          </w:p>
        </w:tc>
        <w:tc>
          <w:tcPr>
            <w:tcW w:w="18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(1,000)</w:t>
            </w:r>
          </w:p>
        </w:tc>
        <w:tc>
          <w:tcPr>
            <w:tcW w:w="50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Amortization of stock-based compensation</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Employee Retention and other Government Credits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Loss on debt waiver consent</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Bad debt expense</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warrants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(5,469)</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Loss on change in fair value of contingent consideration</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Changes to operating assets and liabilities: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Work-in-process and inventories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revenues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10"/>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business, net of cash acquired</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(17,184)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labor for software development</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r>
      <w:tr>
        <w:trPr>
          <w:trHeight w:val="20"/>
        </w:trPr>
        <w:tc>
          <w:tcPr>
            <w:tcW w:w="7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(1,034)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(17,969)</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Principal payments on finance leases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in PIPE, net of offering expenses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Proceeds from sale &amp; exercise of pre-funded warrants in PIPE, net of offering expenses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8,295</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Acquisition Loan, net of offering expenses</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Repayment of Term Loan (2022)</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Repayment of Secured Promissory Note</w:t>
            </w: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0"/>
        </w:trPr>
        <w:tc>
          <w:tcPr>
            <w:tcW w:w="7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19,873</w:t>
            </w:r>
          </w:p>
        </w:tc>
        <w:tc>
          <w:tcPr>
            <w:tcW w:w="100" w:type="dxa"/>
            <w:vAlign w:val="bottom"/>
          </w:tcPr>
          <w:p>
            <w:pPr>
              <w:spacing w:after="0"/>
              <w:rPr>
                <w:sz w:val="18"/>
                <w:szCs w:val="18"/>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8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8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18"/>
                <w:szCs w:val="18"/>
                <w:color w:val="auto"/>
              </w:rPr>
            </w:pPr>
          </w:p>
        </w:tc>
      </w:tr>
      <w:tr>
        <w:trPr>
          <w:trHeight w:val="250"/>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260" w:type="dxa"/>
            <w:vAlign w:val="bottom"/>
            <w:gridSpan w:val="3"/>
            <w:vMerge w:val="restart"/>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00" w:type="dxa"/>
            <w:vAlign w:val="bottom"/>
          </w:tcPr>
          <w:p>
            <w:pPr>
              <w:spacing w:after="0"/>
              <w:rPr>
                <w:sz w:val="19"/>
                <w:szCs w:val="19"/>
                <w:color w:val="auto"/>
              </w:rPr>
            </w:pPr>
          </w:p>
        </w:tc>
        <w:tc>
          <w:tcPr>
            <w:tcW w:w="2260" w:type="dxa"/>
            <w:vAlign w:val="bottom"/>
            <w:tcBorders>
              <w:bottom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paid in</w:t>
            </w:r>
          </w:p>
        </w:tc>
        <w:tc>
          <w:tcPr>
            <w:tcW w:w="10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7,266,382</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72</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directors as compensation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Shares issued to vendors as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13,934</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Shares issued to employees pursuant to the Retention Bonus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62,475</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9"/>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7,394,407</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74</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280" w:type="dxa"/>
            <w:vAlign w:val="bottom"/>
            <w:gridSpan w:val="3"/>
            <w:vMerge w:val="restart"/>
          </w:tcPr>
          <w:p>
            <w:pPr>
              <w:jc w:val="right"/>
              <w:ind w:right="361"/>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Additional</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580" w:type="dxa"/>
            <w:vAlign w:val="bottom"/>
          </w:tcPr>
          <w:p>
            <w:pPr>
              <w:spacing w:after="0"/>
              <w:rPr>
                <w:sz w:val="19"/>
                <w:szCs w:val="19"/>
                <w:color w:val="auto"/>
              </w:rPr>
            </w:pPr>
          </w:p>
        </w:tc>
        <w:tc>
          <w:tcPr>
            <w:tcW w:w="2280" w:type="dxa"/>
            <w:vAlign w:val="bottom"/>
            <w:tcBorders>
              <w:bottom w:val="single" w:sz="8" w:color="auto"/>
            </w:tcBorders>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paid in</w:t>
            </w:r>
          </w:p>
        </w:tc>
        <w:tc>
          <w:tcPr>
            <w:tcW w:w="22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4,002,843</w:t>
            </w: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Shares issued and warrants exercised in private investment in</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public entity ("PIPE")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2,388,835</w:t>
            </w: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24</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Shares issued in Reflect Systems, Inc. Merger</w:t>
            </w:r>
          </w:p>
        </w:tc>
        <w:tc>
          <w:tcPr>
            <w:tcW w:w="1120" w:type="dxa"/>
            <w:vAlign w:val="bottom"/>
          </w:tcPr>
          <w:p>
            <w:pPr>
              <w:jc w:val="right"/>
              <w:spacing w:after="0"/>
              <w:rPr>
                <w:sz w:val="20"/>
                <w:szCs w:val="20"/>
                <w:color w:val="auto"/>
              </w:rPr>
            </w:pPr>
            <w:r>
              <w:rPr>
                <w:rFonts w:ascii="Arial" w:cs="Arial" w:eastAsia="Arial" w:hAnsi="Arial"/>
                <w:sz w:val="18"/>
                <w:szCs w:val="18"/>
                <w:color w:val="auto"/>
              </w:rPr>
              <w:t>833,334</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Warrant repricing events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7,225,012</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72</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NATURE OF ORGANIZATION AND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Unless the context otherwise indicates, references in these Notes to the accompanying Condensed Consolidated Financial Statements to </w:t>
      </w:r>
      <w:r>
        <w:rPr>
          <w:rFonts w:ascii="Arial" w:cs="Arial" w:eastAsia="Arial" w:hAnsi="Arial"/>
          <w:sz w:val="18"/>
          <w:szCs w:val="18"/>
          <w:color w:val="auto"/>
        </w:rPr>
        <w:t>“</w:t>
      </w:r>
      <w:r>
        <w:rPr>
          <w:rFonts w:ascii="Arial" w:cs="Arial" w:eastAsia="Arial" w:hAnsi="Arial"/>
          <w:sz w:val="18"/>
          <w:szCs w:val="18"/>
          <w:i w:val="1"/>
          <w:iCs w:val="1"/>
          <w:color w:val="auto"/>
        </w:rPr>
        <w:t>we,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r>
        <w:rPr>
          <w:rFonts w:ascii="Arial" w:cs="Arial" w:eastAsia="Arial" w:hAnsi="Arial"/>
          <w:sz w:val="18"/>
          <w:szCs w:val="18"/>
          <w:color w:val="auto"/>
        </w:rPr>
        <w:t xml:space="preserve"> “</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refer to Creative Realities, Inc. and its subsidiaries.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Nature of the Company</w:t>
      </w:r>
      <w:r>
        <w:rPr>
          <w:rFonts w:ascii="Arial" w:cs="Arial" w:eastAsia="Arial" w:hAnsi="Arial"/>
          <w:sz w:val="18"/>
          <w:szCs w:val="18"/>
          <w:color w:val="auto"/>
        </w:rPr>
        <w:t>’</w:t>
      </w:r>
      <w:r>
        <w:rPr>
          <w:rFonts w:ascii="Arial" w:cs="Arial" w:eastAsia="Arial" w:hAnsi="Arial"/>
          <w:sz w:val="18"/>
          <w:szCs w:val="18"/>
          <w:i w:val="1"/>
          <w:iCs w:val="1"/>
          <w:color w:val="auto"/>
        </w:rPr>
        <w:t>s Business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main operations are conducted directly through Creative Realities, Inc., and under our wholly owned subsidiaries Allure Global Solutions, Inc. ("Allure), a Georgia corporation, Creative Realities Canada, Inc., a Canadian corporation, and Reflect Systems, Inc. ("Reflect"), a Delaware corporation.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23, 2023, the Company filed Articles of Amendment with the Secretary of State of the State of Minnesota to effectuate, effective March 27, 2023, a 1-for-3 reverse stock split of the shares of the Company's common stock, par value $0.01 per share. All share and per share information (including share and per share information related to share-based compensation) has been retroactively adjusted to reflect the reverse stock split within this Quarterly Report on Form 10-Q.</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reverse stock split, effective 12:01 am on March 27, 2023, every three shares of common stock then-issued and outstanding automatically combined into one share of common stock, with no change in par value per share. No fractional shares were outstanding following the reverse stock split and any fractional shares resulting from the reverse split were rounded up to the nearest whole share of common stock. In connection with the reverse stock split, the total number of shares of common stock authorized for issuance was reduced from 200,000,000 shares to 66,666,666 shares in proportion to the reverse stock split.</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Effective as of the same time as the reverse stock split, the number of shares of common stock available for issuance under the Company's equity compensation plans were reduced in proportion to the reverse stock split. The reverse stock split also resulted in reductions in the number of shares of common stock issuable upon exercising or vesting of equity awards in proportion to the reverse stock split and proportionate increases in exercise price or share-based performance criteria, if any, applicable to such awards. Similarly, the number of shares of common stock issuable upon exercise of outstanding warrants were reduced in proportion to the reverse stock split, and the exercise prices of outstanding warrants were proportionately increased.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ind w:left="160"/>
        <w:spacing w:after="0"/>
        <w:rPr>
          <w:sz w:val="20"/>
          <w:szCs w:val="20"/>
          <w:color w:val="auto"/>
        </w:rPr>
      </w:pPr>
      <w:r>
        <w:rPr>
          <w:rFonts w:ascii="Arial" w:cs="Arial" w:eastAsia="Arial" w:hAnsi="Arial"/>
          <w:sz w:val="18"/>
          <w:szCs w:val="18"/>
          <w:i w:val="1"/>
          <w:iCs w:val="1"/>
          <w:color w:val="auto"/>
        </w:rPr>
        <w:t>Liquidity and Financial Condition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the basis of the realization of assets and the satisfaction of liabilities and commitments in the normal course of business and do not include any adjustments to the recoverability and classifications of recorded assets and liabilities as a result of uncertainties.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March 31, 2023, we have an accumulated deficit of $51,409, negative working capital of $3,822 and cash of $3,905. For the three months ended March 31, 2023, we incurred an operating loss of $90 and cash inflows from operations of $3,868. Our history of operating losses and near term cash obligations are indicators of substantial doubt about our ability to continue as a going concern. We obtained a continuing support letter from Slipstream Communications, LLC ("Slipstream") through May 31, 2024, which alleviated the substantial doubt about our ability to continue as a going concern. We can provide no assurance that our ongoing operational efforts will be successful, which could have a material adverse effect on our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summary of the significant accounting policies consistently applied in the preparation of the accompanying Condensed Consolidated Financial Statements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Basis of Presentation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applicable instructions to Form 10-Q and Article 10 of Regulation S-X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December 31, 2022, included in the Company’s Annual Report on Form 10-K filed with the Securities and Exchange Commission on March 30, 2023.</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results of operations for the interim periods are not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Recently Issued and Adopted Accounting Pronouncements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Credit Losses. In June 2016, the Financial Accounting Standards Board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w:t>
      </w:r>
      <w:r>
        <w:rPr>
          <w:rFonts w:ascii="Arial" w:cs="Arial" w:eastAsia="Arial" w:hAnsi="Arial"/>
          <w:sz w:val="18"/>
          <w:szCs w:val="18"/>
          <w:color w:val="auto"/>
        </w:rPr>
        <w:t>, which requires entities to estimate expected lifetime credit losses on financial assets and provide expanded disclosures. The ASU replaced the</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loss methodology with one that reflects expected credit losses and requires consideration of a broader range of reasonable and supportable information to inform credit loss estimates. We adopted ASU No. 2016-13 on January 1, 2023. The adoption of this guidance did not have a material impact on the Company's Condensed Consolidated Financial Statements, as the Company's primary financial assets are its trade accounts receivable, which are short-term financings under industry standard credit and trade terms.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Debt. In August 2020, the FASB issued Accounting Standards Update No. 2020-06, </w:t>
      </w:r>
      <w:r>
        <w:rPr>
          <w:rFonts w:ascii="Arial" w:cs="Arial" w:eastAsia="Arial" w:hAnsi="Arial"/>
          <w:sz w:val="18"/>
          <w:szCs w:val="18"/>
          <w:i w:val="1"/>
          <w:iCs w:val="1"/>
          <w:color w:val="auto"/>
        </w:rPr>
        <w:t>Debt</w:t>
      </w:r>
      <w:r>
        <w:rPr>
          <w:rFonts w:ascii="Arial" w:cs="Arial" w:eastAsia="Arial" w:hAnsi="Arial"/>
          <w:sz w:val="18"/>
          <w:szCs w:val="18"/>
          <w:color w:val="auto"/>
        </w:rPr>
        <w:t>—</w:t>
      </w:r>
      <w:r>
        <w:rPr>
          <w:rFonts w:ascii="Arial" w:cs="Arial" w:eastAsia="Arial" w:hAnsi="Arial"/>
          <w:sz w:val="18"/>
          <w:szCs w:val="18"/>
          <w:i w:val="1"/>
          <w:iCs w:val="1"/>
          <w:color w:val="auto"/>
        </w:rPr>
        <w:t>Debt with Conversion and Other Options (Subtopic</w:t>
      </w:r>
      <w:r>
        <w:rPr>
          <w:rFonts w:ascii="Arial" w:cs="Arial" w:eastAsia="Arial" w:hAnsi="Arial"/>
          <w:sz w:val="18"/>
          <w:szCs w:val="18"/>
          <w:color w:val="auto"/>
        </w:rPr>
        <w:t xml:space="preserve"> </w:t>
      </w:r>
      <w:r>
        <w:rPr>
          <w:rFonts w:ascii="Arial" w:cs="Arial" w:eastAsia="Arial" w:hAnsi="Arial"/>
          <w:sz w:val="18"/>
          <w:szCs w:val="18"/>
          <w:i w:val="1"/>
          <w:iCs w:val="1"/>
          <w:color w:val="auto"/>
        </w:rPr>
        <w:t>470-20) and Derivatives and Hedging</w:t>
      </w:r>
      <w:r>
        <w:rPr>
          <w:rFonts w:ascii="Arial" w:cs="Arial" w:eastAsia="Arial" w:hAnsi="Arial"/>
          <w:sz w:val="18"/>
          <w:szCs w:val="18"/>
          <w:color w:val="auto"/>
        </w:rPr>
        <w:t>—</w:t>
      </w:r>
      <w:r>
        <w:rPr>
          <w:rFonts w:ascii="Arial" w:cs="Arial" w:eastAsia="Arial" w:hAnsi="Arial"/>
          <w:sz w:val="18"/>
          <w:szCs w:val="18"/>
          <w:i w:val="1"/>
          <w:iCs w:val="1"/>
          <w:color w:val="auto"/>
        </w:rPr>
        <w:t>Contracts in Entity</w:t>
      </w:r>
      <w:r>
        <w:rPr>
          <w:rFonts w:ascii="Arial" w:cs="Arial" w:eastAsia="Arial" w:hAnsi="Arial"/>
          <w:sz w:val="18"/>
          <w:szCs w:val="18"/>
          <w:color w:val="auto"/>
        </w:rPr>
        <w:t>’</w:t>
      </w:r>
      <w:r>
        <w:rPr>
          <w:rFonts w:ascii="Arial" w:cs="Arial" w:eastAsia="Arial" w:hAnsi="Arial"/>
          <w:sz w:val="18"/>
          <w:szCs w:val="18"/>
          <w:i w:val="1"/>
          <w:iCs w:val="1"/>
          <w:color w:val="auto"/>
        </w:rPr>
        <w:t>s Own Equity (Subtopic 815-40): Accounting for Convertible Instruments and Contracts in an Entity</w:t>
      </w:r>
      <w:r>
        <w:rPr>
          <w:rFonts w:ascii="Arial" w:cs="Arial" w:eastAsia="Arial" w:hAnsi="Arial"/>
          <w:sz w:val="18"/>
          <w:szCs w:val="18"/>
          <w:color w:val="auto"/>
        </w:rPr>
        <w:t>’</w:t>
      </w:r>
      <w:r>
        <w:rPr>
          <w:rFonts w:ascii="Arial" w:cs="Arial" w:eastAsia="Arial" w:hAnsi="Arial"/>
          <w:sz w:val="18"/>
          <w:szCs w:val="18"/>
          <w:i w:val="1"/>
          <w:iCs w:val="1"/>
          <w:color w:val="auto"/>
        </w:rPr>
        <w:t>s Own Equity (ASU 2020-06)</w:t>
      </w:r>
      <w:r>
        <w:rPr>
          <w:rFonts w:ascii="Arial" w:cs="Arial" w:eastAsia="Arial" w:hAnsi="Arial"/>
          <w:sz w:val="18"/>
          <w:szCs w:val="18"/>
          <w:color w:val="auto"/>
        </w:rPr>
        <w:t>, which simplifies the accounting for convertible instruments by reducing the number of accounting models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convertible debt instruments. This guidance also eliminates the treasury stock method to calculate diluted earnings per share for convertible instruments and requires the use of the if-converted method. This guidance will be effective for us in the first quarter of 2024 on a full or modified retrospective basis, with early adoption permitted. We do not intend to early adopt this standard, nor do we expect the adoption of this guidance to have a material impact on our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3. 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recognize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applying the five-step model.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 arrangement involves multiple performance obligations, the items are analyzed to determine the separate units of accounting, whether the items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client and variable services being performed, the range of possible revenue amounts and the magnitude of the variable consideration to the overall arrangement. The Company receives variable consideration in very few instances.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does not have any material extended payment terms as payment is due at or shortly after the time of the sale, ranging between thirty and ninety days.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recognizes contract assets or unbilled receivables related to revenue recognized for services completed but not yet invoiced to the clients. A contract liability is recognized as deferred revenue when the Company invoices clients in advance of performing the related services under the terms of a contract. Deferred revenue is recognized as revenue when the Company has satisfied the related performance obligation.</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Allowance for Credit Losses</w:t>
      </w:r>
    </w:p>
    <w:p>
      <w:pPr>
        <w:spacing w:after="0" w:line="239"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The allowance for credit losses is the Company's best estimate of the amount of expected lifetime credit losses in the Company's accounts receivable. The Company regularly reviews the adequacy of its allowance for credit losses. The Company estimates losses over the contractual life using assumptions to capture the risk of loss, even if remote, based principally on how long a receivable has been outstanding. Account balances are charged off against the allowance for credit losses after all reasonable means of collection have been exhausted and the potential for recovery is considered remote. Other factors considered include historical write-off experience, current economic conditions, customer credit, and past transaction history with the customer. The allowance for credit losses is included in accounts receivable, net in the accompanying Condensed Consolidated Balance Sheets.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the following activity for its allowance for credit losses from December 31, 2022 to March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Balance as of December 31, 2022</w:t>
            </w:r>
          </w:p>
        </w:tc>
        <w:tc>
          <w:tcPr>
            <w:tcW w:w="590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0"/>
                <w:szCs w:val="20"/>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accrued</w:t>
            </w:r>
          </w:p>
        </w:tc>
        <w:tc>
          <w:tcPr>
            <w:tcW w:w="5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Write-offs charged against the allowance</w:t>
            </w:r>
          </w:p>
        </w:tc>
        <w:tc>
          <w:tcPr>
            <w:tcW w:w="5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50"/>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2023</w:t>
            </w:r>
          </w:p>
        </w:tc>
        <w:tc>
          <w:tcPr>
            <w:tcW w:w="5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26"/>
        </w:trPr>
        <w:tc>
          <w:tcPr>
            <w:tcW w:w="4340" w:type="dxa"/>
            <w:vAlign w:val="bottom"/>
          </w:tcPr>
          <w:p>
            <w:pPr>
              <w:spacing w:after="0"/>
              <w:rPr>
                <w:sz w:val="24"/>
                <w:szCs w:val="24"/>
                <w:color w:val="auto"/>
              </w:rPr>
            </w:pPr>
          </w:p>
        </w:tc>
        <w:tc>
          <w:tcPr>
            <w:tcW w:w="5340" w:type="dxa"/>
            <w:vAlign w:val="bottom"/>
          </w:tcPr>
          <w:p>
            <w:pPr>
              <w:jc w:val="right"/>
              <w:ind w:right="393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4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5. Inventories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are stated at the lower of cost or net realizable value, determined by the first-in, first-out (FIFO) method, and consist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r>
      <w:tr>
        <w:trPr>
          <w:trHeight w:val="234"/>
        </w:trPr>
        <w:tc>
          <w:tcPr>
            <w:tcW w:w="7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net of reserve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Work-in-process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8"/>
                <w:szCs w:val="18"/>
                <w:color w:val="auto"/>
              </w:rPr>
            </w:pPr>
          </w:p>
        </w:tc>
      </w:tr>
      <w:tr>
        <w:trPr>
          <w:trHeight w:val="249"/>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reserve for obsolete inventory at March 31, 2023 and December 31, 2022 was $1,777, of which $1,707 related to Safe Space Solutions. The Company is no longer actively promoting the sale of our Safe Space Solutions or purchasing inventory to support such solutions.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 Impairment of Long-Lived Assets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review the carrying value of all long-lived assets, including property and equipment, for impairment annually as of September 30 in accordance with ASC 360,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Under ASC 360, impairment losses are recorded whenever events or changes in circumstances indicate the carrying value of an asset may not be recoverable.</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Basic and Diluted (Loss)/Earnings per Common Share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Basic and diluted (loss)/earnings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Shares reserved for outstanding stock options, including stock options with performance restricted vesting, and warrants totaling approximately 7,339,582 and 6,910,962 at March 31, 2023 and 2022, respectively were excluded from the computation of (loss)/earnings per share as the strike price on the options and warrants were higher than the Company's market price and therefore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Income Taxes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a number of matters including, but not limited to,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March 31, 2023 and December 31, 2022.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9. Goodwill and Intangible Assets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follow the provisions of ASC 350, Goodwill and Other Intangible Assets. Pursuant to ASC 350, goodwill acquired in a purchase business combination is not amortized, but instead tested for impairment at least annually. The Company uses an annual measurement date of September 30 to assess impairment of goodwill and indefinite-lived intangible assets, or as indicators are identified.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Definite-lived intangible assets are amortized straight-line in accordance with their identified useful lives.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10. Use of Estimates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contingent purchase consideration valuation, allowance for credit losses,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11. Business Combinations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Accounting for acquisitions requires us to recognize separately from goodwill the assets acquired and the liabilities assumed at their acquisition date fair values. Goodwill as of the acquisition date is measured as the excess of consideration transferred over the net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 Contingent Consideration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contingent consideration arrangements related to certain acquisitions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805-30-35-1 using a Monte Carlo simulation model.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NOTE 3: FAIR VALUE MEASUREMENT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unadjusted quoted prices in active markets for identical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 Valuations based on inputs that are unobservable and involve management judgment and the reporting entity’s own assumptions about market participants and pricing.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calculation of the fair value of the contingent consideration contains inputs which are unobservable and involve management judgment and are considered Level 3 estimates. Additionally, the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3 estimates.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calculation of the fair value of the warrant liability contains valuation inputs which are based on observable inputs (other than Level 1 prices) and are considered Level 2 estimates. The liability warrants were converted to equity warrants effective June 30,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REVENUE RECOGNITION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applies ASC 606 for revenue recognition. The following table disaggregates the Company’s revenue by major source for the three months ended March 31,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 Months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Ended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March 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Hardware</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Installation Services</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 Development Services</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Managed Services</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Media Sales</w:t>
            </w:r>
          </w:p>
        </w:tc>
        <w:tc>
          <w:tcPr>
            <w:tcW w:w="39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Total Services</w:t>
            </w:r>
          </w:p>
        </w:tc>
        <w:tc>
          <w:tcPr>
            <w:tcW w:w="3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 Hardware and Services</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960" w:type="dxa"/>
            <w:vAlign w:val="bottom"/>
            <w:vMerge w:val="restart"/>
          </w:tcPr>
          <w:p>
            <w:pPr>
              <w:jc w:val="right"/>
              <w:ind w:right="2170"/>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System hardware sales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 System hardware revenues are classified as “Hardware” within our disaggregated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Installation services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performs outsourced installation services for customers and recognizes revenue upon completion of the installations. Installation services also includes engineering services performed as part of an installation project.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system hardware sales include installation services to be performed by the Company, the goods and services in the contract are not distinct, so the arrangement is accounted for as a single performance obligation. Our customers control the work-in-process and can make changes to the design specifications over the contract term. Revenues are recognized over time as the installation services are completed based on the relative portion of labor hours completed as a percentage of the budgeted hours for the installation. Installation services revenues are classified as “Installation Services” within our disaggregated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design and development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Software and software license sales are revenue when a fixed fee order has been received and delivery has occurred to the customer. Revenue is recognized generally upon customer acceptance (point-in-time) of the software product and verification that it meets the required specifications. Software is delivered to customers electronically. Software design and development revenues are classified as “Software Development Services” within our disaggregated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as a service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Software as a service includes revenue from software licensing and delivery in which software is licensed on a subscription basis and is centrally hosted by the Company. These services often include software updates which provide customers with rights to unspecified software product upgrades and maintenance releases and patches released during the term of the support period. Contracts for these services are generally 12-36 months in length. We account for revenue from these services in accordance with ASC 985-20-15-5 and recognize revenue ratably over the performance period. Software as a service revenue are classified as “Managed Services” within our disaggregated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and support services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sells support services which include access to technical support personnel for software and hardware troubleshooting. The Company offers a hosting service through our network operations center, or NOC, allowing the ability to monitor and support its customers’ networks 7 days a week, 24 hours a day. These contracts are generally 12-36 months in length. Revenue is recognized over the term of the agreement in proportion to the costs incurred in fulfilling performance obligations under the contract. Maintenance and Support revenues are classified as “Managed Services” within our disaggregated revenue.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Maintenance and support fees are based on the level of service provided to end customers, which can range from monitoring the health of a customer’s network to supporting a sophisticated web-portal to managing the end-to-end hardware and software of a digital marketing system. These agreements are renewable by the customer. Rates for maintenance and support, including subsequent renewal rates, are typically established based upon a fee per location, per device, or a specified percentage of net software license fees as set forth in the arrangement. These contracts are generally 12-36 months in length. Revenue is recognized ratably and evenly over the service period.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also performs time and materials-based maintenance and repair work for customers. Revenue is recognized at a point in time when the performance obligation has been fully satisfied.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Media sales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Media revenues are derived from selling (i) sponsorship packages, including mobile takeover or physical presence, or (ii) advertising space to customers on digital displays or other outdoor structures, each within physical venues. We generally do not own the physical structures on which we display advertising for our customers but instead sell advertising or sponsorship opportunities on behalf of our media network owners to our brand customers. Media revenue services are recognized either on a straight-line basis over the available hours of advertising during the contracted period, or at the time of an event in the case of sponsorships.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media revenue contracts with customers range from four weeks to three years and billing commences at the beginning of the contract term, with payment generally due within ninety (90) days of billing. For the majority of our contracts, transaction prices are explicitly stated. Any contracts with transaction prices that contain multiple performance obligations are allocated primarily based on a relative standalone selling price basis. Any deferred revenues primarily consist of revenues paid in advance of being earned.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 contract-by-contract basis, we evaluate whether we should be considered the principal (i.e., report revenues on a gross basis) or an agent (i.e., report revenues on a net basis). We are considered the principal in our arrangements and report revenues on a gross basis, wherein the amounts billed to customers are recorded as revenues and amounts paid to network owners are recorded as expenses. We are considered the principal because we control the advertising space before and after the contract term, are primarily responsible to our customers, and have discretion in pricing. For revenues generated through the use of a subcontracted advertising agency, commissions are calculated based on a stated percentage of gross advertising revenue and reported in the Consolidated Statement of Operations within Sales and Marketing expenses.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BUSINESS COMBINATION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12, 2021, the Company and Reflect, entered into an Agreement and Plan of Merger (as amended on February 8, 2022 and February 11, 2023, the “Merger Agreement") pursuant to which a direct, wholly owned subsidiary of Creative Realities, CRI Acquisition Corporation, or “Merger Sub,” would merge with and into Reflect, with Reflect surviving the merger and becoming our wholly owned subsidiary, which transaction is referred to herein as the “Merger.” On February 17, 2022, the parties consummated the Merger (the "Closing").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Subject to the terms and conditions of the Merger Agreement, at the Closing, Reflect stockholders as of the effective time of the Merger collectively received from the Company, in the aggregate, the following Merger consideration: (i) $16,166 in cash, (ii) 777,778 shares of common stock of Creative Realities (valued based on an issuance price of $6 per share) (the “CREX Shares”), (iii) the Secured Promissory Note (as described below), and</w:t>
      </w:r>
    </w:p>
    <w:p>
      <w:pPr>
        <w:spacing w:after="0" w:line="2" w:lineRule="exact"/>
        <w:rPr>
          <w:sz w:val="20"/>
          <w:szCs w:val="20"/>
          <w:color w:val="auto"/>
        </w:rPr>
      </w:pPr>
    </w:p>
    <w:p>
      <w:pPr>
        <w:jc w:val="both"/>
        <w:ind w:firstLine="8"/>
        <w:spacing w:after="0" w:line="269" w:lineRule="auto"/>
        <w:tabs>
          <w:tab w:leader="none" w:pos="341" w:val="left"/>
        </w:tabs>
        <w:numPr>
          <w:ilvl w:val="0"/>
          <w:numId w:val="3"/>
        </w:numPr>
        <w:rPr>
          <w:rFonts w:ascii="Arial" w:cs="Arial" w:eastAsia="Arial" w:hAnsi="Arial"/>
          <w:sz w:val="17"/>
          <w:szCs w:val="17"/>
          <w:color w:val="auto"/>
        </w:rPr>
      </w:pPr>
      <w:r>
        <w:rPr>
          <w:rFonts w:ascii="Arial" w:cs="Arial" w:eastAsia="Arial" w:hAnsi="Arial"/>
          <w:sz w:val="17"/>
          <w:szCs w:val="17"/>
          <w:color w:val="auto"/>
        </w:rPr>
        <w:t>supplemental cash payments (the “Guaranteed Consideration”), if any, payable on or after February 17, 2025 (subject to the Extension Option described below, the “Guarantee Date”), in an amount by which the value of the CREX Shares on such anniversary is less than $19.20 per share, or if certain customers of Reflect collectively achieve over 85,000 billable devices online at any time on or before December 31, 2022, is less than $21.60 per share (such applicable amount, the “Guaranteed Price”), multiplied by the amount of CREX Shares held by the Reflect stockholders on the Guarantee Date (subject to the Extension Option described below). At or before December 31, 2022, the condition of certain customers of Reflect collectively to achieve over 85,000 billable devices online was not met. Accordingly, the contingent cash payment amount was reduced at December 31, 2022 from $21.60 per share to $19.20 per share, a reduction of $2.40 per share.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 w:name="page15"/>
    <w:bookmarkEnd w:id="14"/>
    <w:p>
      <w:pPr>
        <w:jc w:val="both"/>
        <w:ind w:firstLine="648"/>
        <w:spacing w:after="0" w:line="255" w:lineRule="auto"/>
        <w:rPr>
          <w:sz w:val="20"/>
          <w:szCs w:val="20"/>
          <w:color w:val="auto"/>
        </w:rPr>
      </w:pPr>
      <w:r>
        <w:rPr>
          <w:rFonts w:ascii="Arial" w:cs="Arial" w:eastAsia="Arial" w:hAnsi="Arial"/>
          <w:sz w:val="18"/>
          <w:szCs w:val="18"/>
          <w:color w:val="auto"/>
        </w:rPr>
        <w:t>The Company may exercise an extension option (the “Extension Option”) to extend the Guarantee Date by six (6) months, from February 17, 2025 to August 17, 2025, if (i) the Extension Threshold Price is greater than or equal to 70% of the Guaranteed Price described above, and (ii) the Company provides written notice of its election to exercise the Extension Option no later than February 7, 2025. The “Extension Threshold Price” means the average closing price per share of Creative Realities common stock as reported on the Nasdaq Capital Market (or NYSE) in the fifteen (15) consecutive trading day period ending February 2, 2025. If the Extension Threshold Price is less than 80% of the Guaranteed Price, then the Guaranteed Price will be increased by $3.00 per share.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Merger, the Company adopted a Retention Bonus Plan and raised capital to, among other things, pay the cash portion of the Merger consideration. The Retention Bonus Plan is described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Retention Bonus Plan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February 17, 2022, in connection with the Closing, the Company adopted a Retention Bonus Plan, pursuant to which the Company is required to pay to key members of Reflect’s management team an aggregate of $1,334 in cash, which was paid 50% at the Closing, and subject to continuous employment with Reflect or Creative Realities, 25% was paid on February 17, 2023 (the one-year anniversary of Closing) and 25% will be paid on February 17, 2024 (the two-year anniversary of the Closing). In connection with the closing of the Merger, the future cash payments due on the one-year and two-year anniversaries of the Closing were deposited into an escrow agreement. The Retention Bonus Plan also requires the Company to issue Common Stock having an aggregate value of $667 to the plan participants as follows: 50% of the value of such shares were issued at the Closing, and subject to continuous employment with Reflect or Creative Realities, 25% of the value of such shares was issued on February 17, 2023 (the one-year anniversary of Closing) and the remaining 25% of the value of such shares will be issued on February 17, 2024 (the two-year anniversary of the Closing). The shares issued on the Closing were valued at $6.00 per share. The shares issued on the one-year anniversary were valued at $2.22 based on the value of shares issuable divided by the trailing 10-day volume weighted average price ("VWAP") of the shares as of February 17, 2023 as reported on the Nasdaq Capital Market. The Company issued 62,475 shares to key members of Reflect's management team pursuant to the Retention Bonus Plan. Certain participants made an election to have stock withheld to cover applicable withholding taxes. In such cases, the Company reduced the stock award issued to the employee and settled the employees tax liability by remitting cash to the applicable taxing authorities. The shares to be issued on the two-year anniversary will be determined based on the value of shares issuable divided by the trailing 10-day VWAP of the shares as of February 17, 2024 as reported on the Nasdaq Capital Market.</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resignation of a participant’s employment for “good reason,” or termination of the employment of a participant without “cause,” each as defined in the Retention Bonus Plan, the participant will be fully vested and will receive all cash and shares allocated to such participant under the Retention Bonus Plan. Any amounts unpaid by reason of a lapse in continuous employment or otherwise will be reallocated among the remaining Retention Bonus Plan participants.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9540" w:type="dxa"/>
            <w:vAlign w:val="bottom"/>
          </w:tcPr>
          <w:p>
            <w:pPr>
              <w:ind w:left="340"/>
              <w:spacing w:after="0"/>
              <w:rPr>
                <w:sz w:val="20"/>
                <w:szCs w:val="20"/>
                <w:color w:val="auto"/>
              </w:rPr>
            </w:pPr>
            <w:r>
              <w:rPr>
                <w:rFonts w:ascii="Arial" w:cs="Arial" w:eastAsia="Arial" w:hAnsi="Arial"/>
                <w:sz w:val="18"/>
                <w:szCs w:val="18"/>
                <w:i w:val="1"/>
                <w:iCs w:val="1"/>
                <w:color w:val="auto"/>
              </w:rPr>
              <w:t>Purchase price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9540" w:type="dxa"/>
            <w:vAlign w:val="bottom"/>
          </w:tcPr>
          <w:p>
            <w:pPr>
              <w:ind w:left="660"/>
              <w:spacing w:after="0"/>
              <w:rPr>
                <w:sz w:val="20"/>
                <w:szCs w:val="20"/>
                <w:color w:val="auto"/>
              </w:rPr>
            </w:pPr>
            <w:r>
              <w:rPr>
                <w:rFonts w:ascii="Arial" w:cs="Arial" w:eastAsia="Arial" w:hAnsi="Arial"/>
                <w:sz w:val="18"/>
                <w:szCs w:val="18"/>
                <w:color w:val="auto"/>
              </w:rPr>
              <w:t>The preliminary purchase price of Reflect consisted of the following items: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954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Consideration</w:t>
            </w:r>
          </w:p>
        </w:tc>
        <w:tc>
          <w:tcPr>
            <w:tcW w:w="200" w:type="dxa"/>
            <w:vAlign w:val="bottom"/>
          </w:tcPr>
          <w:p>
            <w:pPr>
              <w:spacing w:after="0"/>
              <w:rPr>
                <w:sz w:val="24"/>
                <w:szCs w:val="24"/>
                <w:color w:val="auto"/>
              </w:rPr>
            </w:pPr>
          </w:p>
        </w:tc>
      </w:tr>
      <w:tr>
        <w:trPr>
          <w:trHeight w:val="210"/>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for Reflect stock</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7"/>
              </w:rPr>
              <w:t>(1)</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Cash consideration for Retention Bonus Plan</w:t>
            </w: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1,334</w:t>
            </w:r>
          </w:p>
        </w:tc>
        <w:tc>
          <w:tcPr>
            <w:tcW w:w="200" w:type="dxa"/>
            <w:vAlign w:val="bottom"/>
          </w:tcPr>
          <w:p>
            <w:pPr>
              <w:jc w:val="right"/>
              <w:spacing w:after="0"/>
              <w:rPr>
                <w:sz w:val="20"/>
                <w:szCs w:val="20"/>
                <w:color w:val="auto"/>
              </w:rPr>
            </w:pPr>
            <w:r>
              <w:rPr>
                <w:rFonts w:ascii="Arial" w:cs="Arial" w:eastAsia="Arial" w:hAnsi="Arial"/>
                <w:sz w:val="15"/>
                <w:szCs w:val="15"/>
                <w:color w:val="auto"/>
                <w:w w:val="87"/>
              </w:rPr>
              <w:t>(2)</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to Reflect stockholders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Common stock issued to Retention Bonus Plan</w:t>
            </w: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jc w:val="right"/>
              <w:spacing w:after="0"/>
              <w:rPr>
                <w:sz w:val="20"/>
                <w:szCs w:val="20"/>
                <w:color w:val="auto"/>
              </w:rPr>
            </w:pPr>
            <w:r>
              <w:rPr>
                <w:rFonts w:ascii="Arial" w:cs="Arial" w:eastAsia="Arial" w:hAnsi="Arial"/>
                <w:sz w:val="15"/>
                <w:szCs w:val="15"/>
                <w:color w:val="auto"/>
                <w:w w:val="87"/>
              </w:rPr>
              <w:t>(4)</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Secured Promissory Note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(5)</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Earnout liability</w:t>
            </w: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10,862</w:t>
            </w:r>
          </w:p>
        </w:tc>
        <w:tc>
          <w:tcPr>
            <w:tcW w:w="200" w:type="dxa"/>
            <w:vAlign w:val="bottom"/>
          </w:tcPr>
          <w:p>
            <w:pPr>
              <w:jc w:val="right"/>
              <w:spacing w:after="0"/>
              <w:rPr>
                <w:sz w:val="20"/>
                <w:szCs w:val="20"/>
                <w:color w:val="auto"/>
              </w:rPr>
            </w:pPr>
            <w:r>
              <w:rPr>
                <w:rFonts w:ascii="Arial" w:cs="Arial" w:eastAsia="Arial" w:hAnsi="Arial"/>
                <w:sz w:val="15"/>
                <w:szCs w:val="15"/>
                <w:color w:val="auto"/>
                <w:w w:val="87"/>
              </w:rPr>
              <w:t>(6)</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36,360</w:t>
            </w:r>
          </w:p>
        </w:tc>
        <w:tc>
          <w:tcPr>
            <w:tcW w:w="200" w:type="dxa"/>
            <w:vAlign w:val="bottom"/>
            <w:shd w:val="clear" w:color="auto" w:fill="CCEEFF"/>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Vendor deposit with the Company</w:t>
            </w:r>
          </w:p>
        </w:tc>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(818)</w:t>
            </w:r>
          </w:p>
        </w:tc>
        <w:tc>
          <w:tcPr>
            <w:tcW w:w="200" w:type="dxa"/>
            <w:vAlign w:val="bottom"/>
          </w:tcPr>
          <w:p>
            <w:pPr>
              <w:jc w:val="right"/>
              <w:spacing w:after="0"/>
              <w:rPr>
                <w:sz w:val="20"/>
                <w:szCs w:val="20"/>
                <w:color w:val="auto"/>
              </w:rPr>
            </w:pPr>
            <w:r>
              <w:rPr>
                <w:rFonts w:ascii="Arial" w:cs="Arial" w:eastAsia="Arial" w:hAnsi="Arial"/>
                <w:sz w:val="15"/>
                <w:szCs w:val="15"/>
                <w:color w:val="auto"/>
                <w:w w:val="87"/>
              </w:rPr>
              <w:t>(7)</w:t>
            </w:r>
          </w:p>
        </w:tc>
      </w:tr>
      <w:tr>
        <w:trPr>
          <w:trHeight w:val="216"/>
        </w:trPr>
        <w:tc>
          <w:tcPr>
            <w:tcW w:w="9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(8)</w:t>
            </w:r>
          </w:p>
        </w:tc>
      </w:tr>
      <w:tr>
        <w:trPr>
          <w:trHeight w:val="210"/>
        </w:trPr>
        <w:tc>
          <w:tcPr>
            <w:tcW w:w="9540" w:type="dxa"/>
            <w:vAlign w:val="bottom"/>
          </w:tcPr>
          <w:p>
            <w:pPr>
              <w:spacing w:after="0"/>
              <w:rPr>
                <w:sz w:val="20"/>
                <w:szCs w:val="20"/>
                <w:color w:val="auto"/>
              </w:rPr>
            </w:pPr>
            <w:r>
              <w:rPr>
                <w:rFonts w:ascii="Arial" w:cs="Arial" w:eastAsia="Arial" w:hAnsi="Arial"/>
                <w:sz w:val="18"/>
                <w:szCs w:val="18"/>
                <w:color w:val="auto"/>
              </w:rPr>
              <w:t>Net consideration transferred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34,730</w:t>
            </w:r>
          </w:p>
        </w:tc>
        <w:tc>
          <w:tcPr>
            <w:tcW w:w="200" w:type="dxa"/>
            <w:vAlign w:val="bottom"/>
          </w:tcPr>
          <w:p>
            <w:pPr>
              <w:spacing w:after="0"/>
              <w:rPr>
                <w:sz w:val="18"/>
                <w:szCs w:val="18"/>
                <w:color w:val="auto"/>
              </w:rPr>
            </w:pPr>
          </w:p>
        </w:tc>
      </w:tr>
      <w:tr>
        <w:trPr>
          <w:trHeight w:val="20"/>
        </w:trPr>
        <w:tc>
          <w:tcPr>
            <w:tcW w:w="9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consideration for outstanding shares of Reflect capital stock per Merger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consideration utilized to fund the Retention Bonus Plan per Merger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Company common stock issued in exchange for outstanding shares of Reflect capital stock per Merger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Company common stock issued to fund the Retention Bonus Plan per Merger Agreement.</w:t>
      </w:r>
    </w:p>
    <w:p>
      <w:pPr>
        <w:spacing w:after="0" w:line="225" w:lineRule="exact"/>
        <w:rPr>
          <w:rFonts w:ascii="Arial" w:cs="Arial" w:eastAsia="Arial" w:hAnsi="Arial"/>
          <w:sz w:val="18"/>
          <w:szCs w:val="18"/>
          <w:color w:val="auto"/>
        </w:rPr>
      </w:pPr>
    </w:p>
    <w:p>
      <w:pPr>
        <w:jc w:val="both"/>
        <w:ind w:left="340" w:hanging="332"/>
        <w:spacing w:after="0" w:line="29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Secured Promissory Note accrued interest at 0.59% (the applicable federal rate at the time of issuance of the Secured Promissory Note) and required the Company and Reflect to collectively pay equal monthly principal installments of $104 on the fifteenth (15th) day of each month, commencing on March 15, 2022. On February 11, 2023, the Company and the Stockholders’ Representative executed an amendment (the “Note Amendment”) to the Secured Promissory Note. The Note Amendment eliminated the balloon payment, extending the maturity date for a one-year period, to February 17, 2024. During the extended period, the Company will continue to make monthly principal payments of $104, and the annual interest rate on the outstanding principal increased from 0.59% to 4.60%, which will accrue and is payable in full on the new maturity date.</w:t>
      </w:r>
    </w:p>
    <w:p>
      <w:pPr>
        <w:spacing w:after="0" w:line="164"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an estimate of the fair value of the Guaranteed Consideration as of the Merger, which, if any, is payable on or after February 17, 2025 (subject to the Extension Option), in an amount by which the value of the CREX Shares on such anniversary is less than $19.20 per share, multiplied by the amount of CREX Shares held by the Reflect stockholders on the Guarantee Date (subject to the Extension Option), subject to the terms of the Merger Agreement.</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to the Merger, Reflect had engaged the Company on a project and paid the Company a deposit of $818. These amounts reduced consideration paid by the Company in accordance with ASC 805.</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Reflect cash balance acquired at Closing.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incurred $391 of direct transaction costs related to the Reflect Merger for the three months ended March 31, 2022. These costs are included in deal and transaction expense in the accompanying Condensed Consolidated Statement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6" w:name="page17"/>
    <w:bookmarkEnd w:id="16"/>
    <w:p>
      <w:pPr>
        <w:ind w:firstLine="648"/>
        <w:spacing w:after="0" w:line="277" w:lineRule="auto"/>
        <w:rPr>
          <w:sz w:val="20"/>
          <w:szCs w:val="20"/>
          <w:color w:val="auto"/>
        </w:rPr>
      </w:pPr>
      <w:r>
        <w:rPr>
          <w:rFonts w:ascii="Arial" w:cs="Arial" w:eastAsia="Arial" w:hAnsi="Arial"/>
          <w:sz w:val="18"/>
          <w:szCs w:val="18"/>
          <w:color w:val="auto"/>
        </w:rPr>
        <w:t>The Company accounted for the Merger using the acquisition method of accounting. The final allocation of the purchase price is based on the fair value of assets acquired and liabilities assumed as of February 17, 2022, which included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10"/>
        </w:trPr>
        <w:tc>
          <w:tcPr>
            <w:tcW w:w="9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&amp; other current assets</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Operating right of use assets</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Definite-lived trade names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Definite-lived Developed technology</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Definite-lived Customer relationships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11,040</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Definite-lived Noncompete agreements</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18,935</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(1,259)</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operating leases</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Long-term obligations under operating leases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r>
      <w:tr>
        <w:trPr>
          <w:trHeight w:val="20"/>
        </w:trPr>
        <w:tc>
          <w:tcPr>
            <w:tcW w:w="95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9560" w:type="dxa"/>
            <w:vAlign w:val="bottom"/>
          </w:tcPr>
          <w:p>
            <w:pPr>
              <w:spacing w:after="0"/>
              <w:rPr>
                <w:sz w:val="20"/>
                <w:szCs w:val="20"/>
                <w:color w:val="auto"/>
              </w:rPr>
            </w:pPr>
            <w:r>
              <w:rPr>
                <w:rFonts w:ascii="Arial" w:cs="Arial" w:eastAsia="Arial" w:hAnsi="Arial"/>
                <w:sz w:val="18"/>
                <w:szCs w:val="18"/>
                <w:color w:val="auto"/>
              </w:rPr>
              <w:t>Net consideration transferred</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34,730</w:t>
            </w:r>
          </w:p>
        </w:tc>
        <w:tc>
          <w:tcPr>
            <w:tcW w:w="100" w:type="dxa"/>
            <w:vAlign w:val="bottom"/>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engaged a third-party valuation specialist to assist in the identification and calculation of the fair value of those separately identifiable intangible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completed its valuation procedures by asset utilizing the following approaches: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relationship asset was estimated using the income approach through a discounted cash flow analysis wherein the cash flows will be based on estimates used to price the Merger. Discount rates were benchmarked with reference to the implied rate of return from the Company’s pricing model and the weighted average cost of capital.</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name asset represents the Reflect brand name as marketed primarily as a full services digital software solution, marketed in numerous verticals with the exception of food service. The Company applied the income approach through an excess earnings analysis to determine the fair value of the trade name asset. The Company applied the income approach through a relief-from-royalty analysis to determine the fair value of this asset.</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developed technology assets are primarily comprised of know-how and functionality embedded in Reflect’s proprietary content management applications, which drive currently marketed products and services. The Company applied the income approach through a relief-from-royalty analysis to determine the preliminary fair value of this asset.</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is amortizing the identifiable intangible assets on a straight-line basis over the weighted average lives ranging from 2 to 10 years as outlined in the table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the valuation and amortization period of identifiable 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Valuation</w:t>
            </w:r>
          </w:p>
        </w:tc>
        <w:tc>
          <w:tcPr>
            <w:tcW w:w="24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 (in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Identifiable definite-lived intangible assets:</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3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960</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7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Noncompete</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3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1700" w:type="dxa"/>
            <w:vAlign w:val="bottom"/>
            <w:tcBorders>
              <w:bottom w:val="single" w:sz="8" w:color="CCEEFF"/>
            </w:tcBorders>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3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17,160</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520" w:type="dxa"/>
            <w:vAlign w:val="bottom"/>
            <w:vMerge w:val="restart"/>
          </w:tcPr>
          <w:p>
            <w:pPr>
              <w:jc w:val="right"/>
              <w:ind w:right="205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color w:val="auto"/>
        </w:rPr>
        <w:t>The Company estimated the preliminary fair value of the acquired property and equipment using a combination of the cost and market approaches, depending on the component. The fair value of such property and equipment is $96.</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excess of the purchase price over the fair value of the tangible net assets and identifiable intangible assets acquired was recorded as goodwill. The factors contributing to the recognition of the amount of goodwill are based on several strategic and synergistic benefits that are expected to be realized from the Merger. These benefits include a comprehensive portfolio of iconic customer brands, complementary product offerings, enhanced national footprint, and attractive synergy opportunities and value creation. None of the goodwill is expected to be deductible for income tax purposes.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NOTE 6: SUPPLEMENTAL CASH FLOW STATEMENT INFORMATION</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non-cash Investing activities</w:t>
            </w:r>
          </w:p>
        </w:tc>
        <w:tc>
          <w:tcPr>
            <w:tcW w:w="1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92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2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Capitalized software in accounts payable</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3"/>
          </w:tcPr>
          <w:p>
            <w:pPr>
              <w:spacing w:after="0"/>
              <w:rPr>
                <w:sz w:val="20"/>
                <w:szCs w:val="20"/>
                <w:color w:val="auto"/>
              </w:rPr>
            </w:pPr>
            <w:r>
              <w:rPr>
                <w:rFonts w:ascii="Arial" w:cs="Arial" w:eastAsia="Arial" w:hAnsi="Arial"/>
                <w:sz w:val="18"/>
                <w:szCs w:val="18"/>
                <w:color w:val="auto"/>
              </w:rPr>
              <w:t>Property and equipment in accounts payable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Supplemental disclosure information for cash flow</w:t>
            </w:r>
          </w:p>
        </w:tc>
        <w:tc>
          <w:tcPr>
            <w:tcW w:w="30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gridSpan w:val="3"/>
          </w:tcPr>
          <w:p>
            <w:pPr>
              <w:spacing w:after="0"/>
              <w:rPr>
                <w:sz w:val="20"/>
                <w:szCs w:val="20"/>
                <w:color w:val="auto"/>
              </w:rPr>
            </w:pPr>
            <w:r>
              <w:rPr>
                <w:rFonts w:ascii="Arial" w:cs="Arial" w:eastAsia="Arial" w:hAnsi="Arial"/>
                <w:sz w:val="18"/>
                <w:szCs w:val="18"/>
                <w:color w:val="auto"/>
              </w:rPr>
              <w:t>Cash paid during the period for:</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3"/>
          </w:tcPr>
          <w:p>
            <w:pPr>
              <w:spacing w:after="0"/>
              <w:rPr>
                <w:sz w:val="20"/>
                <w:szCs w:val="20"/>
                <w:color w:val="auto"/>
              </w:rPr>
            </w:pPr>
            <w:r>
              <w:rPr>
                <w:rFonts w:ascii="Arial" w:cs="Arial" w:eastAsia="Arial" w:hAnsi="Arial"/>
                <w:sz w:val="18"/>
                <w:szCs w:val="18"/>
                <w:color w:val="auto"/>
              </w:rPr>
              <w:t>Operating leases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188</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 net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INTANGIBLE ASSETS, INCLUDING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at March 31,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right"/>
              <w:ind w:right="96"/>
              <w:spacing w:after="0"/>
              <w:rPr>
                <w:sz w:val="20"/>
                <w:szCs w:val="20"/>
                <w:color w:val="auto"/>
              </w:rPr>
            </w:pPr>
            <w:r>
              <w:rPr>
                <w:rFonts w:ascii="Arial" w:cs="Arial" w:eastAsia="Arial" w:hAnsi="Arial"/>
                <w:sz w:val="18"/>
                <w:szCs w:val="18"/>
                <w:b w:val="1"/>
                <w:bCs w:val="1"/>
                <w:color w:val="auto"/>
              </w:rPr>
              <w:t>March 31,</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4"/>
              </w:rPr>
              <w:t>Gross</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Accumulated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Technology platform</w:t>
            </w:r>
          </w:p>
        </w:tc>
        <w:tc>
          <w:tcPr>
            <w:tcW w:w="1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2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Purchased and developed software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5,044</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4,682</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In-Process internally developed software platform</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4,074</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Non-compete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0"/>
        </w:trPr>
        <w:tc>
          <w:tcPr>
            <w:tcW w:w="45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35,972</w:t>
            </w:r>
          </w:p>
        </w:tc>
        <w:tc>
          <w:tcPr>
            <w:tcW w:w="2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35,151</w:t>
            </w: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12,153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11,399</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 of amortizable intangible assets</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23,819</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23,752</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458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6"/>
          <w:szCs w:val="16"/>
          <w:color w:val="auto"/>
        </w:rPr>
        <w:t>For the three months ended March 31, 2023 and 2022, amortization of intangible assets charged to operations was $754 and $680, respectively.</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Goodwill represents the excess of the purchase price over the fair value of net assets acquired. Goodwill is subject to an impairment review at a reporting unit level, on an annual basis at September 30th each fiscal year, when an event occurs, or circumstances change that would indicate potential impairment. The Company has only one reporting unit, and therefore the entire goodwill is allocated to that reporting unit.</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assessed the carrying value of goodwill at the reporting unit level based on an estimate of the fair value of its reporting unit. Fair value of the reporting unit was estimated using both (1) a market approach, leveraging recent industry merger and acquisition activity as well as comparable public company information, and (2) a discounted cash flow analyses consisting of various assumptions, including expectations of future cash flows based on projections or forecasts derived from analysis of business prospects and economic or market trends that may occur, specifically, the Company gave significant consideration to actual historic financial results, including revenue growth rates in the current and preceding three years, further informed by known backlog and customer acquisitions. Based on the Company’s assessment, we determined that the fair value of our reporting unit exceeds its carrying value, and accordingly, the goodwill associated with the reporting unit is not considered to be impaired at September 30, 2022.</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At December 31, 2022, we concluded the decline in our market value represented an interim indicator of potential impairment. Based on a quantitative assessment of our fair value performed at December 31, 2022, using the same approach as our annual impairment performed at September 30, described above, we concluded that the carrying value of our goodwill did not exceed the reporting unit fair value. No indicators of impairment were identified as of March 31, 2023. The Company recognizes that any differences between our actual and projected future results, or changes in our projected future results, could potentially have a material impact on our assessment of goodwill impairment. The Company will continue to monitor the actual performance of its operations against expectations and assess further indicators of possible impairment. The valuation of goodwill and intangible assets is subject to a high degree of judgment, uncertainty and complexity. Should any indicators of impairment occur in subsequent periods, the Company will be required to perform an analysis in order to determine whether goodwill is impaired.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NOTE 8: LOANS PAYABLE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debt with detachable warrants, as applicable, are shown in the table below. Further discussion of the debt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of March 31,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5"/>
              </w:rPr>
              <w:t>Issuance</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Maturity</w:t>
            </w: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r>
      <w:tr>
        <w:trPr>
          <w:trHeight w:val="234"/>
        </w:trPr>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Debt Type</w:t>
            </w:r>
          </w:p>
        </w:tc>
        <w:tc>
          <w:tcPr>
            <w:tcW w:w="2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Principal</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 Rate Information</w:t>
            </w:r>
          </w:p>
        </w:tc>
      </w:tr>
      <w:tr>
        <w:trPr>
          <w:trHeight w:val="210"/>
        </w:trPr>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2/17/2022</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2/15/2025</w:t>
            </w: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833,334</w:t>
            </w:r>
          </w:p>
        </w:tc>
        <w:tc>
          <w:tcPr>
            <w:tcW w:w="120" w:type="dxa"/>
            <w:vAlign w:val="bottom"/>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line="210" w:lineRule="exact"/>
              <w:rPr>
                <w:sz w:val="20"/>
                <w:szCs w:val="20"/>
                <w:color w:val="auto"/>
              </w:rPr>
            </w:pPr>
            <w:r>
              <w:rPr>
                <w:rFonts w:ascii="Arial" w:cs="Arial" w:eastAsia="Arial" w:hAnsi="Arial"/>
                <w:sz w:val="15"/>
                <w:szCs w:val="15"/>
                <w:color w:val="auto"/>
              </w:rPr>
              <w:t>8.0% interest</w:t>
            </w:r>
            <w:r>
              <w:rPr>
                <w:rFonts w:ascii="Arial" w:cs="Arial" w:eastAsia="Arial" w:hAnsi="Arial"/>
                <w:sz w:val="24"/>
                <w:szCs w:val="24"/>
                <w:color w:val="auto"/>
                <w:vertAlign w:val="superscript"/>
              </w:rPr>
              <w:t>(1)</w:t>
            </w:r>
          </w:p>
        </w:tc>
      </w:tr>
      <w:tr>
        <w:trPr>
          <w:trHeight w:val="216"/>
        </w:trPr>
        <w:tc>
          <w:tcPr>
            <w:tcW w:w="12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7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2/17/2022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2/17/2024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0" w:type="dxa"/>
            <w:vAlign w:val="bottom"/>
          </w:tcPr>
          <w:p>
            <w:pPr>
              <w:jc w:val="center"/>
              <w:spacing w:after="0" w:line="216" w:lineRule="exact"/>
              <w:rPr>
                <w:sz w:val="20"/>
                <w:szCs w:val="20"/>
                <w:color w:val="auto"/>
              </w:rPr>
            </w:pPr>
            <w:r>
              <w:rPr>
                <w:rFonts w:ascii="Arial" w:cs="Arial" w:eastAsia="Arial" w:hAnsi="Arial"/>
                <w:sz w:val="16"/>
                <w:szCs w:val="16"/>
                <w:color w:val="auto"/>
                <w:w w:val="99"/>
              </w:rPr>
              <w:t>4.60% interest</w:t>
            </w:r>
            <w:r>
              <w:rPr>
                <w:rFonts w:ascii="Arial" w:cs="Arial" w:eastAsia="Arial" w:hAnsi="Arial"/>
                <w:sz w:val="25"/>
                <w:szCs w:val="25"/>
                <w:color w:val="auto"/>
                <w:w w:val="99"/>
                <w:vertAlign w:val="superscript"/>
              </w:rPr>
              <w:t>(2)</w:t>
            </w:r>
          </w:p>
        </w:tc>
      </w:tr>
      <w:tr>
        <w:trPr>
          <w:trHeight w:val="216"/>
        </w:trPr>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27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2/17/2022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2/15/2025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898,165</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9"/>
              </w:rPr>
              <w:t>10.0% interest</w:t>
            </w:r>
            <w:r>
              <w:rPr>
                <w:rFonts w:ascii="Arial" w:cs="Arial" w:eastAsia="Arial" w:hAnsi="Arial"/>
                <w:sz w:val="25"/>
                <w:szCs w:val="25"/>
                <w:color w:val="auto"/>
                <w:w w:val="99"/>
                <w:vertAlign w:val="superscript"/>
              </w:rPr>
              <w:t>(3)</w:t>
            </w:r>
          </w:p>
        </w:tc>
      </w:tr>
      <w:tr>
        <w:trPr>
          <w:trHeight w:val="223"/>
        </w:trPr>
        <w:tc>
          <w:tcPr>
            <w:tcW w:w="1200" w:type="dxa"/>
            <w:vAlign w:val="bottom"/>
          </w:tcPr>
          <w:p>
            <w:pPr>
              <w:jc w:val="center"/>
              <w:spacing w:after="0"/>
              <w:rPr>
                <w:sz w:val="20"/>
                <w:szCs w:val="20"/>
                <w:color w:val="auto"/>
              </w:rPr>
            </w:pPr>
            <w:r>
              <w:rPr>
                <w:rFonts w:ascii="Arial" w:cs="Arial" w:eastAsia="Arial" w:hAnsi="Arial"/>
                <w:sz w:val="18"/>
                <w:szCs w:val="18"/>
                <w:color w:val="auto"/>
              </w:rPr>
              <w:t>D</w:t>
            </w:r>
          </w:p>
        </w:tc>
        <w:tc>
          <w:tcPr>
            <w:tcW w:w="27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10/31/2022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9/1/2023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0" w:type="dxa"/>
            <w:vAlign w:val="bottom"/>
          </w:tcPr>
          <w:p>
            <w:pPr>
              <w:jc w:val="center"/>
              <w:spacing w:after="0" w:line="216" w:lineRule="exact"/>
              <w:rPr>
                <w:sz w:val="20"/>
                <w:szCs w:val="20"/>
                <w:color w:val="auto"/>
              </w:rPr>
            </w:pPr>
            <w:r>
              <w:rPr>
                <w:rFonts w:ascii="Arial" w:cs="Arial" w:eastAsia="Arial" w:hAnsi="Arial"/>
                <w:sz w:val="16"/>
                <w:szCs w:val="16"/>
                <w:color w:val="auto"/>
                <w:w w:val="99"/>
              </w:rPr>
              <w:t>12.5% interest</w:t>
            </w:r>
            <w:r>
              <w:rPr>
                <w:rFonts w:ascii="Arial" w:cs="Arial" w:eastAsia="Arial" w:hAnsi="Arial"/>
                <w:sz w:val="25"/>
                <w:szCs w:val="25"/>
                <w:color w:val="auto"/>
                <w:w w:val="99"/>
                <w:vertAlign w:val="superscript"/>
              </w:rPr>
              <w:t>(4)</w:t>
            </w:r>
          </w:p>
        </w:tc>
      </w:tr>
      <w:tr>
        <w:trPr>
          <w:trHeight w:val="241"/>
        </w:trPr>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5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 debt, gross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1,731,499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Pr>
          <w:p>
            <w:pPr>
              <w:jc w:val="center"/>
              <w:spacing w:after="0" w:line="196" w:lineRule="exact"/>
              <w:rPr>
                <w:sz w:val="20"/>
                <w:szCs w:val="20"/>
                <w:color w:val="auto"/>
              </w:rPr>
            </w:pPr>
            <w:r>
              <w:rPr>
                <w:rFonts w:ascii="Arial" w:cs="Arial" w:eastAsia="Arial" w:hAnsi="Arial"/>
                <w:sz w:val="18"/>
                <w:szCs w:val="18"/>
                <w:color w:val="auto"/>
                <w:w w:val="90"/>
              </w:rPr>
              <w:t>Debt discount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(2,713)</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9"/>
        </w:trPr>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Total debt, net</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17,368</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Less current maturities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(4,944)</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50"/>
        </w:trPr>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Long term debt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of 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5"/>
              </w:rPr>
              <w:t>Issuance</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Maturity</w:t>
            </w: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r>
      <w:tr>
        <w:trPr>
          <w:trHeight w:val="234"/>
        </w:trPr>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Debt Type</w:t>
            </w:r>
          </w:p>
        </w:tc>
        <w:tc>
          <w:tcPr>
            <w:tcW w:w="2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Principal</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 Rate Information</w:t>
            </w:r>
          </w:p>
        </w:tc>
      </w:tr>
      <w:tr>
        <w:trPr>
          <w:trHeight w:val="210"/>
        </w:trPr>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220" w:type="dxa"/>
            <w:vAlign w:val="bottom"/>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2/17/2022</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2/15/2025</w:t>
            </w: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833,334</w:t>
            </w:r>
          </w:p>
        </w:tc>
        <w:tc>
          <w:tcPr>
            <w:tcW w:w="120" w:type="dxa"/>
            <w:vAlign w:val="bottom"/>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line="210" w:lineRule="exact"/>
              <w:rPr>
                <w:sz w:val="20"/>
                <w:szCs w:val="20"/>
                <w:color w:val="auto"/>
              </w:rPr>
            </w:pPr>
            <w:r>
              <w:rPr>
                <w:rFonts w:ascii="Arial" w:cs="Arial" w:eastAsia="Arial" w:hAnsi="Arial"/>
                <w:sz w:val="15"/>
                <w:szCs w:val="15"/>
                <w:color w:val="auto"/>
              </w:rPr>
              <w:t>8.0% interest</w:t>
            </w:r>
            <w:r>
              <w:rPr>
                <w:rFonts w:ascii="Arial" w:cs="Arial" w:eastAsia="Arial" w:hAnsi="Arial"/>
                <w:sz w:val="24"/>
                <w:szCs w:val="24"/>
                <w:color w:val="auto"/>
                <w:vertAlign w:val="superscript"/>
              </w:rPr>
              <w:t>(1)</w:t>
            </w:r>
          </w:p>
        </w:tc>
      </w:tr>
      <w:tr>
        <w:trPr>
          <w:trHeight w:val="229"/>
        </w:trPr>
        <w:tc>
          <w:tcPr>
            <w:tcW w:w="12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7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2/17/2022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2/17/2024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0" w:type="dxa"/>
            <w:vAlign w:val="bottom"/>
          </w:tcPr>
          <w:p>
            <w:pPr>
              <w:jc w:val="center"/>
              <w:spacing w:after="0" w:line="230" w:lineRule="exact"/>
              <w:rPr>
                <w:sz w:val="20"/>
                <w:szCs w:val="20"/>
                <w:color w:val="auto"/>
              </w:rPr>
            </w:pPr>
            <w:r>
              <w:rPr>
                <w:rFonts w:ascii="Arial" w:cs="Arial" w:eastAsia="Arial" w:hAnsi="Arial"/>
                <w:sz w:val="16"/>
                <w:szCs w:val="16"/>
                <w:color w:val="auto"/>
                <w:w w:val="98"/>
              </w:rPr>
              <w:t>0.59% interest</w:t>
            </w:r>
            <w:r>
              <w:rPr>
                <w:rFonts w:ascii="Arial" w:cs="Arial" w:eastAsia="Arial" w:hAnsi="Arial"/>
                <w:sz w:val="26"/>
                <w:szCs w:val="26"/>
                <w:color w:val="auto"/>
                <w:w w:val="98"/>
                <w:vertAlign w:val="superscript"/>
              </w:rPr>
              <w:t>(2)</w:t>
            </w:r>
          </w:p>
        </w:tc>
      </w:tr>
      <w:tr>
        <w:trPr>
          <w:trHeight w:val="216"/>
        </w:trPr>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27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2/17/2022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2/15/2025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898,165</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9"/>
              </w:rPr>
              <w:t>10.0% interest</w:t>
            </w:r>
            <w:r>
              <w:rPr>
                <w:rFonts w:ascii="Arial" w:cs="Arial" w:eastAsia="Arial" w:hAnsi="Arial"/>
                <w:sz w:val="25"/>
                <w:szCs w:val="25"/>
                <w:color w:val="auto"/>
                <w:w w:val="99"/>
                <w:vertAlign w:val="superscript"/>
              </w:rPr>
              <w:t>(3)</w:t>
            </w:r>
          </w:p>
        </w:tc>
      </w:tr>
      <w:tr>
        <w:trPr>
          <w:trHeight w:val="223"/>
        </w:trPr>
        <w:tc>
          <w:tcPr>
            <w:tcW w:w="1200" w:type="dxa"/>
            <w:vAlign w:val="bottom"/>
          </w:tcPr>
          <w:p>
            <w:pPr>
              <w:jc w:val="center"/>
              <w:spacing w:after="0"/>
              <w:rPr>
                <w:sz w:val="20"/>
                <w:szCs w:val="20"/>
                <w:color w:val="auto"/>
              </w:rPr>
            </w:pPr>
            <w:r>
              <w:rPr>
                <w:rFonts w:ascii="Arial" w:cs="Arial" w:eastAsia="Arial" w:hAnsi="Arial"/>
                <w:sz w:val="18"/>
                <w:szCs w:val="18"/>
                <w:color w:val="auto"/>
              </w:rPr>
              <w:t>D</w:t>
            </w:r>
          </w:p>
        </w:tc>
        <w:tc>
          <w:tcPr>
            <w:tcW w:w="27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10/31/2022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9/1/2023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0" w:type="dxa"/>
            <w:vAlign w:val="bottom"/>
          </w:tcPr>
          <w:p>
            <w:pPr>
              <w:jc w:val="center"/>
              <w:spacing w:after="0" w:line="216" w:lineRule="exact"/>
              <w:rPr>
                <w:sz w:val="20"/>
                <w:szCs w:val="20"/>
                <w:color w:val="auto"/>
              </w:rPr>
            </w:pPr>
            <w:r>
              <w:rPr>
                <w:rFonts w:ascii="Arial" w:cs="Arial" w:eastAsia="Arial" w:hAnsi="Arial"/>
                <w:sz w:val="16"/>
                <w:szCs w:val="16"/>
                <w:color w:val="auto"/>
                <w:w w:val="99"/>
              </w:rPr>
              <w:t>12.5% interest</w:t>
            </w:r>
            <w:r>
              <w:rPr>
                <w:rFonts w:ascii="Arial" w:cs="Arial" w:eastAsia="Arial" w:hAnsi="Arial"/>
                <w:sz w:val="25"/>
                <w:szCs w:val="25"/>
                <w:color w:val="auto"/>
                <w:w w:val="99"/>
                <w:vertAlign w:val="superscript"/>
              </w:rPr>
              <w:t>(4)</w:t>
            </w:r>
          </w:p>
        </w:tc>
      </w:tr>
      <w:tr>
        <w:trPr>
          <w:trHeight w:val="241"/>
        </w:trPr>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5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 debt, gross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1,731,499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Pr>
          <w:p>
            <w:pPr>
              <w:jc w:val="center"/>
              <w:spacing w:after="0" w:line="196" w:lineRule="exact"/>
              <w:rPr>
                <w:sz w:val="20"/>
                <w:szCs w:val="20"/>
                <w:color w:val="auto"/>
              </w:rPr>
            </w:pPr>
            <w:r>
              <w:rPr>
                <w:rFonts w:ascii="Arial" w:cs="Arial" w:eastAsia="Arial" w:hAnsi="Arial"/>
                <w:sz w:val="18"/>
                <w:szCs w:val="18"/>
                <w:color w:val="auto"/>
                <w:w w:val="90"/>
              </w:rPr>
              <w:t>Debt discount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(3,069)</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9"/>
        </w:trPr>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Total debt, net</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Less current maturities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(4,499)</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49"/>
        </w:trPr>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Long term debt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 Acquisition Term Loan with related party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 Secured Promissory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 Consolidation Term Loan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 Term Loan (2022) with related party</w:t>
      </w:r>
    </w:p>
    <w:p>
      <w:pPr>
        <w:spacing w:after="0" w:line="21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8.0% cash interest per annum through maturity at February 15, 2025.</w:t>
      </w:r>
    </w:p>
    <w:p>
      <w:pPr>
        <w:spacing w:after="0" w:line="23" w:lineRule="exact"/>
        <w:rPr>
          <w:rFonts w:ascii="Arial" w:cs="Arial" w:eastAsia="Arial" w:hAnsi="Arial"/>
          <w:sz w:val="18"/>
          <w:szCs w:val="18"/>
          <w:color w:val="auto"/>
        </w:rPr>
      </w:pPr>
    </w:p>
    <w:p>
      <w:pPr>
        <w:ind w:left="340" w:right="12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Annual interest rate on the outstanding principal increased from 0.59% to 4.60% per annum effective February 17, 2023 through maturity at February 17, 2024. Annual interest rate was 0.59% cash interest per annum (the applicable federal rate) through February 17, 2023.</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cash interest per annum through maturity date at February 15, 2025.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Interest was paid-in-kind through October 2021, at which point interest became payable in cash at the stated interest rates through maturity.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b w:val="1"/>
          <w:bCs w:val="1"/>
          <w:i w:val="1"/>
          <w:iCs w:val="1"/>
          <w:color w:val="auto"/>
        </w:rPr>
        <w:t>Secured Promissory Note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17, 2022, in connection with the Closing, the Company issued to RSI Exit Corporation (“Stockholders’ Representative”), the representative of Reflect stockholders, a $2,500 Note and Security Agreement (the “Secured Promissory Note”).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Secured Promissory Note accrued interest at 0.59% per annum (the applicable federal rate on the date of issuance of the Secured Promissory Note) and required the Company and Reflect to collectively pay equal monthly principal installments of $104 on the fifteenth (15th) day of each month, commencing on March 15, 2022. Any remaining or unpaid principal was due and payable on February 17, 2023. All payments under the Secured Promissory Note are paid to the escrow agent in the Merger Agreement to be placed into the escrow account to secure the Reflect stockholders’ indemnification obligations until released on February 17, 2023 (the one-year anniversary of the Closing), at which time any remaining proceeds not subject to a pending indemnification claim would be paid to the exchange agent for payment to the Reflect stockholders pursuant to the Merger Agreement. The Secured Promissory Note is secured by a first-lien security interest in certain contracts of Reflect, including obligations arising out of those certain contracts. The Company has the right to offset amounts payable under the Secured Promissory Note upon a final, non-appealable decision of a court that entitles the Company or its affiliates to any damages for indemnification under the Merger Agreement, or the Stockholders’ Representative’s agreement in writing to such damages.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11, 2023, the Company and the Stockholders’ Representative executed an amendment (the “Note Amendment”) to the Secured Promissory Note. The Note Amendment eliminates the balloon payment, extending the maturity date for a one-year period, to February 17, 2024. During the extended period, the Company will continue to make monthly principal payments of $104, and the annual interest rate on the outstanding principal increased from 0.59% to 4.60%, which will accrue and is payable in full on the new maturity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Second Amended and Restated Loan and Security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17, 2022, the Company and its subsidiaries (collectively, the “Borrowers”) refinanced their debt facilities with Slipstream, pursuant to a Second Amended and Restated Credit and Security Agreement (the “Credit Agreement”). The Borrowers include Reflect, which became a wholly owned subsidiary of the Company as a result of the Closing on February 17, 2022. The debt facilities continue to be fully secured by all assets of the Borrowers.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The Credit Agreement also provides that the Company’s outstanding loans from Slipstream at December 31, 2021, consisting of its pre-existing $4,767 senior secured term loan and $2,418 secured convertible loan, with an aggregate of $7,185 in outstanding principal and accrued and unpaid interest under such loans, were consolidated into a term loan (the “Consolidation Term Loan”). The Consolidation Term Loan has an interest rate of 10.0%, with 75.0% warrant coverage (or 898,165 warrants). On the first day of each month, commencing March 1, 2022 through February 1, 2025, the Borrowers will make interest-only payments on the Consolidation Term Loan. Commencing on September 1, 2023, and on the first day of each month thereafter until the Maturity Date, the Borrowers will make a payment on the Consolidation Term Loan, in an equal monthly installment of principal sufficient to fully amortize the Consolidation Term Loan in eighteen equal installments. The Company assessed the combination of the pre-existing senior secured term loan and secured convertible loan in accordance with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and determined the transaction should be accounted for as an extinguishment, in part as the Consolidation Term Loan eliminated a substantive conversion feature. In aggregate the Company recorded a loss on extinguishment of $295 during the three month period ending March 31, 2022, primarily associated with the write-off of pre-existing debt discounts.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refinancing the existing debt with Slipstream, the Company issued to Slipstream a $10,000, 36-month senior secured term loan (the “Acquisition Term Loan”) resulting in $10,000 in gross proceeds, or $9,950 in net proceeds. The Acquisition Term Loan matures on February 17, 2025 (the “Maturity Date”) and has an interest rate of 8.0%, with 50.0% warrant coverage (or 833,334 warrants). On the first day of each month, commencing March 1, 2022 through February 1, 2025, the Borrowers will make interest-only payments on the Acquisition Term Loan. No principal payments on the Acquisition Term Loan are payable until the Maturity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1" w:name="page22"/>
    <w:bookmarkEnd w:id="21"/>
    <w:p>
      <w:pPr>
        <w:jc w:val="both"/>
        <w:ind w:firstLine="648"/>
        <w:spacing w:after="0" w:line="289" w:lineRule="auto"/>
        <w:rPr>
          <w:sz w:val="20"/>
          <w:szCs w:val="20"/>
          <w:color w:val="auto"/>
        </w:rPr>
      </w:pPr>
      <w:r>
        <w:rPr>
          <w:rFonts w:ascii="Arial" w:cs="Arial" w:eastAsia="Arial" w:hAnsi="Arial"/>
          <w:sz w:val="16"/>
          <w:szCs w:val="16"/>
          <w:color w:val="auto"/>
        </w:rPr>
        <w:t xml:space="preserve">In connection with the Acquisition Term Loan and Consolidation Term Loan warrant coverage, the Company issued to Slipstream a warrant to purchase an aggregate of 1,731,499 shares of Company common stock (the “Lender Warrant”). The Lender Warrant has a five-year term, an initial exercise price of $6.00 per share, subject to adjustments in the Lender Warrant, and was not exercisable until August 17, 2022. The warrants were assessed in accordance with ASC 470 and ASC 815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and were deemed to represent bifurcated derivative instruments that should be recorded as liabilities in the Condensed Consolidated Balance Sheets. The Company performed a Black-Scholes valuation of the warrants as of the issuance date, resulting in a fair value of $2.4387 per warrant. In recording the warrant liability, the Company recorded a debt discount associated with each of the Acquisition and Consolidation Term Loans in an amount of $2,032 and $2,190, respectively. These amounts are being amortized straight-line through interest expense over the life of the loans, resulting in incremental interest expense of $356 and $162 for the three months ended March 31, 2023 and 2022, respectively. The Company has deemed straight-line amortization to be materially consistent with the effective interest method.</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certain circumstances, upon a fundamental transaction of the Company (e.g., a disposal or sale of all or the greater part of the assets or undertaking of the Company, an amalgamation or merger with another company, or implementation of a scheme of arrangement), the holder of the Lender Warrant will have the right to require the Company to repurchase the Lender Warrant at its fair value using a Black Scholes option pricing formula; provided that such holder may not require the Company or its successor entity to repurchase the Lender Warrant for the Black Scholes value in connection with a fundamental transaction that is not approved by the Company’s Board of Directors, and therefore not within the Company’s control.</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June 30, 2022, the Company amended the terms of the Lender Warrant to remove the holder’s option to exercise such warrant on a cashless basis utilizing the VWAP of the Company’s common stock on the trading day immediately preceding the date of a notice of cashless exercise in certain circumstances, and remove the condition to exercising such warrant that the Company’s shareholders approve the exercise thereof (which has already been obtained). The amendments to the Lender Warrant also extend the term of such warrants for an additional one year, such that the Lender Warrant will expire on February 17, 2028. The foregoing amendments to the Lender Warrant caused such warrants to be accounted for as equity instruments in the Company’s Consolidated Financial Statements.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31, 2022, the Borrowers and Slipstream amended the Credit Agreement to provide the Borrowers with a $2,000 term loan ("Term Loan (2022)"), the net proceeds of which were used by the Company to accelerate an active software development project with potential to expand SaaS revenues associated with an existing customer. The Term Loan (2022) has an annual interest rate of 12.5% and matures on September 1, 2023. Commencing on February 1, 2023, the Borrowers will make monthly installment payments of approximately $270 until the maturity date, consisting of principal and interest sufficient to fully amortize the Term Loan (2022) through the maturity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August 2, 2019, the Company filed suit in Jefferson Circuit Court, Kentucky, against a supplier of the Company’s wholly owned subsidiary, Allure, for breach of contract, breach of warranty, and negligence with respect to equipment installations performed by such supplier for an Allure customer. On October 10, 2019, the Allure customer that is the basis of our claim above sent a demand to the Company for payment of $3,200 as settlement for an alleged breach of contract related to hardware failures of equipment installations performed by Allure between November 2017 and August 2018. On March 10, 2023, the Company, the supplier and the Allure customer reached a Settlement Agreement and Release of Claims ("Settlement Agreement"). Pursuant to the Settlement Agreement, the Company is obligated to pay $733; however, its insurer agreed to pay $700 of that amount. Thus, the Company paid $33 of the settlement amount in April 2023.</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noted above, the Company is not party to any other material legal proceedings, other than ordinary routine litigation incidental to the business, and there were no other such proceedings pending during the period covered by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deferred tax assets are primarily related to net federal and state operating loss carryforwards (NOLs). 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2023, we reported tax liability of $43. As of March 31, 2023, the net deferred tax liabilities totaled $52 after valuation allowance, compared to net tax liabilities of $28 at December 31, 2022.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NOTE 11: WARRANTS</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300" w:type="dxa"/>
            <w:vAlign w:val="bottom"/>
            <w:gridSpan w:val="2"/>
          </w:tcPr>
          <w:p>
            <w:pPr>
              <w:ind w:left="660"/>
              <w:spacing w:after="0"/>
              <w:rPr>
                <w:sz w:val="20"/>
                <w:szCs w:val="20"/>
                <w:color w:val="auto"/>
              </w:rPr>
            </w:pPr>
            <w:r>
              <w:rPr>
                <w:rFonts w:ascii="Arial" w:cs="Arial" w:eastAsia="Arial" w:hAnsi="Arial"/>
                <w:sz w:val="18"/>
                <w:szCs w:val="18"/>
                <w:color w:val="auto"/>
              </w:rPr>
              <w:t>A summary of outstanding warrants is included below:</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Warrants</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8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18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Exercise</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r>
      <w:tr>
        <w:trPr>
          <w:trHeight w:val="234"/>
        </w:trPr>
        <w:tc>
          <w:tcPr>
            <w:tcW w:w="18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100" w:type="dxa"/>
            <w:vAlign w:val="bottom"/>
          </w:tcPr>
          <w:p>
            <w:pPr>
              <w:spacing w:after="0"/>
              <w:rPr>
                <w:sz w:val="20"/>
                <w:szCs w:val="20"/>
                <w:color w:val="auto"/>
              </w:rPr>
            </w:pPr>
          </w:p>
        </w:tc>
      </w:tr>
      <w:tr>
        <w:trPr>
          <w:trHeight w:val="209"/>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5,824,027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Warrants expired</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(20,577)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March 31, 2023</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5,803,450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February 3, 2022, the Company, entered into a Securities Purchase Agreement with a purchaser (the “Purchaser”), pursuant to which the Company agreed to issue and sell to the Purchaser, in a private placement priced at-the-market under Nasdaq rules, (i) 438,334 shares (the “Shares”) of the Company’s common stock, par value $0.01 per share (the “Common Stock”) and accompanying warrants to purchase an aggregate of 438,334 shares of Common Stock, and (ii) pre-funded warrants to purchase up to an aggregate of 1,950,502 shares of Common Stock (the “Pre-Funded Warrants”) and accompanying warrants to purchase an aggregate of 1,950,502 shares of Common Stock (collectively, the “Private Placement”). The accompanying warrants to purchase Common Stock are referred to herein collectively as the “Common Stock Warrants.” Under the Securities Purchase Agreement, each Share and accompanying warrants to purchase Common Stock were sold together at a combined price of $4.605, and each Pre-Funded Warrant and accompanying warrants to purchase Common Stock were sold together at a combined price of $4.6047, for gross proceeds of approximately $11,000, before deducting placement agent fees and estimated offering expenses payable by the Company. During the three months ended March 31, 2022, each of the Pre-Funded Warrants were exercised. The Common Stock Warrants expire five years from the date of issuance. The Company evaluated the Pre-Funded Warrants and concluded that they met the criteria to be classified within stockholders’ equity, with proceeds recorded as common stock and additional paid-in-capital. The Company evaluated the Common Stock Warrant and concluded they do not meet the criteria to be classified within stockholders’ equity. The Common Stock Warrant include provisions which could result in a different settlement value, for the Common Stock Warrant depending on the registration status of the underlying shares. Because these conditions were not an input into the pricing of a fixed-for-fixed option on the Company’s ordinary shares, the Common Stock Warrant is not considered to be indexed to the Company’s own stock. The Company recorded these warrants as liabilities on the Condensed Consolidated Balance Sheets at fair value, with subsequent changes in their respective fair values recognized in the Condensed Consolidated Statements of Operations at each reporting date. At the date of issuance, the Company performed a Black-Scholes valuation of the warrants, resulting in a fair value of $3.2781 per warrant. At March 31, 2022, the Company reassessed the fair value of these warrants via Black Scholes valuation methodology and determined that the fair value of these warrants was $1.7445 per warrant, resulting in the Company recording a gain on the fair value of these warrants of $3,664 in the Condensed Consolidated Statement of Operations for the three months ended March 31, 2022.</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February 17, 2022, in connection with the Credit Agreement with Slipstream, the Company issued to Slipstream 1,731,499 warrants with an exercise price of $6.00 per share which expire five years from the date of issuance (the “Lender Warrant”). These warrants are not exercisable until 180 days after the issuance date. The common shares underlying these warrants have not yet been registered for resale under the Securities Act of 1933, which provides Slipstream with an option for cashless exercise once the warrant becomes exercisable until such time as such registration occurs. The Lender Warrants expire five years from the date of issuance. The Company evaluated the Lender Warrant and concluded that it does not meet the criteria to be classified within stockholders’ equity. The Lender Warrant includes provisions which could result in a different settlement value, for the Lender Warrant depending on the registration status of the underlying shares. Because these conditions are not an input into the pricing of a fixed-for-fixed option on the Company’s ordinary shares, the Lender Warrant is not considered to be indexed to the Company’s own stock. The Company recorded these warrants as liabilities on the consolidated balance sheets at fair value, with subsequent changes in their respective fair values recognized in the Condensed Consolidated Statements of Operations at each reporting date. At the date of issuance, the Company performed a Black-Scholes valuation of the warrants, resulting in a fair value of $2.4387 per warrant. In recording the warrant liability, the Company recorded an increase in debt discount in the Condensed Consolidated Balance Sheet associated with the issuance of the warrants of $4,223, which is being amortized through interest expense in the Condensed Consolidated Statement of Operations over the life of the Acquisition Term Loan and Consolidation Term Loans. At March 31, 2022, the Company reassessed the fair value of these warrants via Black Scholes valuation methodology and determined that the fair value of these warrants was $1.626 per warrant, resulting in the Company recording a gain on the fair value of these warrants of $1,408 in the Condensed Consolidated Statement of Operations for the three months ended March 31, 2022.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3" w:name="page24"/>
    <w:bookmarkEnd w:id="23"/>
    <w:p>
      <w:pPr>
        <w:jc w:val="both"/>
        <w:ind w:firstLine="648"/>
        <w:spacing w:after="0" w:line="268" w:lineRule="auto"/>
        <w:rPr>
          <w:sz w:val="20"/>
          <w:szCs w:val="20"/>
          <w:color w:val="auto"/>
        </w:rPr>
      </w:pPr>
      <w:r>
        <w:rPr>
          <w:rFonts w:ascii="Arial" w:cs="Arial" w:eastAsia="Arial" w:hAnsi="Arial"/>
          <w:sz w:val="17"/>
          <w:szCs w:val="17"/>
          <w:color w:val="auto"/>
        </w:rPr>
        <w:t>On February 17, 2022, in connection with obtaining a waiver of certain restrictions in investment documents between an investor and the Company in order to consummate the financing contemplated by the Credit Agreement, the Company paid consideration to such investor in the form of a warrant (the “Purchaser Warrant”) to purchase 466,667 shares of Company common stock in an at-the-market offering under Nasdaq rules. The number of shares of Company common stock subject to the Purchaser Warrant is equal to the waiver fee ($175) divided by $0.375 per share. The exercise price of the Purchaser Warrant is $4.23 per share, and the Purchaser Warrant is not exercisable until August 17, 2022. The Purchaser Warrant expires five years from the date of issuance. The Company evaluated the Purchaser Warrant and concluded that it does not meet the criteria to be classified within stockholders’ equity. The Purchaser Warrant includes provisions which could result in a different settlement value, for the Purchaser Warrant depending on the registration status of the underlying shares. Because these conditions were not an input into the pricing of a fixed-for-fixed option on the Company’s ordinary shares, the Purchaser Warrant is not considered to be indexed to the Company’s own stock. The Company recorded these warrants as liabilities on the Condensed Consolidated Balance Sheets at fair value, with subsequent changes in their respective fair values recognized in the Condensed Consolidated Statements of Operations at each reporting date. At the date of issuance, the Company performed a Black-Scholes valuation of the Purchaser Warrant, resulting in a fair value of $2.5968 per warrant. In recording the warrant liability, the Company recorded an expense in the Condensed Consolidated Statement of Operations associated with the issuance of the Purchaser Warrant of $1,211. At March 31, 2022, the Company reassessed the fair value of the Purchase Warrant via Black Scholes valuation methodology and determined that the fair value of the Purchaser Warrant was $1.7445 per warrant, resulting in the Company recording a gain on the fair value of the Purchaser Warrant of $397 in the Condensed Consolidated Statement of Operations for the three months ended March 31, 2022.</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June 30, 2022, the Company amended the terms of the Common Stock Warrant (2,388,836 warrants), Lender Warrant (1,731,499 warrants) and Purchaser Warrant (466,667 warrants). The amendments to such warrants removes the holder’s option to determine the value of such warrants utilizing the VWAP of the Company’s common stock on the trading day immediately preceding the date of a notice in a cashless exercise, and removes the condition to exercising such warrants that the Company’s shareholders approve the exercise thereof (which has already been obtained). The amendments to the warrants also extend the term of such warrants for an additional one year, such that the Common Stock Warrant will expire on February 3, 2028, and the Lender Warrant and Purchaser Warrant will expire on February 17, 2028</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amendments to the warrants resulted in such warrants to be accounted for as equity instruments on the Company’s Condensed Consolidated Financial Statements as of June 30, 2022. As such, the Company reclassified the warrant liability from noncurrent liabilities to additional paid-in-capital as of June 30, 2022. These amounts are reflected as additional paid-in-capital in the Condensed Consolidated Balance Sheet as of December 31,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NOTE 12: STOCK-BASED COMPENSATION</w:t>
            </w:r>
          </w:p>
        </w:tc>
        <w:tc>
          <w:tcPr>
            <w:tcW w:w="960" w:type="dxa"/>
            <w:vAlign w:val="bottom"/>
            <w:gridSpan w:val="7"/>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4620" w:type="dxa"/>
            <w:vAlign w:val="bottom"/>
            <w:gridSpan w:val="10"/>
          </w:tcPr>
          <w:p>
            <w:pPr>
              <w:ind w:left="660"/>
              <w:spacing w:after="0"/>
              <w:rPr>
                <w:sz w:val="20"/>
                <w:szCs w:val="20"/>
                <w:color w:val="auto"/>
              </w:rPr>
            </w:pPr>
            <w:r>
              <w:rPr>
                <w:rFonts w:ascii="Arial" w:cs="Arial" w:eastAsia="Arial" w:hAnsi="Arial"/>
                <w:sz w:val="18"/>
                <w:szCs w:val="18"/>
                <w:color w:val="auto"/>
                <w:w w:val="93"/>
              </w:rPr>
              <w:t>A summary of outstanding options is included below:</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60" w:type="dxa"/>
            <w:vAlign w:val="bottom"/>
            <w:gridSpan w:val="2"/>
          </w:tcPr>
          <w:p>
            <w:pPr>
              <w:spacing w:after="0"/>
              <w:rPr>
                <w:sz w:val="20"/>
                <w:szCs w:val="20"/>
                <w:color w:val="auto"/>
              </w:rPr>
            </w:pPr>
            <w:r>
              <w:rPr>
                <w:rFonts w:ascii="Arial" w:cs="Arial" w:eastAsia="Arial" w:hAnsi="Arial"/>
                <w:sz w:val="18"/>
                <w:szCs w:val="18"/>
                <w:i w:val="1"/>
                <w:iCs w:val="1"/>
                <w:color w:val="auto"/>
              </w:rPr>
              <w:t>Time Vesting Options</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26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88"/>
              </w:rPr>
              <w:t>Range of Exercise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Exercise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326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86"/>
              </w:rPr>
              <w:t>Prices between</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9"/>
              </w:rPr>
              <w:t>Life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Price</w:t>
            </w:r>
          </w:p>
        </w:tc>
      </w:tr>
      <w:tr>
        <w:trPr>
          <w:trHeight w:val="209"/>
        </w:trPr>
        <w:tc>
          <w:tcPr>
            <w:tcW w:w="316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$4.01 - $8.00</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566,673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86"/>
              </w:rPr>
              <w:t>380,560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jc w:val="right"/>
              <w:ind w:right="57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5"/>
          </w:tcPr>
          <w:p>
            <w:pPr>
              <w:jc w:val="right"/>
              <w:ind w:right="180"/>
              <w:spacing w:after="0"/>
              <w:rPr>
                <w:sz w:val="20"/>
                <w:szCs w:val="20"/>
                <w:color w:val="auto"/>
              </w:rPr>
            </w:pPr>
            <w:r>
              <w:rPr>
                <w:rFonts w:ascii="Arial" w:cs="Arial" w:eastAsia="Arial" w:hAnsi="Arial"/>
                <w:sz w:val="18"/>
                <w:szCs w:val="18"/>
                <w:color w:val="auto"/>
              </w:rPr>
              <w:t>96,125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25.22</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96,125</w:t>
            </w: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8"/>
                <w:szCs w:val="18"/>
                <w:color w:val="auto"/>
              </w:rPr>
            </w:pPr>
          </w:p>
        </w:tc>
      </w:tr>
      <w:tr>
        <w:trPr>
          <w:trHeight w:val="249"/>
        </w:trPr>
        <w:tc>
          <w:tcPr>
            <w:tcW w:w="3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662,798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86"/>
              </w:rPr>
              <w:t>476,685</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394"/>
        </w:trPr>
        <w:tc>
          <w:tcPr>
            <w:tcW w:w="3260" w:type="dxa"/>
            <w:vAlign w:val="bottom"/>
            <w:gridSpan w:val="2"/>
          </w:tcPr>
          <w:p>
            <w:pPr>
              <w:spacing w:after="0"/>
              <w:rPr>
                <w:sz w:val="20"/>
                <w:szCs w:val="20"/>
                <w:color w:val="auto"/>
              </w:rPr>
            </w:pPr>
            <w:r>
              <w:rPr>
                <w:rFonts w:ascii="Arial" w:cs="Arial" w:eastAsia="Arial" w:hAnsi="Arial"/>
                <w:sz w:val="18"/>
                <w:szCs w:val="18"/>
                <w:i w:val="1"/>
                <w:iCs w:val="1"/>
                <w:color w:val="auto"/>
              </w:rPr>
              <w:t>Performance Vesting Options</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26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88"/>
              </w:rPr>
              <w:t>Range of Exercise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2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Contractual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Exercise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326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86"/>
              </w:rPr>
              <w:t>Prices between</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Life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Price</w:t>
            </w:r>
          </w:p>
        </w:tc>
      </w:tr>
      <w:tr>
        <w:trPr>
          <w:trHeight w:val="209"/>
        </w:trPr>
        <w:tc>
          <w:tcPr>
            <w:tcW w:w="31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$4.01 - $8.00</w:t>
            </w: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6"/>
              </w:rPr>
              <w:t>240,000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240,000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7.59</w:t>
            </w:r>
          </w:p>
        </w:tc>
        <w:tc>
          <w:tcPr>
            <w:tcW w:w="1340" w:type="dxa"/>
            <w:vAlign w:val="bottom"/>
            <w:gridSpan w:val="4"/>
          </w:tcPr>
          <w:p>
            <w:pPr>
              <w:ind w:left="740"/>
              <w:spacing w:after="0"/>
              <w:rPr>
                <w:sz w:val="20"/>
                <w:szCs w:val="20"/>
                <w:color w:val="auto"/>
              </w:rPr>
            </w:pPr>
            <w:r>
              <w:rPr>
                <w:rFonts w:ascii="Arial" w:cs="Arial" w:eastAsia="Arial" w:hAnsi="Arial"/>
                <w:sz w:val="18"/>
                <w:szCs w:val="18"/>
                <w:color w:val="auto"/>
                <w:w w:val="89"/>
              </w:rPr>
              <w:t>240,000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3260" w:type="dxa"/>
            <w:vAlign w:val="bottom"/>
            <w:gridSpan w:val="2"/>
          </w:tcPr>
          <w:p>
            <w:pPr>
              <w:spacing w:after="0"/>
              <w:rPr>
                <w:sz w:val="20"/>
                <w:szCs w:val="20"/>
                <w:color w:val="auto"/>
              </w:rPr>
            </w:pPr>
            <w:r>
              <w:rPr>
                <w:rFonts w:ascii="Arial" w:cs="Arial" w:eastAsia="Arial" w:hAnsi="Arial"/>
                <w:sz w:val="18"/>
                <w:szCs w:val="18"/>
                <w:i w:val="1"/>
                <w:iCs w:val="1"/>
                <w:color w:val="auto"/>
              </w:rPr>
              <w:t>Market Vesting Options</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26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88"/>
              </w:rPr>
              <w:t>Range of Exercise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4"/>
              </w:rPr>
              <w:t>Number</w:t>
            </w:r>
          </w:p>
        </w:tc>
        <w:tc>
          <w:tcPr>
            <w:tcW w:w="12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Exercise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Options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3260" w:type="dxa"/>
            <w:vAlign w:val="bottom"/>
            <w:gridSpan w:val="2"/>
          </w:tcPr>
          <w:p>
            <w:pPr>
              <w:jc w:val="center"/>
              <w:ind w:left="1110"/>
              <w:spacing w:after="0"/>
              <w:rPr>
                <w:sz w:val="20"/>
                <w:szCs w:val="20"/>
                <w:color w:val="auto"/>
              </w:rPr>
            </w:pPr>
            <w:r>
              <w:rPr>
                <w:rFonts w:ascii="Arial" w:cs="Arial" w:eastAsia="Arial" w:hAnsi="Arial"/>
                <w:sz w:val="18"/>
                <w:szCs w:val="18"/>
                <w:b w:val="1"/>
                <w:bCs w:val="1"/>
                <w:color w:val="auto"/>
                <w:w w:val="86"/>
              </w:rPr>
              <w:t>Prices between</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Exercisable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Price</w:t>
            </w:r>
          </w:p>
        </w:tc>
      </w:tr>
      <w:tr>
        <w:trPr>
          <w:trHeight w:val="209"/>
        </w:trPr>
        <w:tc>
          <w:tcPr>
            <w:tcW w:w="3160" w:type="dxa"/>
            <w:vAlign w:val="bottom"/>
            <w:tcBorders>
              <w:top w:val="single" w:sz="8" w:color="auto"/>
              <w:bottom w:val="single" w:sz="8" w:color="CCEEFF"/>
            </w:tcBorders>
            <w:shd w:val="clear" w:color="auto" w:fill="CCEEFF"/>
          </w:tcPr>
          <w:p>
            <w:pPr>
              <w:jc w:val="center"/>
              <w:ind w:left="1230"/>
              <w:spacing w:after="0"/>
              <w:rPr>
                <w:sz w:val="20"/>
                <w:szCs w:val="20"/>
                <w:color w:val="auto"/>
              </w:rPr>
            </w:pPr>
            <w:r>
              <w:rPr>
                <w:rFonts w:ascii="Arial" w:cs="Arial" w:eastAsia="Arial" w:hAnsi="Arial"/>
                <w:sz w:val="18"/>
                <w:szCs w:val="18"/>
                <w:color w:val="auto"/>
                <w:w w:val="90"/>
              </w:rPr>
              <w:t>$0.01 - $4.00</w:t>
            </w: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633,334</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3"/>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633,334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4"/>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r>
      <w:tr>
        <w:trPr>
          <w:trHeight w:val="398"/>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8"/>
          </w:tcPr>
          <w:p>
            <w:pPr>
              <w:ind w:left="460"/>
              <w:spacing w:after="0"/>
              <w:rPr>
                <w:sz w:val="20"/>
                <w:szCs w:val="20"/>
                <w:color w:val="auto"/>
              </w:rPr>
            </w:pPr>
            <w:r>
              <w:rPr>
                <w:rFonts w:ascii="Arial" w:cs="Arial" w:eastAsia="Arial" w:hAnsi="Arial"/>
                <w:sz w:val="18"/>
                <w:szCs w:val="18"/>
                <w:b w:val="1"/>
                <w:bCs w:val="1"/>
                <w:i w:val="1"/>
                <w:iCs w:val="1"/>
                <w:color w:val="auto"/>
              </w:rPr>
              <w:t>Performance Vesting</w:t>
            </w:r>
          </w:p>
        </w:tc>
      </w:tr>
      <w:tr>
        <w:trPr>
          <w:trHeight w:val="230"/>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15"/>
          </w:tcPr>
          <w:p>
            <w:pPr>
              <w:ind w:left="360"/>
              <w:spacing w:after="0"/>
              <w:rPr>
                <w:sz w:val="20"/>
                <w:szCs w:val="20"/>
                <w:color w:val="auto"/>
              </w:rPr>
            </w:pPr>
            <w:r>
              <w:rPr>
                <w:rFonts w:ascii="Arial" w:cs="Arial" w:eastAsia="Arial" w:hAnsi="Arial"/>
                <w:sz w:val="18"/>
                <w:szCs w:val="18"/>
                <w:b w:val="1"/>
                <w:bCs w:val="1"/>
                <w:i w:val="1"/>
                <w:iCs w:val="1"/>
                <w:color w:val="auto"/>
              </w:rPr>
              <w:t>Market Vesting Options</w:t>
            </w:r>
          </w:p>
        </w:tc>
        <w:tc>
          <w:tcPr>
            <w:tcW w:w="2480" w:type="dxa"/>
            <w:vAlign w:val="bottom"/>
            <w:gridSpan w:val="11"/>
          </w:tcPr>
          <w:p>
            <w:pPr>
              <w:jc w:val="right"/>
              <w:ind w:right="460"/>
              <w:spacing w:after="0"/>
              <w:rPr>
                <w:sz w:val="20"/>
                <w:szCs w:val="20"/>
                <w:color w:val="auto"/>
              </w:rPr>
            </w:pPr>
            <w:r>
              <w:rPr>
                <w:rFonts w:ascii="Arial" w:cs="Arial" w:eastAsia="Arial" w:hAnsi="Arial"/>
                <w:sz w:val="18"/>
                <w:szCs w:val="18"/>
                <w:b w:val="1"/>
                <w:bCs w:val="1"/>
                <w:i w:val="1"/>
                <w:iCs w:val="1"/>
                <w:color w:val="auto"/>
              </w:rPr>
              <w:t>Time Vesting Options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5"/>
          </w:tcPr>
          <w:p>
            <w:pPr>
              <w:ind w:left="960"/>
              <w:spacing w:after="0"/>
              <w:rPr>
                <w:sz w:val="20"/>
                <w:szCs w:val="20"/>
                <w:color w:val="auto"/>
              </w:rPr>
            </w:pPr>
            <w:r>
              <w:rPr>
                <w:rFonts w:ascii="Arial" w:cs="Arial" w:eastAsia="Arial" w:hAnsi="Arial"/>
                <w:sz w:val="18"/>
                <w:szCs w:val="18"/>
                <w:b w:val="1"/>
                <w:bCs w:val="1"/>
                <w:i w:val="1"/>
                <w:iCs w:val="1"/>
                <w:color w:val="auto"/>
                <w:w w:val="82"/>
              </w:rPr>
              <w:t>Options</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20"/>
              <w:spacing w:after="0" w:line="191"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gridSpan w:val="3"/>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gridSpan w:val="2"/>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88"/>
              </w:rPr>
              <w:t>Options</w:t>
            </w:r>
          </w:p>
        </w:tc>
        <w:tc>
          <w:tcPr>
            <w:tcW w:w="134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12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Exercise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3260" w:type="dxa"/>
            <w:vAlign w:val="bottom"/>
            <w:gridSpan w:val="2"/>
          </w:tcPr>
          <w:p>
            <w:pPr>
              <w:ind w:left="1060"/>
              <w:spacing w:after="0"/>
              <w:rPr>
                <w:sz w:val="20"/>
                <w:szCs w:val="20"/>
                <w:color w:val="auto"/>
              </w:rPr>
            </w:pPr>
            <w:r>
              <w:rPr>
                <w:rFonts w:ascii="Arial" w:cs="Arial" w:eastAsia="Arial" w:hAnsi="Arial"/>
                <w:sz w:val="18"/>
                <w:szCs w:val="18"/>
                <w:b w:val="1"/>
                <w:bCs w:val="1"/>
                <w:color w:val="auto"/>
              </w:rPr>
              <w:t>Date/Activity</w:t>
            </w:r>
          </w:p>
        </w:tc>
        <w:tc>
          <w:tcPr>
            <w:tcW w:w="136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34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Price</w:t>
            </w: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633,334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662,910</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6"/>
              </w:rPr>
              <w:t>240,000</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162.00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March 31, 2023</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633,334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662,798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6"/>
              </w:rPr>
              <w:t>240,000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contractual life for options exercisable is 6.7 years as of March 31, 2023.</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Valuation Information for Stock-Based Compensation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For purposes of determining estimated fair value under FASB 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the Company computed the estimated fair values of stock options using the Black-Scholes model.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Amendment to Performance Options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June 1, 2020, Rick Mills, CEO, and Will Logan, CFO, were issued ten-year options to purchase 160,000 and 80,000 shares of common stock (the “Performance Options”), respectively, which vest in equal installments over a three-year period (2020-2022), subject to satisfying the Company revenue targets and EBITDA (earnings before interest, taxes, depreciation and amortization) targets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 The Performance Options include a catch-up provision, where any options that did not vest during a prior year due to the Company’s failure to meet a prior revenue or EBITDA target may vest in a subsequent vesting year if the revenue or EBITDA target, as applicable, is met in the future year.</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15, 2022, the Board approved of an amendment to the Performance Options to provide that the revenue target for the calendar year 2022 set forth therein ($38,000) was eliminated, and the remaining shares that are available for vesting under the Performance Options (106,667 unvested shares for Mr. Mills and 53,334 for Mr. Logan) (including the unvested portions of shares based on the satisfaction of the revenue targets for 2020 and 2021 by virtue of the catch-up provisions in the Performance Options) will fully vest upon the achievement of an updated EBITDA target for calendar year 2022 of $3,600.</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Performance Options state that the calculation of EBITDA set forth in the Performance Options shall be calculated in a form consistent with the Company’s 2022 approved budget, which</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any impact on EBITDA of:</w:t>
      </w:r>
    </w:p>
    <w:p>
      <w:pPr>
        <w:spacing w:after="0" w:line="252" w:lineRule="exact"/>
        <w:rPr>
          <w:rFonts w:ascii="Arial" w:cs="Arial" w:eastAsia="Arial" w:hAnsi="Arial"/>
          <w:sz w:val="18"/>
          <w:szCs w:val="18"/>
          <w:color w:val="auto"/>
        </w:rPr>
      </w:pPr>
    </w:p>
    <w:p>
      <w:pPr>
        <w:ind w:left="660" w:right="220" w:firstLine="644"/>
        <w:spacing w:after="0" w:line="277" w:lineRule="auto"/>
        <w:tabs>
          <w:tab w:leader="none" w:pos="155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accounting treatment (including any “mark-to-market accounting”) of the Company’s warrants or the Guaranteed Consideration (as defined in the Merger Agreement),</w:t>
      </w:r>
    </w:p>
    <w:p>
      <w:pPr>
        <w:spacing w:after="0" w:line="170" w:lineRule="exact"/>
        <w:rPr>
          <w:rFonts w:ascii="Arial" w:cs="Arial" w:eastAsia="Arial" w:hAnsi="Arial"/>
          <w:sz w:val="18"/>
          <w:szCs w:val="18"/>
          <w:color w:val="auto"/>
        </w:rPr>
      </w:pPr>
    </w:p>
    <w:p>
      <w:pPr>
        <w:ind w:left="660" w:right="740" w:firstLine="644"/>
        <w:spacing w:after="0" w:line="277" w:lineRule="auto"/>
        <w:tabs>
          <w:tab w:leader="none" w:pos="1563" w:val="left"/>
        </w:tabs>
        <w:numPr>
          <w:ilvl w:val="1"/>
          <w:numId w:val="7"/>
        </w:numPr>
        <w:rPr>
          <w:rFonts w:ascii="Arial" w:cs="Arial" w:eastAsia="Arial" w:hAnsi="Arial"/>
          <w:sz w:val="18"/>
          <w:szCs w:val="18"/>
          <w:color w:val="auto"/>
        </w:rPr>
      </w:pPr>
      <w:r>
        <w:rPr>
          <w:rFonts w:ascii="Arial" w:cs="Arial" w:eastAsia="Arial" w:hAnsi="Arial"/>
          <w:sz w:val="18"/>
          <w:szCs w:val="18"/>
          <w:color w:val="auto"/>
        </w:rPr>
        <w:t>non-recurring transaction expenses associated with the Merger and the capital raising financing activities of the Company to effectuate the Merger, and</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write-down or write-off of any Company inventory of Safe Space Solutions products.</w:t>
      </w:r>
    </w:p>
    <w:p>
      <w:pPr>
        <w:spacing w:after="0" w:line="239" w:lineRule="exact"/>
        <w:rPr>
          <w:sz w:val="20"/>
          <w:szCs w:val="20"/>
          <w:color w:val="auto"/>
        </w:rPr>
      </w:pPr>
    </w:p>
    <w:p>
      <w:pPr>
        <w:jc w:val="both"/>
        <w:ind w:firstLine="656"/>
        <w:spacing w:after="0" w:line="263" w:lineRule="auto"/>
        <w:tabs>
          <w:tab w:leader="none" w:pos="921"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deductions related to any cash or stock bonuses paid or payable to any employees of the Company for services provided in calendar year 2022 (even if such bonuses are actually paid after calendar year 2022), including bonuses paid pursuant to the terms of the 2022 Cash Bonus Plan (as described below) (collectively, the “EBITDA Calculations”).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unvested portion of the Performance Options as of December 31, 2022 vested in full effective March 30, 2023 upon confirmation by the Board of Directors of achievement of the performance metrics for the year ended December 31, 2022.</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exercise price of the foregoing options is $7.59 per share, the closing price of the Company’s common stock on the date of issuance (as adjusted by the Company's 1-for-3 reverse stock split in March 2023). The options were issued from the 2014 Stock Incentive Plan.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i w:val="1"/>
          <w:iCs w:val="1"/>
          <w:color w:val="auto"/>
        </w:rPr>
        <w:t>Issuance of New Options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15, 2022, Messrs. Mills and Logan received ten-year options to purchase 333,334 and 200,000 shares of common stock, respectively (the “New Options”). The New Options are eligible to vest at any time on or prior to February 17, 2025 if the trailing 10-trading day VWAP of the Company’s common stock, as reported on the Nasdaq Capital Market, exceeds the share price targets below, subject to such executive serving the Company as a director, officer, employee or consultant at such time: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b w:val="1"/>
                <w:bCs w:val="1"/>
                <w:color w:val="auto"/>
              </w:rPr>
              <w:t>Share Price Target</w:t>
            </w: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9"/>
              </w:rPr>
              <w:t>Guaranteed</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$6.00</w:t>
            </w:r>
          </w:p>
        </w:tc>
        <w:tc>
          <w:tcPr>
            <w:tcW w:w="2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$9.00</w:t>
            </w:r>
          </w:p>
        </w:tc>
        <w:tc>
          <w:tcPr>
            <w:tcW w:w="2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$12.00</w:t>
            </w: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$15.00</w:t>
            </w:r>
          </w:p>
        </w:tc>
        <w:tc>
          <w:tcPr>
            <w:tcW w:w="26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$18.00</w:t>
            </w:r>
          </w:p>
        </w:tc>
        <w:tc>
          <w:tcPr>
            <w:tcW w:w="28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Price</w:t>
            </w: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Mills Shares Vested</w:t>
            </w:r>
          </w:p>
        </w:tc>
        <w:tc>
          <w:tcPr>
            <w:tcW w:w="1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33,334</w:t>
            </w: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2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2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Logan Shares Vested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20,000</w:t>
            </w:r>
          </w:p>
        </w:tc>
        <w:tc>
          <w:tcPr>
            <w:tcW w:w="88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40,000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90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Percentage of Shares Vested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“Guaranteed Price” has the meaning ascribed to such term in the Merger Agreement, which currently means $19.20 per share.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exercise price of the New Options is $3.00 per share, which exceeded the closing price of the Company’s common stock on the date of issuance (as adjusted by the Company's 1-for-3 reverse stock split in March 2023). The New Options are issued from the Company’s 2014 Stock Incentive Plan, as amended. An additional 100,000 options with identical market vesting restrictions were issued to non-executives.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options on the grant date varied between $0.63 and $1.11 per award as determined using the Monte Carlo model. These values were calculated using the following weighted 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5060" w:type="dxa"/>
            <w:vAlign w:val="bottom"/>
          </w:tcPr>
          <w:p>
            <w:pPr>
              <w:jc w:val="right"/>
              <w:ind w:right="70"/>
              <w:spacing w:after="0"/>
              <w:rPr>
                <w:sz w:val="20"/>
                <w:szCs w:val="20"/>
                <w:color w:val="auto"/>
              </w:rPr>
            </w:pPr>
            <w:r>
              <w:rPr>
                <w:rFonts w:ascii="Arial" w:cs="Arial" w:eastAsia="Arial" w:hAnsi="Arial"/>
                <w:sz w:val="18"/>
                <w:szCs w:val="18"/>
                <w:color w:val="auto"/>
              </w:rPr>
              <w:t>2.68</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Dividend yield</w:t>
            </w:r>
          </w:p>
        </w:tc>
        <w:tc>
          <w:tcPr>
            <w:tcW w:w="50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March 31, 2023, the Company evaluated the probability of achieving the share price targets in each tranche based, in part, on work performed by the Company’s third party valuation specialist in conjunction with evaluating the equity guarantee contingent liability. As a result of that evaluation of probability, during the three month period ending March 31, 2023 the Company recorded $3 of compensation expense. These awards have not yet vested and are subject to actual share price performance through February 2025.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requires measurement and recognition of compensation expense for all stock-based payments including warrants, stock options, restricted stock grants and stock bonuses based on estimated fair values. Under the Amended and Restated 2006 Equity Incentive Plan, the Company reserved 573,334 shares for purchase by the Company’s employees and under the Amended and Restated 2006 Non-Employee Director Stock Option Plan the Company reserved 233,334 shares for purchase by the Company’s employees. There are 3,890 options outstanding under the 2006 Equity Incentive Plan.</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October 2014, the Company’s shareholders approved the 2014 Stock Incentive Plan, under which 7,390,355 shares were reserved for purchase by the Company’s employees. In August 2018, a special meeting of shareholders was held in which the shareholders voted to amend the Company’s 2014 Stock Incentive Plan to increase the reserve of shares authorized for issuance thereunder, from 7,390,355 shares to 18,000,000 shares. Following a 1-for-30 reverse stock split, the shares authorized for issuance under the Company’s 2014 Stock Incentive Plan was reduced to 600,000. On July 10, 2020, the Company’s shareholders approved an amendment to the Company’s 2014 Stock Incentive Plan to increase the reserve of authorized for issuance thereunder to 6,000,000. Following a 1-for-3 reverse stock split, the shares authorized for issuance under the Company's 2014 Stock Incentive Plan was reduced to 2,000,000. There are 1,532,242 options outstanding under the 2014 Stock Incentive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Employee Awards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Compensation expense recognized for the issuance of stock options to employees for the three months ended March 31, 2023 and 2022 of $225 and $646, respectively, was included in general and administrative expense in the Condensed Consolidated Financial Statements.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March 31, 2023, there was approximately $148 and $471 of total unrecognized compensation expense related to unvested share-based awards with time vesting and performance vesting criteria for employees, respectively. Generally, expense related to the time vesting options will be recognized over the next year and will be adjusted for any future forfeitures as they occur. Compensation expense related to performance vesting options will be recognized if it becomes probable that the Company will achieve the identified performance metrics.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Awards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Compensation expense recognized for the issuance of stock options, including those options awarded to our Board of Directors, for the three month period ended March 31, 2023 and 2022 of $43 and $82, respectively, was included in general and administrative expense in the Condensed Consolidated Financial Statements. At March 31, 2023, there was approximately $107 of total unrecognized compensation expense related to unvested share-based awards with time vesting criteria for non-employee directors. Generally, expense related to the time vesting options will be recognized over the next year and will be adjusted for any future forfeitures as they occur.</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engages certain consultants to perform services in exchange for Company common stock. Shares issued for services were calculated based on the ten (10) day VWAP for the last ten (10) days during the month of service provided.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2023 and 2022, the Company issued or accrued shares issuable in exchange for services in the amount of $30 and 45,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SIGNIFICANT CUSTOMERS/VENDORS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two customers that in the aggregate accounted for 39.7% of accounts receivable at March 31, 2023 and three customers that in the aggregate accounted for 49.2% of accounts receivable at December 31, 2022.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two customers that in the aggregate accounted for 44.5% of revenue for the three months ended March 31, 2023, compared to three customers that in the aggregate accounted for 70.0% of revenue for the three months ended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Vendors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two vendors that in the aggregate accounted for 45.6% of outstanding accounts payable at March 31, 2023, and one vendor that accounted for 30.1% of outstanding accounts payable at December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 Forward-Looking Statements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Form 10-K for the year ended December 31, 2022 as filed with the Securities and Exchange Commission on March 30, 2023.</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We do not undertake to update any forward-looking statement.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Creative Realities, Inc. (“Creative Realities,” “we,” “us,” or the “Company”) transforms environments through digital solutions by providing innovative digital signage solutions for key market segments and use cases, including:</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Retail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Entertainment and Sports Venues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Restaurants, including quick-serve restaurants (“QSR”)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Convenience Stores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Automotive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Medical and Healthcare Facilities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Mixed Use Developments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Communications, Employee Experience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Digital out of Home (DOOH) Advertising Networks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84"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brand awareness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Improved customer support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Enhanced employee productivity and satisfaction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revenue and profitability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Improved guest experience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customer/guest engagement</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Through a combination of organically grown platforms and a series of strategic acquisitions, including our recent acquisition of Reflect in February 2022, the Company assist clients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Client engagements focus on consultative conversations that ensure the Company’s solutions are positioned to help clients achieve their business objectives in the most cost-effective manner possible.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ind w:left="4"/>
        <w:spacing w:after="0"/>
        <w:rPr>
          <w:sz w:val="20"/>
          <w:szCs w:val="20"/>
          <w:color w:val="auto"/>
        </w:rPr>
      </w:pPr>
      <w:r>
        <w:rPr>
          <w:rFonts w:ascii="Arial" w:cs="Arial" w:eastAsia="Arial" w:hAnsi="Arial"/>
          <w:sz w:val="18"/>
          <w:szCs w:val="18"/>
          <w:color w:val="auto"/>
        </w:rPr>
        <w:t>When comparing Creative Realities to other digital signage providers, our customers value the following competitive advantages:</w:t>
      </w:r>
    </w:p>
    <w:p>
      <w:pPr>
        <w:spacing w:after="0" w:line="221" w:lineRule="exact"/>
        <w:rPr>
          <w:sz w:val="20"/>
          <w:szCs w:val="20"/>
          <w:color w:val="auto"/>
        </w:rPr>
      </w:pPr>
    </w:p>
    <w:p>
      <w:pPr>
        <w:jc w:val="both"/>
        <w:ind w:left="324" w:hanging="324"/>
        <w:spacing w:after="0" w:line="266"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Breadth of solutions </w:t>
      </w:r>
      <w:r>
        <w:rPr>
          <w:rFonts w:ascii="Arial" w:cs="Arial" w:eastAsia="Arial" w:hAnsi="Arial"/>
          <w:sz w:val="18"/>
          <w:szCs w:val="18"/>
          <w:color w:val="auto"/>
        </w:rPr>
        <w:t>– Creative Realities is one of only a few companies in the industry capable of providing the full portfolio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services required to implement and run an effective digital signage network. We leverage a ‘single vendor’ approach, providing clients with a one-stop-shop for sourcing digital signage solutions from design through day two services.</w:t>
      </w:r>
    </w:p>
    <w:p>
      <w:pPr>
        <w:spacing w:after="0" w:line="175" w:lineRule="exact"/>
        <w:rPr>
          <w:rFonts w:ascii="Arial" w:cs="Arial" w:eastAsia="Arial" w:hAnsi="Arial"/>
          <w:sz w:val="18"/>
          <w:szCs w:val="18"/>
          <w:color w:val="auto"/>
        </w:rPr>
      </w:pPr>
    </w:p>
    <w:p>
      <w:pPr>
        <w:jc w:val="both"/>
        <w:ind w:left="324" w:hanging="324"/>
        <w:spacing w:after="0" w:line="266"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Managed labor pool </w:t>
      </w:r>
      <w:r>
        <w:rPr>
          <w:rFonts w:ascii="Arial" w:cs="Arial" w:eastAsia="Arial" w:hAnsi="Arial"/>
          <w:sz w:val="18"/>
          <w:szCs w:val="18"/>
          <w:color w:val="auto"/>
        </w:rPr>
        <w:t>– Unlike most companies in our industry, we have a curated labor pool including thousands of qualified and vetted</w:t>
      </w:r>
      <w:r>
        <w:rPr>
          <w:rFonts w:ascii="Arial" w:cs="Arial" w:eastAsia="Arial" w:hAnsi="Arial"/>
          <w:sz w:val="18"/>
          <w:szCs w:val="18"/>
          <w:b w:val="1"/>
          <w:bCs w:val="1"/>
          <w:color w:val="auto"/>
        </w:rPr>
        <w:t xml:space="preserve"> </w:t>
      </w:r>
      <w:r>
        <w:rPr>
          <w:rFonts w:ascii="Arial" w:cs="Arial" w:eastAsia="Arial" w:hAnsi="Arial"/>
          <w:sz w:val="18"/>
          <w:szCs w:val="18"/>
          <w:color w:val="auto"/>
        </w:rPr>
        <w:t>field technicians available to service clients quickly nationwide. We can meet tight schedules even in exceptionally large deployments and still ensure quality and consistency.</w:t>
      </w:r>
    </w:p>
    <w:p>
      <w:pPr>
        <w:spacing w:after="0" w:line="175" w:lineRule="exact"/>
        <w:rPr>
          <w:rFonts w:ascii="Arial" w:cs="Arial" w:eastAsia="Arial" w:hAnsi="Arial"/>
          <w:sz w:val="18"/>
          <w:szCs w:val="18"/>
          <w:color w:val="auto"/>
        </w:rPr>
      </w:pPr>
    </w:p>
    <w:p>
      <w:pPr>
        <w:jc w:val="both"/>
        <w:ind w:left="324" w:hanging="324"/>
        <w:spacing w:after="0" w:line="266"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In-house creative resources </w:t>
      </w:r>
      <w:r>
        <w:rPr>
          <w:rFonts w:ascii="Arial" w:cs="Arial" w:eastAsia="Arial" w:hAnsi="Arial"/>
          <w:sz w:val="18"/>
          <w:szCs w:val="18"/>
          <w:color w:val="auto"/>
        </w:rPr>
        <w:t>– We assist clients in repurposing existing content for digital signage experiences or creating new content,</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activity for which the Company has won several design awards in recent years. In each instance, our services can be essential in helping clients develop an effective content program.</w:t>
      </w:r>
    </w:p>
    <w:p>
      <w:pPr>
        <w:spacing w:after="0" w:line="175" w:lineRule="exact"/>
        <w:rPr>
          <w:rFonts w:ascii="Arial" w:cs="Arial" w:eastAsia="Arial" w:hAnsi="Arial"/>
          <w:sz w:val="18"/>
          <w:szCs w:val="18"/>
          <w:color w:val="auto"/>
        </w:rPr>
      </w:pPr>
    </w:p>
    <w:p>
      <w:pPr>
        <w:jc w:val="both"/>
        <w:ind w:left="324" w:hanging="324"/>
        <w:spacing w:after="0" w:line="261"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Network scalability and reliability </w:t>
      </w:r>
      <w:r>
        <w:rPr>
          <w:rFonts w:ascii="Arial" w:cs="Arial" w:eastAsia="Arial" w:hAnsi="Arial"/>
          <w:sz w:val="18"/>
          <w:szCs w:val="18"/>
          <w:color w:val="auto"/>
        </w:rPr>
        <w:t>– Our software as a service (“SaaS”) content management platforms power some of the largest and</w:t>
      </w:r>
      <w:r>
        <w:rPr>
          <w:rFonts w:ascii="Arial" w:cs="Arial" w:eastAsia="Arial" w:hAnsi="Arial"/>
          <w:sz w:val="18"/>
          <w:szCs w:val="18"/>
          <w:b w:val="1"/>
          <w:bCs w:val="1"/>
          <w:color w:val="auto"/>
        </w:rPr>
        <w:t xml:space="preserve"> </w:t>
      </w:r>
      <w:r>
        <w:rPr>
          <w:rFonts w:ascii="Arial" w:cs="Arial" w:eastAsia="Arial" w:hAnsi="Arial"/>
          <w:sz w:val="18"/>
          <w:szCs w:val="18"/>
          <w:color w:val="auto"/>
        </w:rPr>
        <w:t>most complex digital signage networks in North America evidencing our ability to manage enterprise scale projects. This also provides us purchasing power to source products and services for our customers, enabling us to deliver cost effective, reliable and powerful solutions to small and medium size business clients.</w:t>
      </w:r>
    </w:p>
    <w:p>
      <w:pPr>
        <w:spacing w:after="0" w:line="179" w:lineRule="exact"/>
        <w:rPr>
          <w:rFonts w:ascii="Arial" w:cs="Arial" w:eastAsia="Arial" w:hAnsi="Arial"/>
          <w:sz w:val="18"/>
          <w:szCs w:val="18"/>
          <w:color w:val="auto"/>
        </w:rPr>
      </w:pPr>
    </w:p>
    <w:p>
      <w:pPr>
        <w:jc w:val="both"/>
        <w:ind w:left="324" w:hanging="324"/>
        <w:spacing w:after="0" w:line="261"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Ad management platform </w:t>
      </w:r>
      <w:r>
        <w:rPr>
          <w:rFonts w:ascii="Arial" w:cs="Arial" w:eastAsia="Arial" w:hAnsi="Arial"/>
          <w:sz w:val="18"/>
          <w:szCs w:val="18"/>
          <w:color w:val="auto"/>
        </w:rPr>
        <w:t>– Our customers are increasingly interested in monetizing their digital signage networks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 content. However, efficiently scheduling advertising content into digital signage playlists to meet campaign objectives can be a challenging and labor-intensive process. AdLogic, our home-grown, content management-agnostic platform, automates this process, allowing network owners to capture more revenue with less expense.</w:t>
      </w:r>
    </w:p>
    <w:p>
      <w:pPr>
        <w:spacing w:after="0" w:line="179" w:lineRule="exact"/>
        <w:rPr>
          <w:rFonts w:ascii="Arial" w:cs="Arial" w:eastAsia="Arial" w:hAnsi="Arial"/>
          <w:sz w:val="18"/>
          <w:szCs w:val="18"/>
          <w:color w:val="auto"/>
        </w:rPr>
      </w:pPr>
    </w:p>
    <w:p>
      <w:pPr>
        <w:jc w:val="both"/>
        <w:ind w:left="324" w:hanging="324"/>
        <w:spacing w:after="0" w:line="289" w:lineRule="auto"/>
        <w:tabs>
          <w:tab w:leader="none" w:pos="324"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Media sales </w:t>
      </w:r>
      <w:r>
        <w:rPr>
          <w:rFonts w:ascii="Arial" w:cs="Arial" w:eastAsia="Arial" w:hAnsi="Arial"/>
          <w:sz w:val="17"/>
          <w:szCs w:val="17"/>
          <w:color w:val="auto"/>
        </w:rPr>
        <w:t>– Few, if any other digital signage solution providers, can offer their clients media sales as a service. We have in-house</w:t>
      </w:r>
      <w:r>
        <w:rPr>
          <w:rFonts w:ascii="Arial" w:cs="Arial" w:eastAsia="Arial" w:hAnsi="Arial"/>
          <w:sz w:val="17"/>
          <w:szCs w:val="17"/>
          <w:b w:val="1"/>
          <w:bCs w:val="1"/>
          <w:color w:val="auto"/>
        </w:rPr>
        <w:t xml:space="preserve"> </w:t>
      </w:r>
      <w:r>
        <w:rPr>
          <w:rFonts w:ascii="Arial" w:cs="Arial" w:eastAsia="Arial" w:hAnsi="Arial"/>
          <w:sz w:val="17"/>
          <w:szCs w:val="17"/>
          <w:color w:val="auto"/>
        </w:rPr>
        <w:t>media sales expertise to elevate conversations with clients interested in better understanding network monetization. We believe this meaningful differentiation in the sales process provides an additional revenue stream to Creative Realities compared to our competitors.</w:t>
      </w:r>
    </w:p>
    <w:p>
      <w:pPr>
        <w:spacing w:after="0" w:line="157" w:lineRule="exact"/>
        <w:rPr>
          <w:rFonts w:ascii="Arial" w:cs="Arial" w:eastAsia="Arial" w:hAnsi="Arial"/>
          <w:sz w:val="17"/>
          <w:szCs w:val="17"/>
          <w:color w:val="auto"/>
        </w:rPr>
      </w:pPr>
    </w:p>
    <w:p>
      <w:pPr>
        <w:jc w:val="both"/>
        <w:ind w:left="324" w:hanging="324"/>
        <w:spacing w:after="0" w:line="258"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Market sector expertise </w:t>
      </w:r>
      <w:r>
        <w:rPr>
          <w:rFonts w:ascii="Arial" w:cs="Arial" w:eastAsia="Arial" w:hAnsi="Arial"/>
          <w:sz w:val="18"/>
          <w:szCs w:val="18"/>
          <w:color w:val="auto"/>
        </w:rPr>
        <w:t>– Creative Realities has in-house experts in key market segments such as automotive, retail, quick-serve</w:t>
      </w:r>
      <w:r>
        <w:rPr>
          <w:rFonts w:ascii="Arial" w:cs="Arial" w:eastAsia="Arial" w:hAnsi="Arial"/>
          <w:sz w:val="18"/>
          <w:szCs w:val="18"/>
          <w:b w:val="1"/>
          <w:bCs w:val="1"/>
          <w:color w:val="auto"/>
        </w:rPr>
        <w:t xml:space="preserve"> </w:t>
      </w:r>
      <w:r>
        <w:rPr>
          <w:rFonts w:ascii="Arial" w:cs="Arial" w:eastAsia="Arial" w:hAnsi="Arial"/>
          <w:sz w:val="18"/>
          <w:szCs w:val="18"/>
          <w:color w:val="auto"/>
        </w:rPr>
        <w:t>restaurants (QSR), convenience stores, and Digital Out of Home (DOOH) advertising. Our expertise in these business segments enables our teams to provide meaningful business conversations and offer tailored solutions with prospects and customers to their unique business objectives. These experts build industry relationships and create thought leadership that drives lead flow and new opportunities for our business.</w:t>
      </w:r>
    </w:p>
    <w:p>
      <w:pPr>
        <w:spacing w:after="0" w:line="183" w:lineRule="exact"/>
        <w:rPr>
          <w:rFonts w:ascii="Arial" w:cs="Arial" w:eastAsia="Arial" w:hAnsi="Arial"/>
          <w:sz w:val="18"/>
          <w:szCs w:val="18"/>
          <w:color w:val="auto"/>
        </w:rPr>
      </w:pPr>
    </w:p>
    <w:p>
      <w:pPr>
        <w:ind w:left="324" w:hanging="324"/>
        <w:spacing w:after="0" w:line="312" w:lineRule="auto"/>
        <w:tabs>
          <w:tab w:leader="none" w:pos="324"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Logistics </w:t>
      </w:r>
      <w:r>
        <w:rPr>
          <w:rFonts w:ascii="Arial" w:cs="Arial" w:eastAsia="Arial" w:hAnsi="Arial"/>
          <w:sz w:val="17"/>
          <w:szCs w:val="17"/>
          <w:color w:val="auto"/>
        </w:rPr>
        <w:t>– Implementing a large digital signage project can be a logistics nightmare that can stall an initiative even before deployment.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Our expertise in logistics improves deployment efficiency, reduces delays and problems, and saves customers time and money.</w:t>
      </w:r>
    </w:p>
    <w:p>
      <w:pPr>
        <w:spacing w:after="0" w:line="139" w:lineRule="exact"/>
        <w:rPr>
          <w:rFonts w:ascii="Arial" w:cs="Arial" w:eastAsia="Arial" w:hAnsi="Arial"/>
          <w:sz w:val="17"/>
          <w:szCs w:val="17"/>
          <w:color w:val="auto"/>
        </w:rPr>
      </w:pPr>
    </w:p>
    <w:p>
      <w:pPr>
        <w:jc w:val="both"/>
        <w:ind w:left="324" w:hanging="324"/>
        <w:spacing w:after="0" w:line="261"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Technical support </w:t>
      </w:r>
      <w:r>
        <w:rPr>
          <w:rFonts w:ascii="Arial" w:cs="Arial" w:eastAsia="Arial" w:hAnsi="Arial"/>
          <w:sz w:val="18"/>
          <w:szCs w:val="18"/>
          <w:color w:val="auto"/>
        </w:rPr>
        <w:t>– Digital signage networks present unique challenges for corporate IT departments. Creative Realities helps simplify</w:t>
      </w:r>
      <w:r>
        <w:rPr>
          <w:rFonts w:ascii="Arial" w:cs="Arial" w:eastAsia="Arial" w:hAnsi="Arial"/>
          <w:sz w:val="18"/>
          <w:szCs w:val="18"/>
          <w:b w:val="1"/>
          <w:bCs w:val="1"/>
          <w:color w:val="auto"/>
        </w:rPr>
        <w:t xml:space="preserve"> </w:t>
      </w:r>
      <w:r>
        <w:rPr>
          <w:rFonts w:ascii="Arial" w:cs="Arial" w:eastAsia="Arial" w:hAnsi="Arial"/>
          <w:sz w:val="18"/>
          <w:szCs w:val="18"/>
          <w:color w:val="auto"/>
        </w:rPr>
        <w:t>and improve end user support by leveraging our own Network Operations Center (“NOC”) in Louisville, Kentucky. The NOC resolves many issues remotely and when field support is required, it can be dispatched from the NOC, leveraging our managed labor pool to resolve customer issues quickly and effectively.</w:t>
      </w:r>
    </w:p>
    <w:p>
      <w:pPr>
        <w:spacing w:after="0" w:line="179" w:lineRule="exact"/>
        <w:rPr>
          <w:rFonts w:ascii="Arial" w:cs="Arial" w:eastAsia="Arial" w:hAnsi="Arial"/>
          <w:sz w:val="18"/>
          <w:szCs w:val="18"/>
          <w:color w:val="auto"/>
        </w:rPr>
      </w:pPr>
    </w:p>
    <w:p>
      <w:pPr>
        <w:jc w:val="both"/>
        <w:ind w:left="324" w:hanging="324"/>
        <w:spacing w:after="0" w:line="261"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Integrations and Application Development </w:t>
      </w:r>
      <w:r>
        <w:rPr>
          <w:rFonts w:ascii="Arial" w:cs="Arial" w:eastAsia="Arial" w:hAnsi="Arial"/>
          <w:sz w:val="18"/>
          <w:szCs w:val="18"/>
          <w:color w:val="auto"/>
        </w:rPr>
        <w:t>– The future of digital signage is not still images and videos on a screen. Interactive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and integrations with other data sources will dominate the future. From social media feeds to corporate data stores to Point of Sale (“POS”) systems, our proven ability to build scalable applications and integrations is a key advantage clients can leverage to deliver more compelling and engaging experiences for their customers.</w:t>
      </w:r>
    </w:p>
    <w:p>
      <w:pPr>
        <w:spacing w:after="0" w:line="179" w:lineRule="exact"/>
        <w:rPr>
          <w:rFonts w:ascii="Arial" w:cs="Arial" w:eastAsia="Arial" w:hAnsi="Arial"/>
          <w:sz w:val="18"/>
          <w:szCs w:val="18"/>
          <w:color w:val="auto"/>
        </w:rPr>
      </w:pPr>
    </w:p>
    <w:p>
      <w:pPr>
        <w:jc w:val="both"/>
        <w:ind w:left="324" w:hanging="324"/>
        <w:spacing w:after="0" w:line="261"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Hardware support </w:t>
      </w:r>
      <w:r>
        <w:rPr>
          <w:rFonts w:ascii="Arial" w:cs="Arial" w:eastAsia="Arial" w:hAnsi="Arial"/>
          <w:sz w:val="18"/>
          <w:szCs w:val="18"/>
          <w:color w:val="auto"/>
        </w:rPr>
        <w:t>– A number of digital signage providers sell a proprietary media player or align themselves with just one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system. We utilize a range of media players including Windows, Android and BrightSign to provide clients the flexibility they need to select the appropriate hardware for any application knowing the entire network can still be served by a single digital signage platform, reducing complexity and improving the productivity of their teams.</w:t>
      </w:r>
    </w:p>
    <w:p>
      <w:pPr>
        <w:spacing w:after="0" w:line="1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Hardware sales from reselling digital signage hardware from original equipment manufacturers such as Samsung and BrightSign.</w:t>
      </w:r>
    </w:p>
    <w:p>
      <w:pPr>
        <w:spacing w:after="0" w:line="263" w:lineRule="exact"/>
        <w:rPr>
          <w:rFonts w:ascii="Arial" w:cs="Arial" w:eastAsia="Arial" w:hAnsi="Arial"/>
          <w:sz w:val="17"/>
          <w:szCs w:val="17"/>
          <w:color w:val="auto"/>
        </w:rPr>
      </w:pPr>
    </w:p>
    <w:p>
      <w:pPr>
        <w:ind w:left="980" w:right="2360" w:hanging="324"/>
        <w:spacing w:after="0" w:line="53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Services revenue from helping customers design, deploy and manage their digital signage network, including: o Hardware system design/engineering</w:t>
      </w:r>
    </w:p>
    <w:p>
      <w:pPr>
        <w:jc w:val="both"/>
        <w:ind w:left="980" w:right="8380"/>
        <w:spacing w:after="0" w:line="532" w:lineRule="auto"/>
        <w:rPr>
          <w:rFonts w:ascii="Arial" w:cs="Arial" w:eastAsia="Arial" w:hAnsi="Arial"/>
          <w:sz w:val="18"/>
          <w:szCs w:val="18"/>
          <w:color w:val="auto"/>
        </w:rPr>
      </w:pPr>
      <w:r>
        <w:rPr>
          <w:rFonts w:ascii="Arial" w:cs="Arial" w:eastAsia="Arial" w:hAnsi="Arial"/>
          <w:sz w:val="18"/>
          <w:szCs w:val="18"/>
          <w:color w:val="auto"/>
        </w:rPr>
        <w:t>o Hardware installation o Content development o Content scheduling</w:t>
      </w:r>
    </w:p>
    <w:p>
      <w:pPr>
        <w:ind w:left="980"/>
        <w:spacing w:after="0"/>
        <w:rPr>
          <w:rFonts w:ascii="Arial" w:cs="Arial" w:eastAsia="Arial" w:hAnsi="Arial"/>
          <w:sz w:val="18"/>
          <w:szCs w:val="18"/>
          <w:color w:val="auto"/>
        </w:rPr>
      </w:pPr>
      <w:r>
        <w:rPr>
          <w:rFonts w:ascii="Arial" w:cs="Arial" w:eastAsia="Arial" w:hAnsi="Arial"/>
          <w:sz w:val="18"/>
          <w:szCs w:val="18"/>
          <w:color w:val="auto"/>
        </w:rPr>
        <w:t>o   Post-deployment network and field support</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Media sales, as a result of our acquisition of Reflect</w:t>
      </w:r>
    </w:p>
    <w:p>
      <w:pPr>
        <w:spacing w:after="0" w:line="252"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Recurring subscription licensing and support revenue from our digital signage software platforms, which are generally sold via a SaaS model. These include:</w:t>
      </w:r>
    </w:p>
    <w:p>
      <w:pPr>
        <w:spacing w:after="0" w:line="16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ReflectView</w:t>
      </w:r>
      <w:r>
        <w:rPr>
          <w:rFonts w:ascii="Arial" w:cs="Arial" w:eastAsia="Arial" w:hAnsi="Arial"/>
          <w:sz w:val="16"/>
          <w:szCs w:val="16"/>
          <w:color w:val="auto"/>
        </w:rPr>
        <w:t>, the Company’s core digital signage platform for most applications, scalable and cost effective from 10 to 100,000+ devices</w:t>
      </w:r>
    </w:p>
    <w:p>
      <w:pPr>
        <w:spacing w:after="0" w:line="275"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Reflect Xperience</w:t>
      </w:r>
      <w:r>
        <w:rPr>
          <w:rFonts w:ascii="Arial" w:cs="Arial" w:eastAsia="Arial" w:hAnsi="Arial"/>
          <w:sz w:val="18"/>
          <w:szCs w:val="18"/>
          <w:color w:val="auto"/>
        </w:rPr>
        <w:t>, a web-based interface that allows customers to give content scheduling access to local users via the web or mobile devices, while still maintaining centralized programming control</w:t>
      </w:r>
    </w:p>
    <w:p>
      <w:pPr>
        <w:spacing w:after="0" w:line="161"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Reflect AdLogic</w:t>
      </w:r>
      <w:r>
        <w:rPr>
          <w:rFonts w:ascii="Arial" w:cs="Arial" w:eastAsia="Arial" w:hAnsi="Arial"/>
          <w:sz w:val="18"/>
          <w:szCs w:val="18"/>
          <w:color w:val="auto"/>
        </w:rPr>
        <w:t>, the Company’s ad management platform for digital signage networks, which presently delivers approximately 50 million ads daily</w:t>
      </w:r>
    </w:p>
    <w:p>
      <w:pPr>
        <w:spacing w:after="0" w:line="161"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Reflect Clarity</w:t>
      </w:r>
      <w:r>
        <w:rPr>
          <w:rFonts w:ascii="Arial" w:cs="Arial" w:eastAsia="Arial" w:hAnsi="Arial"/>
          <w:sz w:val="18"/>
          <w:szCs w:val="18"/>
          <w:color w:val="auto"/>
        </w:rPr>
        <w:t>, the Company’s menu board solution, which has become a market leader for a range of restaurant and convenience store applications</w:t>
      </w:r>
    </w:p>
    <w:p>
      <w:pPr>
        <w:spacing w:after="0" w:line="161"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Reflect Zero Touch</w:t>
      </w:r>
      <w:r>
        <w:rPr>
          <w:rFonts w:ascii="Arial" w:cs="Arial" w:eastAsia="Arial" w:hAnsi="Arial"/>
          <w:sz w:val="18"/>
          <w:szCs w:val="18"/>
          <w:color w:val="auto"/>
        </w:rPr>
        <w:t>, which allows customers to turn any screen into an interactive experience by allowing guests to engage using their mobile device</w:t>
      </w:r>
    </w:p>
    <w:p>
      <w:pPr>
        <w:spacing w:after="0" w:line="161" w:lineRule="exact"/>
        <w:rPr>
          <w:rFonts w:ascii="Arial" w:cs="Arial" w:eastAsia="Arial" w:hAnsi="Arial"/>
          <w:sz w:val="18"/>
          <w:szCs w:val="18"/>
          <w:color w:val="auto"/>
        </w:rPr>
      </w:pPr>
    </w:p>
    <w:p>
      <w:pPr>
        <w:ind w:left="1300" w:hanging="324"/>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iShowroomProX</w:t>
      </w:r>
      <w:r>
        <w:rPr>
          <w:rFonts w:ascii="Arial" w:cs="Arial" w:eastAsia="Arial" w:hAnsi="Arial"/>
          <w:sz w:val="18"/>
          <w:szCs w:val="18"/>
          <w:color w:val="auto"/>
        </w:rPr>
        <w:t>, an omni-channel digital sales support platform targeted at original equipment manufacturers in the transportation sector, which integrates with dozens of key data services including dealer inventory at the VIN level</w:t>
      </w:r>
    </w:p>
    <w:p>
      <w:pPr>
        <w:spacing w:after="0" w:line="162" w:lineRule="exact"/>
        <w:rPr>
          <w:sz w:val="20"/>
          <w:szCs w:val="20"/>
          <w:color w:val="auto"/>
        </w:rPr>
      </w:pPr>
    </w:p>
    <w:p>
      <w:pPr>
        <w:ind w:left="1300" w:hanging="320"/>
        <w:spacing w:after="0" w:line="282"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OSx+</w:t>
      </w:r>
      <w:r>
        <w:rPr>
          <w:rFonts w:ascii="Arial" w:cs="Arial" w:eastAsia="Arial" w:hAnsi="Arial"/>
          <w:sz w:val="18"/>
          <w:szCs w:val="18"/>
          <w:color w:val="auto"/>
        </w:rPr>
        <w:t>, a digital VIN-level checklist used to assist in the tracking and delivery of new vehicles in the transportation sector,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measurable lift in customer satisfaction scores and connected vehicle enrollments and subscription activations.</w:t>
      </w:r>
    </w:p>
    <w:p>
      <w:pPr>
        <w:spacing w:after="0" w:line="166" w:lineRule="exact"/>
        <w:rPr>
          <w:sz w:val="20"/>
          <w:szCs w:val="20"/>
          <w:color w:val="auto"/>
        </w:rPr>
      </w:pPr>
    </w:p>
    <w:p>
      <w:pPr>
        <w:jc w:val="both"/>
        <w:ind w:firstLine="594"/>
        <w:spacing w:after="0" w:line="263" w:lineRule="auto"/>
        <w:rPr>
          <w:sz w:val="20"/>
          <w:szCs w:val="20"/>
          <w:color w:val="auto"/>
        </w:rPr>
      </w:pPr>
      <w:r>
        <w:rPr>
          <w:rFonts w:ascii="Arial" w:cs="Arial" w:eastAsia="Arial" w:hAnsi="Arial"/>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Our Expenses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expenses are primarily comprised of three categories: sales and marketing, research and development, and general and administrative.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research and development expenses represent the salaries and benefits of those individuals who develop and maintain our proprietary software platforms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23, 2023, the Company filed Articles of Amendment with the Secretary of State of the State of Minnesota to effectuate, effective March 27, 2023, a 1-for-3 stock split of the shares of the Company's common stock, par value $0.01 per share.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reverse stock split, effective 12:01 am on March 27, 2023, every three shares of common stock then-issued and outstanding automatically combined into one share of common stock, with no change in par value per share. No fractional shares were outstanding following the reverse stock split and any fractional shares resulting from the reverse split were rounded up to the nearest whole share of common stock. In connection with the reverse stock split, the total number of shares of common stock authorized for issuance was reduced from 200,000,000 shares to 66,666,666 shares in proportion to the reverse stock split.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as of the same time as the reverse stock split, the number of shares of common stock available for issuance under the Company's equity compensation plans were reduced in proportion to the reverse stock split. The reverse stock split also resulted in the number of shares of shares of common stock issuable upon exercise of outstanding warrants, or the exercise or vesting of equity awards, in proportion to the reverse stock split and caused a proportionate increase in exercise price or share-based performance criteria, where applicable.</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Rejection of unsolicited offer</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2, 2023, we received an unsolicited proposal from Pegasus Capital Advisors, L.P., on behalf of itself and certain of its affiliates, including Slipstream (collectively, “Pegasus”), to acquire all of the outstanding shares of common stock of the Company that are not owned by Pegasus for a purchase price of $0.83 per share (or, as a result of our recent reverse stock split, $2.49 per share) in cash. Pegasus is the beneficial owner of our common stock owned of record by Slipstream. The Special Committee of the Company’s Board of Directors (the “Special Committee”) has concluded that such proposal undervalues the Company based on the Special Committee’s views of the intrinsic value of the Company’s existing business and current and future prospects, and is not in the best interests of the Company’s existing shareholders. Consequently, the Special Committee has advised Pegasus that it has rejected the proposal.</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1, 2023, we received a subsequent unsolicited proposal from Pegasus to acquire all of the outstanding shares of common stock of the Company that are not owned by Pegasus for a purchase price of $2.85 per share in cash. The Special Committee, in consultation with its financial and legal advisors, is carefully reviewing and considering the updated proposal to pursue the course of action that it believes is in the best interests of the Company’s shareholders. There can be no assurance that any revised proposal or definitive offer will be made or accepted, that any agreement will be executed, or that any transaction will be consummated.</w:t>
      </w:r>
    </w:p>
    <w:p>
      <w:pPr>
        <w:spacing w:after="0" w:line="188" w:lineRule="exact"/>
        <w:rPr>
          <w:sz w:val="20"/>
          <w:szCs w:val="20"/>
          <w:color w:val="auto"/>
        </w:rPr>
      </w:pPr>
    </w:p>
    <w:p>
      <w:pPr>
        <w:jc w:val="both"/>
        <w:ind w:firstLine="594"/>
        <w:spacing w:after="0" w:line="263" w:lineRule="auto"/>
        <w:rPr>
          <w:sz w:val="20"/>
          <w:szCs w:val="20"/>
          <w:color w:val="auto"/>
        </w:rPr>
      </w:pPr>
      <w:r>
        <w:rPr>
          <w:rFonts w:ascii="Arial" w:cs="Arial" w:eastAsia="Arial" w:hAnsi="Arial"/>
          <w:sz w:val="18"/>
          <w:szCs w:val="18"/>
          <w:color w:val="auto"/>
        </w:rPr>
        <w:t xml:space="preserve">Please see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Note 11 </w:t>
      </w:r>
      <w:r>
        <w:rPr>
          <w:rFonts w:ascii="Arial" w:cs="Arial" w:eastAsia="Arial" w:hAnsi="Arial"/>
          <w:sz w:val="18"/>
          <w:szCs w:val="18"/>
          <w:i w:val="1"/>
          <w:iCs w:val="1"/>
          <w:color w:val="auto"/>
        </w:rPr>
        <w:t>Warrants</w:t>
      </w:r>
      <w:r>
        <w:rPr>
          <w:rFonts w:ascii="Arial" w:cs="Arial" w:eastAsia="Arial" w:hAnsi="Arial"/>
          <w:sz w:val="18"/>
          <w:szCs w:val="18"/>
          <w:color w:val="auto"/>
        </w:rPr>
        <w:t xml:space="preserve">, and Note 12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to the Company’s Condensed Consolidated Financial Statements contained in this Report for a description of recent developments of the Company that occurred during, and subsequent to, the three months ended March 31,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Company’s significant accounting policies are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Company’s Condensed Consolidated Financial Statements included elsewhere in this Report. The Company’s Condensed Consolidated Financial Statements are prepared in conformity with accounting principles generally accepted in the United States.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All dollar amounts reported in Results of Operations are in thousands, except share and per-share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2023 Compared to Three Months Ended March 31, 2022</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8"/>
              </w:rPr>
              <w:t>For the three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ended March 31,</w:t>
            </w:r>
          </w:p>
        </w:tc>
        <w:tc>
          <w:tcPr>
            <w:tcW w:w="300" w:type="dxa"/>
            <w:vAlign w:val="bottom"/>
          </w:tcPr>
          <w:p>
            <w:pPr>
              <w:spacing w:after="0"/>
              <w:rPr>
                <w:sz w:val="20"/>
                <w:szCs w:val="20"/>
                <w:color w:val="auto"/>
              </w:rPr>
            </w:pPr>
          </w:p>
        </w:tc>
        <w:tc>
          <w:tcPr>
            <w:tcW w:w="138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6,865</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(2,010)</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429</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Deal and transaction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(391)</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180"/>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(1,014)</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924</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(354)</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Change in fair value of equity guarantee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Loss on debt waiver consent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(1,212)</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1,212</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180"/>
              <w:spacing w:after="0"/>
              <w:rPr>
                <w:sz w:val="20"/>
                <w:szCs w:val="20"/>
                <w:color w:val="auto"/>
              </w:rPr>
            </w:pPr>
            <w:r>
              <w:rPr>
                <w:rFonts w:ascii="Arial" w:cs="Arial" w:eastAsia="Arial" w:hAnsi="Arial"/>
                <w:sz w:val="18"/>
                <w:szCs w:val="18"/>
                <w:color w:val="auto"/>
              </w:rPr>
              <w:t>Total other income/(expense)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(4,386)</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1,333%</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Sales were $9,944, representing a decrease of $813, or 8%, as compared to the same period in 2022. Hardware revenues were $4,322 for the three month period ending March 31, 2023, a decrease of $2,137, or 33%, as compared to the prior year which included a hardware refresh for two significant customers in the prior year that did not recur in the current year. Services and other revenues were $5,622 for the three month period ended March 31, 2023, an increase of $1,324, or 31%, driven by growth in managed services revenue. Managed services revenue, which includes both software-as-a-service (“SaaS”) and help desk technical subscription services, were $4,072 in the three months ended March 31, 2023 as compared to $2,703 in the same period in 2022, driven by expansion in the Company's SaaS revenue and the inclusion of Reflect revenue for a full three months in the current year as compared to approximately one and one half months during the three months ended March 31, 2022 as a result of the Merger closing on February 17, 2022. This represents a year-over-year growth rate of 51% in our higher margin, typically subscription-based, managed services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profit increased by $1,197, or 31% during the three months ended March 31, 2023 as compared to the same period in 2022 driven by an increase in (1) managed services revenue of $1,369 due to expansion in software subscription revenues and the inclusion of such revenues from Reflect for the full period in the current year as compared to approximately half the period in the prior year following the Merger on February 17, 2022, (2) software development revenue of $340 which has a higher contribution margin than other services, and (3) improvements in hardware gross margins as a result of a significant deployment with gross margin of approximately 25%.</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Gross profit margin increased to 51.2% during the three months ended March 31, 2023, from 36.2% in the same period in 2022 driven by more favorable revenue mix during the three months ended March 31, 2023 as managed services, which includes high margin SaaS revenues, increased to 41% of total revenue as compared to 25% of total revenues in the three months ended March 31, 2022. The increase as a result of margin expansion in hardware and mix associated with increased managed services was partially offset by reduced revenue in the current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Sales and marketing expenses generally include the salaries, taxes, and benefits of our sales and marketing personnel, as well as trade show activities, travel, and other related sales and marketing costs. Sales and marketing expenses increased by $429, or 61%, driven primarily by (i) the acquisition of Reflect via the Merger on February 17, 2022, and (ii) the Company’s enhanced investments into sales and marketing activities post-COVID-19 pandemic. Immediately following the Merger, the Company integrated the sales and marketing functions and did not disaggregate expenses between the two legacy companies. Following the Merger and through integration activities between the date of the Merger and March 31, 2023, the Company adopted certain tools, technology, and processes – particularly with respect to lead generation and brand marketing – that were undercapitalized historically by the Company. Additionally, through completion of the Merger, the Company acquired a media sales business unit that sells advertising on behalf of our customers to be displayed on digital advertising networks owned by those customers. This business utilizes internal and third party sales agents - the salaries and commissions of which are included within Sales and Marketing Expense within the Condensed Consolidated Statement of Operations. As a result, we expect the sales and marketing expenses of the Company for the three months ended March 31, 2023 to adequately reflect the pace for spend in these areas in future reporting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Research and development expenses generally include personnel and development tools costs associated with the continued development of the Company’s content management systems and other related application development. Research and development expenses increased by $125, or 52%, for the three months period ended March 31, 2023 as compared to the same period in 2022 driven primarily by the completion of the Merger on February 17, 2022. Through the Merger, we acquired a fully staffed, experienced software development team and elected to keep that team in-tact, particularly given current competitive employment market conditions with respect to talented software engineers. We have integrated the pre-existing CRI development team with the acquired Reflect team and have experienced enhanced speed to market on new feature and functionality development activities from increasing our development team. We expect a continued elevated level of capitalized activity through the third quarter of 2023 associated with a customer-facing opportunity, followed by a return to spending levels consistent with the Company’s results for the second quarter of 2022, which adequately reflect the pace for spend in these areas in future reporting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General and administrative expenses were effectively flat, increasing $38, or 1%. As compared to the three months ended March 31, 2022, the Company experienced decreases of (1) $283 in stock compensation expense as all expense associated with outstanding performance awards was recorded as of December 31, 2022, and (2) reductions in certain expenses following completion of integration activities/projects completed during 2022 following the Reflect Merger (including but not limited to consolidation of CMS tools, cloud hosting environments, IT tools) that materialized through the balance of 2022. These decreases were partially offset by increases of (1) $117 in increased personnel costs, (2) $122 in legal expenses associated with the Company's establishment of a Special Committee of the Board of Directors to consider and respond to an unsolicited proposal of a Company shareholder to acquire certain outstanding shares of common stock of the Company and settlement of two open litigation matters during the period, and (3) other operating costs, each primarily associated with the consolidation of Reflect for three months in 2023 as compared to forty three (43) days during the three months ended March 31, 2022 as a result of completion of the Reflect Merger on February 17,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expenses increased $72, or 10%, in the three months ended March 31, 2023 compared to the same period in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driven by the addition of $17,160 in amortizing intangible assets on February 17, 2022, as a result of the Merger.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 discussion of the Company’s debt and related interest expense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Warrant Liability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three month period ended March 31, 2022, the Company recorded a gain of $5,469 as the result of assessing the fair value of warrant liabilities associated with the Company’s issuance of warrants in its debt and equity offerings completed in February 2022 to finance the Merger. These warrants were initially assessed at fair value through Black Scholes calculation, with changes in fair value recognized at each period end.</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June 30, 2022, the Company amended the terms of certain warrants previously issued to its creditor and an investor, which removed the holder’s option to exercise such warrants on a cashless basis utilizing the VWAP of the Company’s common stock on the trading day immediately preceding the date of a notice of cashless exercise in certain circumstances, and removed the condition to exercising such warrants that the Company’s shareholders approve the exercise thereof (which has already been obtained). The amendments to the warrants extended the term of such warrants for an additional one year. As a result of the extension in term provided in exchange for the amendment (collectively, the "Warrant Amendment"). The foregoing amendments to the warrants resulted in such warrants to be accounted for as equity instruments in the Company’s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equity guarantee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contingent consideration arrangements related to the Merger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805-30-35-1 using a Monte Carlo simulation model. The change in the period represents the mark-to-market adjustment as of the balance sheet dates.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During the three months ended March 31, 2022, the Company refinanced its debt facilities with Slipstream. The Company assessed the combination of the pre-existing senior secured term loan and secured convertible loan in accordance with ASC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determined the transaction should be accounted for as an extinguishment, in part as the Consolidation Term Loan eliminated a substantive conversion feature. In aggregate the Company recorded a loss on extinguishment of $295, primarily associated with the write-off of pre-existing debt discounts. No such transactions occurred in the current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waiver consent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During the three months ended March 31, 2022, in connection with obtaining a waiver of certain restrictions in investment documents between an investor and the Company in order to consummate the financing contemplated by the Company's credit agreement with Slipstream Communications, the Company paid consideration to such investor in the form of the Purchaser Warrant to purchase 466,667 shares of Company common stock in an at-the-market offering under Nasdaq rules. The number of shares of Company common stock subject to the Purchaser Warrant was equal to the waiver fee ($175) divided by $0.375 per share. The exercise price of the Purchaser Warrant is $4.23 per share, and the Purchaser Warrant became exercisable on August 17, 2022. The Purchaser Warrant expires six years from the date of issuance following execution of the Warrant Amendment. At the date of issuance, the Company performed a Black-Scholes valuation of the Purchaser Warrant, resulting in a fair value of $2.5968 per warrant. In recording the warrant liability, the Company recorded an expense in the Condensed Consolidated Statement of Operations associated with the issuance of the Purchaser Warrant of $1,212 for the three months ended March 31, 2022. No such transactions occurred in the current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w w:val="99"/>
              </w:rPr>
              <w:t>Summary Unaudited Quarterly Financial Information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00" w:type="dxa"/>
            <w:vAlign w:val="bottom"/>
            <w:gridSpan w:val="16"/>
          </w:tcPr>
          <w:p>
            <w:pPr>
              <w:ind w:left="660"/>
              <w:spacing w:after="0"/>
              <w:rPr>
                <w:sz w:val="20"/>
                <w:szCs w:val="20"/>
                <w:color w:val="auto"/>
              </w:rPr>
            </w:pPr>
            <w:r>
              <w:rPr>
                <w:rFonts w:ascii="Arial" w:cs="Arial" w:eastAsia="Arial" w:hAnsi="Arial"/>
                <w:sz w:val="18"/>
                <w:szCs w:val="18"/>
                <w:color w:val="auto"/>
              </w:rPr>
              <w:t>The following represents unaudited financial information derived from the Company’s quarterly 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1"/>
              </w:rPr>
              <w:t>Quarters Ended</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9"/>
              </w:rPr>
              <w:t>March 31</w:t>
            </w:r>
          </w:p>
        </w:tc>
        <w:tc>
          <w:tcPr>
            <w:tcW w:w="1260" w:type="dxa"/>
            <w:vAlign w:val="bottom"/>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94"/>
              </w:rPr>
              <w:t>December 31</w:t>
            </w:r>
          </w:p>
        </w:tc>
        <w:tc>
          <w:tcPr>
            <w:tcW w:w="100" w:type="dxa"/>
            <w:vAlign w:val="bottom"/>
          </w:tcPr>
          <w:p>
            <w:pPr>
              <w:spacing w:after="0"/>
              <w:rPr>
                <w:sz w:val="16"/>
                <w:szCs w:val="16"/>
                <w:color w:val="auto"/>
              </w:rPr>
            </w:pPr>
          </w:p>
        </w:tc>
        <w:tc>
          <w:tcPr>
            <w:tcW w:w="128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8"/>
              </w:rPr>
              <w:t>June 30</w:t>
            </w:r>
          </w:p>
        </w:tc>
        <w:tc>
          <w:tcPr>
            <w:tcW w:w="140" w:type="dxa"/>
            <w:vAlign w:val="bottom"/>
          </w:tcPr>
          <w:p>
            <w:pPr>
              <w:spacing w:after="0"/>
              <w:rPr>
                <w:sz w:val="16"/>
                <w:szCs w:val="16"/>
                <w:color w:val="auto"/>
              </w:rPr>
            </w:pPr>
          </w:p>
        </w:tc>
        <w:tc>
          <w:tcPr>
            <w:tcW w:w="10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9"/>
              </w:rPr>
              <w:t>March 31</w:t>
            </w:r>
          </w:p>
        </w:tc>
        <w:tc>
          <w:tcPr>
            <w:tcW w:w="100" w:type="dxa"/>
            <w:vAlign w:val="bottom"/>
          </w:tcPr>
          <w:p>
            <w:pPr>
              <w:spacing w:after="0"/>
              <w:rPr>
                <w:sz w:val="16"/>
                <w:szCs w:val="16"/>
                <w:color w:val="auto"/>
              </w:rPr>
            </w:pPr>
          </w:p>
        </w:tc>
      </w:tr>
      <w:tr>
        <w:trPr>
          <w:trHeight w:val="234"/>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Quarters ended</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Other interest,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employee share-based awards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Depreciation of property, equipment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expense/(benefit)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EBITDA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1,534</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2,849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Gain on fair value of warrant liability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(5,469)</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settlement of obligations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Loss on debt waiver consent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warrant amendment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(Gain)/loss on fair value of equity guarantee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Disposal of Safe Space Solutions inventory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Deal and transaction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49"/>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Nature of Organization and Operations</w:t>
      </w:r>
      <w:r>
        <w:rPr>
          <w:rFonts w:ascii="Arial" w:cs="Arial" w:eastAsia="Arial" w:hAnsi="Arial"/>
          <w:sz w:val="18"/>
          <w:szCs w:val="18"/>
          <w:color w:val="auto"/>
        </w:rPr>
        <w:t xml:space="preserve"> to the accompanying Condensed Consolidated Financial Statements for a discussion of liquidity and financial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cash provided by operating activities were $3,868 for the three months ended March 31, 2023 compared to $1,201 for the same period in 2022. Cash provided by operating activities in the three month period ending March 31, 2023, was driven by a reduction in accounts receivable and prepaid assets of $1,177 and $1,015, respectively. In addition, deferred revenue increased $2,382, partially offset by a decrease in customer deposits of $1,693.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investing activities during the three months ended March 31, 2023 was $1,034 compared to $17,969 during the same period in 2022. The use of cash in the prior year was driven by completion of the Merger. We currently do not have any material commitments for capital expenditures as of March 31, 2023; however, we anticipate continued elevated capital expenditures in excess of historical trends through third quarter of 2023 as we complete the modernization and internationalization of our automotive platform in an effort to capture incremental SaaS-based revenue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financing activities during the three months ended March 31, 2023 was ($562) compared to net cash provided by financing activities of $19,873 for the same period in 2022. The change is the result of the Company’s completion of equity and debt financing in the first quarter of 2022 to facilitate the Merger, which provided net cash of $10,109 and $9,868, respectively. Net cash used in financing activities during the three month period ended March 31, 2023, primarily represents repayments made on the Secured Promissory Note and Term Loan (2022) of $310 and $250,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2023, we did not engage in any off-balance sheet arrangements set forth in Item 303(a)(4) of Regulation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March 31, 2023, and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2023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smaller reporting company, we are not required to provide the information required by this Item; however, the discussion of our business and operations should be read together with the Risk Factors set forth in our Annual Report on Form 10-K filed with the SEC on March 30, 2023 and subsequent filings made with the SEC. Such risks and uncertainties have the potential to affect our business, financial condition, results of operations, cash flow, strategies or prospects in a material and adverse manner.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11"/>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1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top w:val="single" w:sz="8" w:color="auto"/>
            </w:tcBorders>
            <w:gridSpan w:val="10"/>
          </w:tcPr>
          <w:p>
            <w:pPr>
              <w:spacing w:after="0" w:line="169"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Second Amendment to Merger Agreement (incorporated by reference to Exhibit 10.1 to the Company's Current Report on Form 8-K filed</w:t>
              </w:r>
            </w:hyperlink>
          </w:p>
        </w:tc>
        <w:tc>
          <w:tcPr>
            <w:tcW w:w="0" w:type="dxa"/>
            <w:vAlign w:val="bottom"/>
          </w:tcPr>
          <w:p>
            <w:pPr>
              <w:spacing w:after="0"/>
              <w:rPr>
                <w:sz w:val="1"/>
                <w:szCs w:val="1"/>
                <w:color w:val="auto"/>
              </w:rPr>
            </w:pPr>
          </w:p>
        </w:tc>
      </w:tr>
      <w:tr>
        <w:trPr>
          <w:trHeight w:val="129"/>
        </w:trPr>
        <w:tc>
          <w:tcPr>
            <w:tcW w:w="1120" w:type="dxa"/>
            <w:vAlign w:val="bottom"/>
            <w:tcBorders>
              <w:top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9900" w:type="dxa"/>
            <w:vAlign w:val="bottom"/>
            <w:tcBorders>
              <w:top w:val="single" w:sz="8" w:color="0000EE"/>
            </w:tcBorders>
            <w:gridSpan w:val="9"/>
            <w:vMerge w:val="restart"/>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with the SEC on February 15, 2023).</w:t>
              </w:r>
            </w:hyperlink>
          </w:p>
        </w:tc>
        <w:tc>
          <w:tcPr>
            <w:tcW w:w="10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00" w:type="dxa"/>
            <w:vAlign w:val="bottom"/>
            <w:gridSpan w:val="9"/>
            <w:vMerge w:val="continue"/>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tcBorders>
              <w:bottom w:val="single" w:sz="8" w:color="0000EE"/>
            </w:tcBorders>
            <w:gridSpan w:val="8"/>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Amendment to Secured Promissory Note (incorporated by reference to Exhibit 10.2 to the Company's Current Report on Form 8-K filed</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10000" w:type="dxa"/>
            <w:vAlign w:val="bottom"/>
            <w:gridSpan w:val="11"/>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with the SEC on February 15, 2023).</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11"/>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Amendment to Escrow Agreement (incorporated by reference to Exhibit 10.3 to the Company's Current Report on Form 8-K filed with the</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SEC on February 15, 2023).</w:t>
              </w:r>
            </w:hyperlink>
          </w:p>
        </w:tc>
        <w:tc>
          <w:tcPr>
            <w:tcW w:w="794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7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Chief Executive Officer Certification pursuant to Exchange Act Rule 13a-14(a).</w:t>
            </w:r>
          </w:p>
        </w:tc>
        <w:tc>
          <w:tcPr>
            <w:tcW w:w="4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000" w:type="dxa"/>
            <w:vAlign w:val="bottom"/>
            <w:gridSpan w:val="11"/>
          </w:tcPr>
          <w:p>
            <w:pPr>
              <w:spacing w:after="0"/>
              <w:rPr>
                <w:sz w:val="20"/>
                <w:szCs w:val="20"/>
                <w:color w:val="auto"/>
              </w:rPr>
            </w:pPr>
            <w:r>
              <w:rPr>
                <w:rFonts w:ascii="Arial" w:cs="Arial" w:eastAsia="Arial" w:hAnsi="Arial"/>
                <w:sz w:val="18"/>
                <w:szCs w:val="18"/>
                <w:color w:val="0000EE"/>
              </w:rPr>
              <w:t>Chief Financial Officer Certification pursuant to Exchange Act Rule 13a-14(a).</w:t>
            </w: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7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w w:val="98"/>
              </w:rPr>
              <w:t>Chief Executive Officer Certification pursuant to 18 U.S.C. Section 1350.</w:t>
            </w:r>
          </w:p>
        </w:tc>
        <w:tc>
          <w:tcPr>
            <w:tcW w:w="4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2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2"/>
              </w:rPr>
              <w:t>Chief Financial Officer Certification pursuant to 18 U.S.C. Section 1350.</w:t>
            </w:r>
          </w:p>
        </w:tc>
        <w:tc>
          <w:tcPr>
            <w:tcW w:w="40" w:type="dxa"/>
            <w:vAlign w:val="bottom"/>
            <w:tcBorders>
              <w:top w:val="single" w:sz="8" w:color="0000EE"/>
            </w:tcBorders>
          </w:tcPr>
          <w:p>
            <w:pPr>
              <w:spacing w:after="0"/>
              <w:rPr>
                <w:sz w:val="24"/>
                <w:szCs w:val="24"/>
                <w:color w:val="auto"/>
              </w:rPr>
            </w:pPr>
          </w:p>
        </w:tc>
        <w:tc>
          <w:tcPr>
            <w:tcW w:w="46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0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40" w:hanging="1232"/>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5"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2680"/>
              <w:spacing w:after="0"/>
              <w:rPr>
                <w:sz w:val="20"/>
                <w:szCs w:val="20"/>
                <w:color w:val="auto"/>
              </w:rPr>
            </w:pPr>
            <w:r>
              <w:rPr>
                <w:rFonts w:ascii="Arial" w:cs="Arial" w:eastAsia="Arial" w:hAnsi="Arial"/>
                <w:sz w:val="18"/>
                <w:szCs w:val="18"/>
                <w:color w:val="auto"/>
              </w:rPr>
              <w:t>Creative Realities,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15, 2023</w:t>
            </w:r>
          </w:p>
        </w:tc>
        <w:tc>
          <w:tcPr>
            <w:tcW w:w="3240" w:type="dxa"/>
            <w:vAlign w:val="bottom"/>
          </w:tcPr>
          <w:p>
            <w:pPr>
              <w:ind w:left="268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Mills</w:t>
            </w:r>
          </w:p>
        </w:tc>
      </w:tr>
      <w:tr>
        <w:trPr>
          <w:trHeight w:val="195"/>
        </w:trPr>
        <w:tc>
          <w:tcPr>
            <w:tcW w:w="35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Richard Mills</w:t>
            </w:r>
          </w:p>
        </w:tc>
      </w:tr>
      <w:tr>
        <w:trPr>
          <w:trHeight w:val="230"/>
        </w:trPr>
        <w:tc>
          <w:tcPr>
            <w:tcW w:w="35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500" w:type="dxa"/>
            <w:vAlign w:val="bottom"/>
          </w:tcPr>
          <w:p>
            <w:pPr>
              <w:spacing w:after="0"/>
              <w:rPr>
                <w:sz w:val="24"/>
                <w:szCs w:val="24"/>
                <w:color w:val="auto"/>
              </w:rPr>
            </w:pPr>
          </w:p>
        </w:tc>
        <w:tc>
          <w:tcPr>
            <w:tcW w:w="3240" w:type="dxa"/>
            <w:vAlign w:val="bottom"/>
          </w:tcPr>
          <w:p>
            <w:pPr>
              <w:ind w:left="268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Logan</w:t>
            </w:r>
          </w:p>
        </w:tc>
      </w:tr>
      <w:tr>
        <w:trPr>
          <w:trHeight w:val="195"/>
        </w:trPr>
        <w:tc>
          <w:tcPr>
            <w:tcW w:w="35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Will Logan</w:t>
            </w:r>
          </w:p>
        </w:tc>
      </w:tr>
      <w:tr>
        <w:trPr>
          <w:trHeight w:val="230"/>
        </w:trPr>
        <w:tc>
          <w:tcPr>
            <w:tcW w:w="35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3500" w:type="dxa"/>
            <w:vAlign w:val="bottom"/>
          </w:tcPr>
          <w:p>
            <w:pPr>
              <w:spacing w:after="0"/>
              <w:rPr>
                <w:sz w:val="24"/>
                <w:szCs w:val="24"/>
                <w:color w:val="auto"/>
              </w:rPr>
            </w:pPr>
          </w:p>
        </w:tc>
        <w:tc>
          <w:tcPr>
            <w:tcW w:w="3240" w:type="dxa"/>
            <w:vAlign w:val="bottom"/>
          </w:tcPr>
          <w:p>
            <w:pPr>
              <w:jc w:val="right"/>
              <w:ind w:right="930"/>
              <w:spacing w:after="0"/>
              <w:rPr>
                <w:sz w:val="20"/>
                <w:szCs w:val="20"/>
                <w:color w:val="auto"/>
              </w:rPr>
            </w:pPr>
            <w:r>
              <w:rPr>
                <w:rFonts w:ascii="Arial" w:cs="Arial" w:eastAsia="Arial" w:hAnsi="Arial"/>
                <w:sz w:val="18"/>
                <w:szCs w:val="18"/>
                <w:color w:val="auto"/>
              </w:rPr>
              <w:t>39</w:t>
            </w:r>
          </w:p>
        </w:tc>
        <w:tc>
          <w:tcPr>
            <w:tcW w:w="450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Mills,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March 31, 2023, of Creative Realities,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40" w:hanging="326"/>
        <w:spacing w:after="0" w:line="263"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40" w:hanging="326"/>
        <w:spacing w:after="0" w:line="263"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40" w:hanging="326"/>
        <w:spacing w:after="0" w:line="308" w:lineRule="auto"/>
        <w:tabs>
          <w:tab w:leader="none" w:pos="6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40" w:hanging="326"/>
        <w:spacing w:after="0" w:line="263"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40" w:hanging="326"/>
        <w:spacing w:after="0" w:line="277"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40" w:hanging="326"/>
        <w:spacing w:after="0" w:line="277"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2023</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46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Richard Mills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 Logan,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March 31, 2023, of Creative Realities,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40" w:hanging="326"/>
        <w:spacing w:after="0" w:line="263"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40" w:hanging="326"/>
        <w:spacing w:after="0" w:line="263"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40" w:hanging="326"/>
        <w:spacing w:after="0" w:line="308" w:lineRule="auto"/>
        <w:tabs>
          <w:tab w:leader="none" w:pos="6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40" w:hanging="326"/>
        <w:spacing w:after="0" w:line="263"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40" w:hanging="326"/>
        <w:spacing w:after="0" w:line="277"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40" w:hanging="326"/>
        <w:spacing w:after="0" w:line="277" w:lineRule="auto"/>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Logan</w:t>
            </w:r>
          </w:p>
        </w:tc>
      </w:tr>
      <w:tr>
        <w:trPr>
          <w:trHeight w:val="195"/>
        </w:trPr>
        <w:tc>
          <w:tcPr>
            <w:tcW w:w="56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Will Logan</w:t>
            </w:r>
          </w:p>
        </w:tc>
      </w:tr>
      <w:tr>
        <w:trPr>
          <w:trHeight w:val="230"/>
        </w:trPr>
        <w:tc>
          <w:tcPr>
            <w:tcW w:w="5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Creative Realities, Inc. (the “Company”) on Form 10-Q for the three months ended March 31, 2023, as filed with the Securities and Exchange Commission on the date hereof (the “Report”), I, Richard Mills, certify,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9914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Richard Mills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Creative Realities, Inc. (the “Company”) on Form 10-Q for the three months ended March 31, 2023, as filed with the Securities and Exchange Commission on the date hereof (the “Report”), I, Will Logan, certify,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14605</wp:posOffset>
            </wp:positionV>
            <wp:extent cx="30600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Will Logan</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Roman"/>
      <w:start w:val="4"/>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lowerLetter"/>
      <w:start w:val="9"/>
    </w:lvl>
    <w:lvl w:ilvl="1">
      <w:lvlJc w:val="left"/>
      <w:lvlText w:val="(%2)"/>
      <w:numFmt w:val="lowerLetter"/>
      <w:start w:val="1"/>
    </w:lvl>
  </w:abstractNum>
  <w:abstractNum w:abstractNumId="7">
    <w:nsid w:val="3352255A"/>
    <w:multiLevelType w:val="hybridMultilevel"/>
    <w:lvl w:ilvl="0">
      <w:lvlJc w:val="left"/>
      <w:lvlText w:val="(%1)"/>
      <w:numFmt w:val="lowerRoman"/>
      <w:start w:val="2"/>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o"/>
      <w:numFmt w:val="bullet"/>
      <w:start w:val="1"/>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45" Type="http://schemas.openxmlformats.org/officeDocument/2006/relationships/hyperlink" Target="http://www.sec.gov/Archives/edgar/data/1356093/000143774923003464/ex_475912.htm" TargetMode="External"/><Relationship Id="rId46" Type="http://schemas.openxmlformats.org/officeDocument/2006/relationships/hyperlink" Target="http://www.sec.gov/Archives/edgar/data/1356093/000143774923003464/ex_475913.htm" TargetMode="External"/><Relationship Id="rId47" Type="http://schemas.openxmlformats.org/officeDocument/2006/relationships/hyperlink" Target="http://www.sec.gov/Archives/edgar/data/1356093/000143774923003464/ex_4759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2023-05-15T15:28:06Z</dcterms:created>
  <dcterms:modified xsi:type="dcterms:W3CDTF">2023-05-15T15:28:06Z</dcterms:modified>
</cp:coreProperties>
</file>