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left="3420" w:right="940" w:hanging="2479"/>
        <w:spacing w:after="0" w:line="503" w:lineRule="auto"/>
        <w:tabs>
          <w:tab w:leader="none" w:pos="11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151765</wp:posOffset>
            </wp:positionV>
            <wp:extent cx="277749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89"/>
              </w:rPr>
              <w:t>Minnesota</w:t>
            </w:r>
          </w:p>
        </w:tc>
        <w:tc>
          <w:tcPr>
            <w:tcW w:w="3540" w:type="dxa"/>
            <w:vAlign w:val="bottom"/>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202"/>
        </w:trPr>
        <w:tc>
          <w:tcPr>
            <w:tcW w:w="55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00" w:type="dxa"/>
            <w:vAlign w:val="bottom"/>
            <w:gridSpan w:val="5"/>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3540" w:type="dxa"/>
            <w:vAlign w:val="bottom"/>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30"/>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3"/>
              </w:rPr>
              <w:t>Zip Code</w:t>
            </w:r>
          </w:p>
        </w:tc>
      </w:tr>
      <w:tr>
        <w:trPr>
          <w:trHeight w:val="377"/>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(502) 791-8800</w:t>
            </w:r>
          </w:p>
        </w:tc>
        <w:tc>
          <w:tcPr>
            <w:tcW w:w="15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7"/>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0"/>
              </w:rPr>
              <w:t>Registrant’s Telephone Number, Including Area Code</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ind w:left="34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6"/>
              </w:rPr>
              <w:t>Title of each class</w:t>
            </w:r>
          </w:p>
        </w:tc>
        <w:tc>
          <w:tcPr>
            <w:tcW w:w="294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5"/>
              </w:rPr>
              <w:t>CREX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700" w:type="dxa"/>
            <w:vAlign w:val="bottom"/>
            <w:gridSpan w:val="3"/>
          </w:tcPr>
          <w:p>
            <w:pPr>
              <w:jc w:val="center"/>
              <w:ind w:right="1080"/>
              <w:spacing w:after="0"/>
              <w:rPr>
                <w:sz w:val="20"/>
                <w:szCs w:val="20"/>
                <w:color w:val="auto"/>
              </w:rPr>
            </w:pPr>
            <w:r>
              <w:rPr>
                <w:rFonts w:ascii="Arial" w:cs="Arial" w:eastAsia="Arial" w:hAnsi="Arial"/>
                <w:sz w:val="18"/>
                <w:szCs w:val="18"/>
                <w:color w:val="auto"/>
                <w:w w:val="89"/>
              </w:rPr>
              <w:t>Warrants to purchase Common Stock</w:t>
            </w:r>
          </w:p>
        </w:tc>
        <w:tc>
          <w:tcPr>
            <w:tcW w:w="294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CREXW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3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0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060"/>
              <w:spacing w:after="0"/>
              <w:rPr>
                <w:sz w:val="20"/>
                <w:szCs w:val="20"/>
                <w:color w:val="auto"/>
              </w:rPr>
            </w:pPr>
            <w:r>
              <w:rPr>
                <w:rFonts w:ascii="Arial" w:cs="Arial" w:eastAsia="Arial" w:hAnsi="Arial"/>
                <w:sz w:val="18"/>
                <w:szCs w:val="18"/>
                <w:color w:val="auto"/>
                <w:w w:val="94"/>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120" w:type="dxa"/>
            <w:vAlign w:val="bottom"/>
          </w:tcPr>
          <w:p>
            <w:pPr>
              <w:ind w:left="2060"/>
              <w:spacing w:after="0"/>
              <w:rPr>
                <w:sz w:val="20"/>
                <w:szCs w:val="20"/>
                <w:color w:val="auto"/>
              </w:rPr>
            </w:pPr>
            <w:r>
              <w:rPr>
                <w:rFonts w:ascii="Arial" w:cs="Arial" w:eastAsia="Arial" w:hAnsi="Arial"/>
                <w:sz w:val="18"/>
                <w:szCs w:val="18"/>
                <w:color w:val="auto"/>
                <w:w w:val="95"/>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14, 2022, the registrant had 21,799,126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84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1.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CREATIVE REALITIES,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$809 and $620,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7,186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Work-in-process and inventories,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3,108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12,950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9,772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26,094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64,713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22,881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40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seller note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portion of Related Party Consolidation Term Loan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3,040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2,704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Current maturities of operating leases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Related Party Acquisition Term Loan, net of $1,660 and $0 discount,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8,340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Consolidation Term Loan, net of $1,773 and $143 discount,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related party convertible loans payable, at fair value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acquisition consideration,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obligations under operating leases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38,311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14,152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$0.01 par value, 200,000 shares authorized; 21,751 and 12,009 shares issued and outstanding,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75,260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(49,075)</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(52,254)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64,713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22,881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For the Three Months Ended</w:t>
            </w:r>
          </w:p>
        </w:tc>
        <w:tc>
          <w:tcPr>
            <w:tcW w:w="120" w:type="dxa"/>
            <w:vAlign w:val="bottom"/>
          </w:tcPr>
          <w:p>
            <w:pPr>
              <w:spacing w:after="0"/>
              <w:rPr>
                <w:sz w:val="19"/>
                <w:szCs w:val="19"/>
                <w:color w:val="auto"/>
              </w:rPr>
            </w:pPr>
          </w:p>
        </w:tc>
        <w:tc>
          <w:tcPr>
            <w:tcW w:w="24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5,015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6,165</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15,719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sales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3,811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2,855</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5,989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60"/>
              <w:spacing w:after="0" w:line="203" w:lineRule="exact"/>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4,514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2,347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13,068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2,789</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(recovery)/expense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Deal and transaction expenses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4,798</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2,751</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14,336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(1,956)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equity guarantee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settlement of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Loss on debt waiver consent</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warrant amendment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Benefit/(provision) for income taxes</w:t>
            </w: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Basic earnings/(loss)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 earnings/(loss)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21,750</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19,383</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Shares issued for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forgiveness of Paycheck Protection Program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settlement of Seller Note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notes due to in-kind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debt waiver consent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warrant amendment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Loss/(Gain) on settlement of obligations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change in fair value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change in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(7,902)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to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and unbilled receivables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(2,835)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682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liabilities,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business,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(17,186)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labor for software development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(2,959)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in PIPE, net of offering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&amp; exercise of pre-funded warrants in PIPE, net of offering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8,295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Acquisition Loan, net of offering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Seller Note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shares via registered direct offering,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19,254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2,883</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Three months ended September 30, 2022</w:t>
            </w: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21,743,852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74,741</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(48,521)</w:t>
            </w: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issued to vendors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as of September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21,751,539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(49,075</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26,402</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Nine months ended September 30, 2022</w:t>
            </w: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12,008,519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issued to vendors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76,514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w w:val="93"/>
              </w:rPr>
              <w:t>Shares issued and warrants exercised in private investment in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public entity (“PIPE”)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7,166,505</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2,206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in Reflect Systems, Inc. Merger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 repricing events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amendment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3,210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as of September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21,751,539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(49,075</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Three months ended September 30, 2021</w:t>
            </w: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11,876,679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59,777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(50,189)</w:t>
            </w: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issued to vendors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31,257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11,524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Balance as of September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11,919,460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60,178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(50,532</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Nine months ended September 30, 2021</w:t>
            </w: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10,924,287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(52,486)</w:t>
            </w: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issued to vendors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53,461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44,568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Disbursed Escrow Loan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Gain on Extinguishment of Special Loan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Sales of Shares via registered direct offering, net of offering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11,919,460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(50,532</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 currency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Unless the context otherwise indicates, references in these Notes to the accompanying Consolidated Financial Statements to “we,” “us,” “our” and “the Company” refer to Creative Realities, Inc.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Nature of the Company’s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main operations are conducted directly through Creative Realities, Inc., and under our wholly owned subsidiaries Allure Global Solutions, Inc., a Georgia corporation, Creative Realities Canada, Inc., a Canadian corporation, and Reflect Systems, Inc., a Delaware corporation.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of Reflect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12, 2021, the Company and Reflect Systems, Inc., or “Reflect,” entered into an Agreement and Plan of Merger (as amended on February 8, 2022, the “Merger Agreement”) pursuant to which a direct, wholly owned subsidiary of Creative Realities, CRI Acquisition Corporation, or “Merger Sub,” would merge with and into Reflect, with Reflect surviving the merger and becoming our wholly owned subsidiary, which transaction is referred to herein as the “Merger.” On February 17, 2022, the parties consummated the Merger.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terms and conditions of the Merger Agreement, upon the closing of the Merger, Reflect stockholders as of the effective time of the Merger collectively received from the Company, in the aggregate, the following Merger consideration: (i) $16,166 in cash, (ii) 2,333,334 shares of common stock of Creative Realities (valued based on an issuance price of $2 per share) (the “CREX Shares”), (iii) the Secured Promissory Note (as described below), and (iv) supplemental cash payments (the “Guaranteed Consideration”), if any, payable on or after February 17, 2025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2022. The “Extension Threshold Price” means the average closing price per share of Creative Realities common stock as reported on the Nasdaq Capital Market (or NYSE) in the fifteen (15) consecutive trading day period ending February 2, 2025. If the Extension Threshold Price is less than 80% of the Guaranteed Price, then the Guaranteed Price will be increased by $1.00 per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ind w:right="20" w:firstLine="648"/>
        <w:spacing w:after="0" w:line="277" w:lineRule="auto"/>
        <w:rPr>
          <w:sz w:val="20"/>
          <w:szCs w:val="20"/>
          <w:color w:val="auto"/>
        </w:rPr>
      </w:pPr>
      <w:r>
        <w:rPr>
          <w:rFonts w:ascii="Arial" w:cs="Arial" w:eastAsia="Arial" w:hAnsi="Arial"/>
          <w:sz w:val="18"/>
          <w:szCs w:val="18"/>
          <w:color w:val="auto"/>
        </w:rPr>
        <w:t>In connection with the Merger, the Company adopted a Retention Bonus Plan and raised capital to, among other things, pay the cash portion of the Merger consideration. The Retention Bonus Plan and financings are described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Retention Bonus Plan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February 17, 2022, in connection with the closing of the Merger (the “Closing”), the Company adopted a Retention Bonus Plan, pursuant to which the Company is required to pay to key members of Reflect’s management team an aggregate of $1,334 in cash, which was paid 50% at the Closing, and subject to continuous employment with Reflect or Creative Realities, 25% will be paid on February 17, 2023 (the one-year anniversary of Closing) and 25% will be paid on February 17, 2024 (the two-year anniversary of the Closing). The future cash payments due on the one-year and two-year anniversaries of the Closing have been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will be issued on February 17, 2023 (the one-year anniversary of Closing) and the remaining 25% of the value of such shares will be issued on February 17, 2024 (the two-year anniversary of the Closing). The shares issued on the Closing were valued at $2.00 per share, and the shares to be issued after the Closing will be determined based on dividing the value of shares issuable on such date divided by the trailing 10-day volume weighted average price (VWAP) of the shares as of such date as reported on the Nasdaq Capital Market.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February 3, 2022, the Company entered into a securities purchase agreement (the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offering expenses payable by the Company. Net proceeds to the Company were $10,160. The remaining exercise price for the Pre-Funded Warrant was $0.0001. Collectively, we refer to this transaction throughout this filing as the “Equity Financing”. The net proceeds from the Private Placement were used to fund, in part, payment of the closing cash consideration in the Merger.</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Effective June 30, 2022, the Company amended the terms of Common Stock Warrants to remove the holder’s option to exercise such warrants on a cashless basis utilizing the VWAP of the Company’s common stock on the trading day immediately preceding the date of a notice of cashless exercise in certain circumstances, and removes the condition to exercising such warrants that the Company’s shareholders approve the exercise thereof (which has already been obtained). The amendments to the Common Stock Warrants also extend the term of such warrants for an additional one year, The foregoing amendments to the warrants caused such warrants to be accounted for as equity instruments on the Company’s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February 17, 2022, the Company and its subsidiaries (collectively, the “Borrowers”) refinanced their current debt facilities with Slipstream Communications, LLC (“Slipstream”), pursuant to a Second Amended and Restated Credit and Security Agreement (the “Credit Agreement”), and raised $10,000 in gross proceeds with a maturity date of February 1, 2025. The Credit Agreement also provides that the Company’s outstanding loans from Slipstream, consisting of its pre-existing $4,767 senior secured term loan and $2,418 secured convertible loan, with an aggregate of $7,185 in outstanding principal and accrued and unpaid interest under such loans, were consolidated into a Consolidation Term Loan with a maturity date of February 1, 2025. Collectively, we refer to this transaction throughout this filing as the “Debt Financing”. The net proceeds from the Debt Financing were used to fund, in part, payment of the closing cash consideration in the Merger, and the cash payable under the terms of the Retention Bonus Plan at the Closing.</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17, 2022, in connection with the Closing of the Merger, the Company issued to the representative of Reflect stockholders, RSI Exit Corporation (“Stockholders’ Representative”), a $2,500 Note and Security Agreement (the “Secured Promissory Note”). The Secured Promissory Note accrues interest at 0.59% (the applicable federal rate on the date of issuance of the Secured Promissory Note) and requires the Company and Reflect to collectively pay equal monthly principal installments of $104 on the fifteenth (15th) day of each month, commencing on March 15, 2022. Any remaining or unpaid principal is due and payable on February 17, 2023. The Secured Promissory Note represents consideration in the Merger and is included as part of the purchase price.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an additional discussion of the Company’s debt obligations and further discussion of the Company’s refinancing activities subsequent to December 31,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September 30, 2022 and 2021, we incurred net losses of $(554) and $(343), respectively. For the nine months ended September 30, 2022 and 2021, we recognized net income of $3,210 and $1,954, respectively. As of September 30, 2022, we had cash and cash equivalents of $819 and a working capital deficit of $487.</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Management believes that, based on (i) securing incremental debt of $2,000 on October 31, 2022 (see Note 9 </w:t>
      </w:r>
      <w:r>
        <w:rPr>
          <w:rFonts w:ascii="Arial" w:cs="Arial" w:eastAsia="Arial" w:hAnsi="Arial"/>
          <w:sz w:val="18"/>
          <w:szCs w:val="18"/>
          <w:i w:val="1"/>
          <w:iCs w:val="1"/>
          <w:color w:val="auto"/>
        </w:rPr>
        <w:t>Loans Payable, Term Loan (2022)</w:t>
      </w:r>
      <w:r>
        <w:rPr>
          <w:rFonts w:ascii="Arial" w:cs="Arial" w:eastAsia="Arial" w:hAnsi="Arial"/>
          <w:sz w:val="18"/>
          <w:szCs w:val="18"/>
          <w:color w:val="auto"/>
        </w:rPr>
        <w:t xml:space="preserve"> to the Condensed Consolidated Financial Statements for a description of such transaction), and (ii) our operational forecast through 2023, that we can continue as a going concern through at least November 14, 2023. However, given our history of net losses and cash used in operating activities, we obtained a continued support letter from Slipstream through November 14, 2023.</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Condensed Consolidated Financial Statements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applicable instructions to Form 10-Q and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2021, included in the Company’s Annual Report on Form 10-K filed with the Securities and Exchange Commission on March 22,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jc w:val="both"/>
        <w:ind w:firstLine="648"/>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Revenue Recognition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 See Note 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for additional detail and discussion of the Company’s performance obligations.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recognizes contract assets or unbilled receivables related to revenue recognized for services completed but not yet invoiced to the clients.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i w:val="1"/>
                <w:iCs w:val="1"/>
                <w:color w:val="auto"/>
              </w:rPr>
              <w:t>3. Inventories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4"/>
          </w:tcPr>
          <w:p>
            <w:pPr>
              <w:ind w:left="660"/>
              <w:spacing w:after="0"/>
              <w:rPr>
                <w:sz w:val="20"/>
                <w:szCs w:val="20"/>
                <w:color w:val="auto"/>
              </w:rPr>
            </w:pPr>
            <w:r>
              <w:rPr>
                <w:rFonts w:ascii="Arial" w:cs="Arial" w:eastAsia="Arial" w:hAnsi="Arial"/>
                <w:sz w:val="18"/>
                <w:szCs w:val="18"/>
                <w:color w:val="auto"/>
                <w:w w:val="91"/>
              </w:rPr>
              <w:t>Inventories are stated at the net realizable value, determined by the first-in, first-out (FIFO) method, and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including those on consignment, net of reserve of $883 and $502, respectively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Impairment of Long-Lived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annually as of September 30 in accordance with ASC 360,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Under ASC 360, impairment losses are recorded whenever events or changes in circumstances indicate the carrying value of an asset may not be recoverable. We evaluated whether there was any impairment of long-lived assets as of September 30, 2022 and concluded there was none.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Basic and Diluted Income/(Loss) per Common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Basic and diluted income/(loss)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Shares reserved for outstanding stock options, including stock options with performance restricted vesting, and warrants totaling approximately 22,276,807 at September 30, 2022 were excluded from the computation of income per share as the strike price on the options and warrants were higher than the Company’s market price and therefore anti-dilutive.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Shares reserved for outstanding stock options, including stock options with performance restricted vesting, and warrants totaling approximately 6,776,771 at September 30, 2021 were excluded from the computation of income/(loss) per share as the strike price on the options and warrants were higher than the Company’s market price and therefore anti-dilutive. Diluted weighted average shares outstanding for the three and nine-months ended September 30, 2021 included 8,333 options which were both exercisable and in-the-money as of September 30, 2021. Those options were included in the calculation of diluted earnings per share as of the beginning of the calculation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September 30, 2022 and December 31,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7. Goodwill and Intangible Assets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We follow the provisions of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Pursuant to ASC 350, goodwill acquired in a business combination is not amortized, but instead tested for impairment at least annually. The Company uses an annual measurement date of September 30 to assess impairment of goodwill and any indefinite-lived intangible assets, or as indicators of impairment are identified (see Note 8 </w:t>
      </w:r>
      <w:r>
        <w:rPr>
          <w:rFonts w:ascii="Arial" w:cs="Arial" w:eastAsia="Arial" w:hAnsi="Arial"/>
          <w:sz w:val="16"/>
          <w:szCs w:val="16"/>
          <w:i w:val="1"/>
          <w:iCs w:val="1"/>
          <w:color w:val="auto"/>
        </w:rPr>
        <w:t>Intangible Assets and Goodwill</w:t>
      </w:r>
      <w:r>
        <w:rPr>
          <w:rFonts w:ascii="Arial" w:cs="Arial" w:eastAsia="Arial" w:hAnsi="Arial"/>
          <w:sz w:val="16"/>
          <w:szCs w:val="16"/>
          <w:color w:val="auto"/>
        </w:rPr>
        <w: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Definite-lived intangible assets are amortized straight-line in accordance with their identified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Use of Estimates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warrant liability valuation, contingent purchase consideration valuation,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account for leases in accordance with Accountings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 amended.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determine if an arrangement is a lease at inception. Right of use (“ROU”) assets and liabilities are recognized at commencement date based on the present value of remaining lease payments over the lease term. For this purpose, we consider only payments that are fixed and determinable at the time of commencement. As most of our leases do not provide an implicit rate, we use our incremental borrowing rate based on the information available at commencement date in determining the present value of lease payments. Our incremental borrowing rate is a hypothetical rate based on our understanding of what our credit rating would be and corresponding market rates at the time of lease inception. The ROU asset also includes any lease payments made prior to commencement and is recorded net of any lease incentives received. Our lease terms may include options to extend or terminate the lease when it is reasonably certain that we will exercise such options.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Operating leases are included in operating lease right-of-use assets, current maturities of operating leases, and long-term obligations under operating leases on our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10. Business Combinations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Accounting for acquisitions requires us to recognize separately from goodwill the assets acquired and the liabilities assumed at their acquisition date fair values. Goodwill as of the acquisition date is measured as the excess of consideration transferred over the net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 Refer to Note 5, </w:t>
      </w:r>
      <w:r>
        <w:rPr>
          <w:rFonts w:ascii="Arial" w:cs="Arial" w:eastAsia="Arial" w:hAnsi="Arial"/>
          <w:sz w:val="17"/>
          <w:szCs w:val="17"/>
          <w:i w:val="1"/>
          <w:iCs w:val="1"/>
          <w:color w:val="auto"/>
        </w:rPr>
        <w:t xml:space="preserve">Business Combination </w:t>
      </w:r>
      <w:r>
        <w:rPr>
          <w:rFonts w:ascii="Arial" w:cs="Arial" w:eastAsia="Arial" w:hAnsi="Arial"/>
          <w:sz w:val="17"/>
          <w:szCs w:val="17"/>
          <w:color w:val="auto"/>
        </w:rPr>
        <w:t>for a discussion of the accounting for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11. Contingent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NOTE 3: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January 1, 2022, we adopted early Accounting Standards Update (“ASU”) No. 2021-08, </w:t>
      </w:r>
      <w:r>
        <w:rPr>
          <w:rFonts w:ascii="Arial" w:cs="Arial" w:eastAsia="Arial" w:hAnsi="Arial"/>
          <w:sz w:val="18"/>
          <w:szCs w:val="18"/>
          <w:i w:val="1"/>
          <w:iCs w:val="1"/>
          <w:color w:val="auto"/>
        </w:rPr>
        <w:t>Business Combinations (Topic 805):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 Assets and Contract Liabilities from Contracts with Customers </w:t>
      </w:r>
      <w:r>
        <w:rPr>
          <w:rFonts w:ascii="Arial" w:cs="Arial" w:eastAsia="Arial" w:hAnsi="Arial"/>
          <w:sz w:val="18"/>
          <w:szCs w:val="18"/>
          <w:color w:val="auto"/>
        </w:rPr>
        <w:t>(ASU 2021-08), which clarifies that an acquirer of a business should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measure contract assets and contract liabilities in a business combination in accordance with Accounting Standards Codification (ASC) Topic 606,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 adoption of this new standard did not have a material impact on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August 2020, the FASB issued Accounting Standards Update No. 2020-06, </w:t>
      </w:r>
      <w:r>
        <w:rPr>
          <w:rFonts w:ascii="Arial" w:cs="Arial" w:eastAsia="Arial" w:hAnsi="Arial"/>
          <w:sz w:val="18"/>
          <w:szCs w:val="18"/>
          <w:i w:val="1"/>
          <w:iCs w:val="1"/>
          <w:color w:val="auto"/>
        </w:rPr>
        <w:t>Debt—Debt with Conversion and Other Options (Subtopic 470-20)</w:t>
      </w:r>
      <w:r>
        <w:rPr>
          <w:rFonts w:ascii="Arial" w:cs="Arial" w:eastAsia="Arial" w:hAnsi="Arial"/>
          <w:sz w:val="18"/>
          <w:szCs w:val="18"/>
          <w:color w:val="auto"/>
        </w:rPr>
        <w:t xml:space="preserve"> </w:t>
      </w:r>
      <w:r>
        <w:rPr>
          <w:rFonts w:ascii="Arial" w:cs="Arial" w:eastAsia="Arial" w:hAnsi="Arial"/>
          <w:sz w:val="18"/>
          <w:szCs w:val="18"/>
          <w:i w:val="1"/>
          <w:iCs w:val="1"/>
          <w:color w:val="auto"/>
        </w:rPr>
        <w:t>and Derivatives and Hedging—Contracts in Entity’s Own Equity (Subtopic 815-40): Accounting for Convertible Instruments and Contracts in an Entity’s Own Equity (ASU 2020-06)</w:t>
      </w:r>
      <w:r>
        <w:rPr>
          <w:rFonts w:ascii="Arial" w:cs="Arial" w:eastAsia="Arial" w:hAnsi="Arial"/>
          <w:sz w:val="18"/>
          <w:szCs w:val="18"/>
          <w:color w:val="auto"/>
        </w:rPr>
        <w:t>, which simplifies the accounting for convertible instruments by reducing the number of accounting models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with early adoption permitted. We do not intend to early adopt this standard, nor do we expect the adoption of this guidance to have a material impact on our consolidated financial statements.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The amendments are effective for public business entities that qualify as smaller reporting companies for fiscal years and interim periods beginning after December 15, 2022. We are currently evaluating the disclosure requirements related to adopting this guidance.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three and nine months ended September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Nine Months</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41"/>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Installation Services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3,714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Services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Media</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w:t>
            </w: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3,900</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Services</w:t>
            </w:r>
          </w:p>
        </w:tc>
        <w:tc>
          <w:tcPr>
            <w:tcW w:w="19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6,165</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2,538</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15,719</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6,707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0"/>
                <w:szCs w:val="20"/>
                <w:color w:val="auto"/>
              </w:rPr>
            </w:pPr>
            <w:r>
              <w:rPr>
                <w:rFonts w:ascii="Arial" w:cs="Arial" w:eastAsia="Arial" w:hAnsi="Arial"/>
                <w:sz w:val="18"/>
                <w:szCs w:val="18"/>
                <w:color w:val="auto"/>
              </w:rPr>
              <w:t>Total Hardware and Services</w:t>
            </w:r>
          </w:p>
        </w:tc>
        <w:tc>
          <w:tcPr>
            <w:tcW w:w="2220" w:type="dxa"/>
            <w:vAlign w:val="bottom"/>
            <w:gridSpan w:val="3"/>
          </w:tcPr>
          <w:p>
            <w:pPr>
              <w:ind w:left="20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11,180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32,860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20" w:type="dxa"/>
            <w:vAlign w:val="bottom"/>
            <w:vMerge w:val="restart"/>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amount of the transaction price allocated to installation service performance obligations that are partially unsatisfied as of September 30, 2022 and 2021 were $0 and $35.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Software and software license sales are recognized as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Software as a service includes revenue from software licensing and delivery in which software is licensed on a subscription basis and is centrally hosted.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revenues are classified as “Managed Services” within our disaggregated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sells maintenance and support services which include access to technical support personnel for software and hardware troubleshooting and monitoring of the health of a customer’s network, access to a sophisticated web-portal for managing the end-to-end hardware and software digital ecosystem, and hosting support services through our network operations center, or NOC. These services provide either physical or automated remote monitoring which support customer networks 7 days a week, 24 hours a day.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contracts are generally 12-36 months in length and generally automatically renew for additional 12-month periods unless cancelled by the customer. Rates for maintenance and support contracts are typically established based upon a fee per location or fee per device structure, with total fees subject to the number of services selected. Revenue is recognized ratably and evenly over the term of the agreement. Maintenance and Support revenues are classified as “Managed Services” within our disaggregated revenue.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BUSINESS COMBINATION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12, 2021, the Company and Reflect entered into an Agreement and Plan of Merger (as amended on as amended on February 8, 2022, the “Merger Agreement”) pursuant to which a direct, wholly owned subsidiary of the Company, CRI Acquisition Corporation, or “Merger Sub,” would merge with and into Reflect, with Reflect becoming our wholly owned subsidiary, which transaction is referred to herein as the “Merger.” On February 17, 2022, the parties consummated the Merger.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terms and conditions of the Merger Agreement, upon the closing of the Merger, Reflect stockholders as of the effective time of the Merger collectively received from the Company, in the aggregate, the following Merger consideration: (i) $16,166 payable in cash, (ii) 2,333,334 shares of common stock of Creative Realities (valued based on an issuance price of $2 per share) (the “CREX Shares”), (iii) the Secured Promissory Note (as described below), and (iv) supplemental cash payments (the “Guaranteed Consideration”), if any, payable on or after February 17, 2025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2025. The “Extension Threshold Price” means the average closing price per share of Creative Realities Shares as reported on the Nasdaq Capital Market (or NYSE) in the fifteen (15) consecutive trading day period ending February 2, 2025. If the Extension Threshold Price is less than 80% of the Guaranteed Price, then the Guaranteed Price will be increased by $1.00 per share.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Retention Bonus Plan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February 17, 2022, in connection with the closing of the Merger (the “Closing”), the Company adopted a Retention Bonus Plan, pursuant to which the Company is required to pay to key members of Reflect’s management team an aggregate of $1,333 in cash, which was paid 50% at the Closing, and subject to continuous employment with Reflect or Creative Realities, will be paid 25% on February 17, 2023 (the one-year anniversary of Closing) and 25% on February 17, 2024 (the two-year anniversary of the Closing). The future cash payments due on the one-year and two-year anniversaries of the Closing have been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will be issued on February 17, 2023 (the one-year anniversary of Closing) and the remaining 25% of the value of such shares will be issued on February 17, 2024 (the two-year anniversary of the Closing). The shares issued on the Closing were valued at $2.00 per share, and the shares to be issued after the Closing will be determined based on dividing the value of shares issuable on such date divided by the trailing 10-day volume weighted average price (VWAP) of the shares as of such date as reported on the Nasdaq Capital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Secured Promissory Note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17, 2022, pursuant to the terms of the Merger, the Company issued to Stockholders’ Representative a $2,500 Note and Security Agreement (the “Secured Promissory Note”).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Secured Promissory Note accrues interest at 0.59% (the applicable federal rate at the time of issuance of the Secured Promissory Note) and requires the Company and Reflect to collectively pay equal monthly principal installments of $104 on the fifteenth (15th) day of each month, commencing on March 15, 2022. Any remaining or unpaid principal shall be due and payable on February 17, 2023. All payments under the Secured Promissory Note will be paid to the escrow agent in the Merger Agreement to be placed into the escrow account to secure the former Reflect stockholders’ indemnification obligations until released on February 17, 2023 (the one-year anniversary of the closing of the Merger), at which time any remaining proceeds not subject to a pending indemnification claim will be paid to the exchange agent for payment to the former Reflect stockholders. The obligations of the Company and Reflect set forth in the Secured Promissory Note are secured by a first-lien security interest in various contracts of Reflect, together with all accounts arising under such contracts, supporting obligations related to the accounts arising under such contracts, all related books and records, and products and proceeds of the foregoing. Slipstream subordinated its security interest in such collateral, and the recourse for any breach of the Secured Promissory Note by the Company or Reflect will be against such collateral.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The preliminary purchase price of Reflect consisted of the following items: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9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rPr>
              <w:t>Consideration</w:t>
            </w:r>
          </w:p>
        </w:tc>
      </w:tr>
      <w:tr>
        <w:trPr>
          <w:trHeight w:val="15"/>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color w:val="auto"/>
              </w:rPr>
              <w:t>Cash consideration for Reflect stock</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
                <w:sz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16,664</w:t>
            </w: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01"/>
        </w:trPr>
        <w:tc>
          <w:tcPr>
            <w:tcW w:w="9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Cash consideration for Retention Bonus Plan</w:t>
            </w:r>
          </w:p>
        </w:tc>
        <w:tc>
          <w:tcPr>
            <w:tcW w:w="3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1,334</w:t>
            </w:r>
            <w:r>
              <w:rPr>
                <w:rFonts w:ascii="Arial" w:cs="Arial" w:eastAsia="Arial" w:hAnsi="Arial"/>
                <w:sz w:val="14"/>
                <w:szCs w:val="14"/>
                <w:color w:val="auto"/>
              </w:rPr>
              <w:t>(2)</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to Reflect stockholders</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4,667</w:t>
            </w:r>
            <w:r>
              <w:rPr>
                <w:rFonts w:ascii="Arial" w:cs="Arial" w:eastAsia="Arial" w:hAnsi="Arial"/>
                <w:sz w:val="14"/>
                <w:szCs w:val="14"/>
                <w:color w:val="auto"/>
              </w:rPr>
              <w:t>(3)</w:t>
            </w:r>
          </w:p>
        </w:tc>
      </w:tr>
      <w:tr>
        <w:trPr>
          <w:trHeight w:val="15"/>
        </w:trPr>
        <w:tc>
          <w:tcPr>
            <w:tcW w:w="9880" w:type="dxa"/>
            <w:vAlign w:val="bottom"/>
            <w:gridSpan w:val="2"/>
          </w:tcPr>
          <w:p>
            <w:pPr>
              <w:spacing w:after="0"/>
              <w:rPr>
                <w:sz w:val="20"/>
                <w:szCs w:val="20"/>
                <w:color w:val="auto"/>
              </w:rPr>
            </w:pPr>
            <w:r>
              <w:rPr>
                <w:rFonts w:ascii="Arial" w:cs="Arial" w:eastAsia="Arial" w:hAnsi="Arial"/>
                <w:sz w:val="1"/>
                <w:szCs w:val="1"/>
                <w:color w:val="auto"/>
              </w:rPr>
              <w:t>Common stock issued to Retention Bonus Plan</w:t>
            </w:r>
          </w:p>
        </w:tc>
        <w:tc>
          <w:tcPr>
            <w:tcW w:w="360" w:type="dxa"/>
            <w:vAlign w:val="bottom"/>
          </w:tcPr>
          <w:p>
            <w:pPr>
              <w:spacing w:after="0" w:line="20" w:lineRule="exact"/>
              <w:rPr>
                <w:sz w:val="1"/>
                <w:szCs w:val="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
                <w:szCs w:val="1"/>
                <w:color w:val="auto"/>
              </w:rPr>
              <w:t>333</w:t>
            </w:r>
          </w:p>
        </w:tc>
        <w:tc>
          <w:tcPr>
            <w:tcW w:w="220" w:type="dxa"/>
            <w:vAlign w:val="bottom"/>
          </w:tcPr>
          <w:p>
            <w:pPr>
              <w:spacing w:after="0" w:line="20" w:lineRule="exact"/>
              <w:rPr>
                <w:sz w:val="1"/>
                <w:szCs w:val="1"/>
                <w:color w:val="auto"/>
              </w:rPr>
            </w:pPr>
          </w:p>
        </w:tc>
      </w:tr>
      <w:tr>
        <w:trPr>
          <w:trHeight w:val="195"/>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5"/>
                <w:szCs w:val="15"/>
                <w:color w:val="auto"/>
              </w:rPr>
              <w:t>(4)</w:t>
            </w:r>
          </w:p>
        </w:tc>
      </w:tr>
      <w:tr>
        <w:trPr>
          <w:trHeight w:val="222"/>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Promissory Note</w:t>
            </w:r>
          </w:p>
        </w:tc>
        <w:tc>
          <w:tcPr>
            <w:tcW w:w="3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w:t>
            </w:r>
            <w:r>
              <w:rPr>
                <w:rFonts w:ascii="Arial" w:cs="Arial" w:eastAsia="Arial" w:hAnsi="Arial"/>
                <w:sz w:val="14"/>
                <w:szCs w:val="14"/>
                <w:color w:val="auto"/>
              </w:rPr>
              <w:t>(5)</w:t>
            </w:r>
          </w:p>
        </w:tc>
      </w:tr>
      <w:tr>
        <w:trPr>
          <w:trHeight w:val="236"/>
        </w:trPr>
        <w:tc>
          <w:tcPr>
            <w:tcW w:w="9880" w:type="dxa"/>
            <w:vAlign w:val="bottom"/>
            <w:gridSpan w:val="2"/>
          </w:tcPr>
          <w:p>
            <w:pPr>
              <w:spacing w:after="0"/>
              <w:rPr>
                <w:sz w:val="20"/>
                <w:szCs w:val="20"/>
                <w:color w:val="auto"/>
              </w:rPr>
            </w:pPr>
            <w:r>
              <w:rPr>
                <w:rFonts w:ascii="Arial" w:cs="Arial" w:eastAsia="Arial" w:hAnsi="Arial"/>
                <w:sz w:val="18"/>
                <w:szCs w:val="18"/>
                <w:color w:val="auto"/>
              </w:rPr>
              <w:t>Earnout liability</w:t>
            </w:r>
          </w:p>
        </w:tc>
        <w:tc>
          <w:tcPr>
            <w:tcW w:w="360" w:type="dxa"/>
            <w:vAlign w:val="bottom"/>
          </w:tcPr>
          <w:p>
            <w:pPr>
              <w:spacing w:after="0"/>
              <w:rPr>
                <w:sz w:val="20"/>
                <w:szCs w:val="20"/>
                <w:color w:val="auto"/>
              </w:rPr>
            </w:pPr>
          </w:p>
        </w:tc>
        <w:tc>
          <w:tcPr>
            <w:tcW w:w="1000" w:type="dxa"/>
            <w:vAlign w:val="bottom"/>
            <w:gridSpan w:val="3"/>
          </w:tcPr>
          <w:p>
            <w:pPr>
              <w:jc w:val="right"/>
              <w:ind w:right="60"/>
              <w:spacing w:after="0" w:line="230" w:lineRule="exact"/>
              <w:rPr>
                <w:sz w:val="20"/>
                <w:szCs w:val="20"/>
                <w:color w:val="auto"/>
              </w:rPr>
            </w:pPr>
            <w:r>
              <w:rPr>
                <w:rFonts w:ascii="Arial" w:cs="Arial" w:eastAsia="Arial" w:hAnsi="Arial"/>
                <w:sz w:val="16"/>
                <w:szCs w:val="16"/>
                <w:color w:val="auto"/>
              </w:rPr>
              <w:t>10,862</w:t>
            </w:r>
            <w:r>
              <w:rPr>
                <w:rFonts w:ascii="Arial" w:cs="Arial" w:eastAsia="Arial" w:hAnsi="Arial"/>
                <w:sz w:val="26"/>
                <w:szCs w:val="26"/>
                <w:color w:val="auto"/>
                <w:vertAlign w:val="superscript"/>
              </w:rPr>
              <w:t>(6)</w:t>
            </w:r>
          </w:p>
        </w:tc>
      </w:tr>
      <w:tr>
        <w:trPr>
          <w:trHeight w:val="216"/>
        </w:trPr>
        <w:tc>
          <w:tcPr>
            <w:tcW w:w="9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56"/>
        </w:trPr>
        <w:tc>
          <w:tcPr>
            <w:tcW w:w="9880" w:type="dxa"/>
            <w:vAlign w:val="bottom"/>
            <w:gridSpan w:val="2"/>
          </w:tcPr>
          <w:p>
            <w:pPr>
              <w:spacing w:after="0"/>
              <w:rPr>
                <w:sz w:val="20"/>
                <w:szCs w:val="20"/>
                <w:color w:val="auto"/>
              </w:rPr>
            </w:pPr>
            <w:r>
              <w:rPr>
                <w:rFonts w:ascii="Arial" w:cs="Arial" w:eastAsia="Arial" w:hAnsi="Arial"/>
                <w:sz w:val="18"/>
                <w:szCs w:val="18"/>
                <w:color w:val="auto"/>
              </w:rPr>
              <w:t>Vendor deposit with the Company</w:t>
            </w:r>
          </w:p>
        </w:tc>
        <w:tc>
          <w:tcPr>
            <w:tcW w:w="360" w:type="dxa"/>
            <w:vAlign w:val="bottom"/>
          </w:tcPr>
          <w:p>
            <w:pPr>
              <w:spacing w:after="0"/>
              <w:rPr>
                <w:sz w:val="22"/>
                <w:szCs w:val="22"/>
                <w:color w:val="auto"/>
              </w:rPr>
            </w:pPr>
          </w:p>
        </w:tc>
        <w:tc>
          <w:tcPr>
            <w:tcW w:w="1000" w:type="dxa"/>
            <w:vAlign w:val="bottom"/>
            <w:gridSpan w:val="3"/>
          </w:tcPr>
          <w:p>
            <w:pPr>
              <w:jc w:val="right"/>
              <w:spacing w:after="0" w:line="256" w:lineRule="exact"/>
              <w:rPr>
                <w:sz w:val="20"/>
                <w:szCs w:val="20"/>
                <w:color w:val="auto"/>
              </w:rPr>
            </w:pPr>
            <w:r>
              <w:rPr>
                <w:rFonts w:ascii="Arial" w:cs="Arial" w:eastAsia="Arial" w:hAnsi="Arial"/>
                <w:sz w:val="18"/>
                <w:szCs w:val="18"/>
                <w:color w:val="auto"/>
              </w:rPr>
              <w:t>(818)</w:t>
            </w:r>
            <w:r>
              <w:rPr>
                <w:rFonts w:ascii="Arial" w:cs="Arial" w:eastAsia="Arial" w:hAnsi="Arial"/>
                <w:sz w:val="29"/>
                <w:szCs w:val="29"/>
                <w:color w:val="auto"/>
                <w:vertAlign w:val="superscript"/>
              </w:rPr>
              <w:t>(7)</w:t>
            </w:r>
          </w:p>
        </w:tc>
      </w:tr>
      <w:tr>
        <w:trPr>
          <w:trHeight w:val="290"/>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line="270" w:lineRule="exact"/>
              <w:rPr>
                <w:sz w:val="20"/>
                <w:szCs w:val="20"/>
                <w:color w:val="auto"/>
              </w:rPr>
            </w:pPr>
            <w:r>
              <w:rPr>
                <w:rFonts w:ascii="Arial" w:cs="Arial" w:eastAsia="Arial" w:hAnsi="Arial"/>
                <w:sz w:val="18"/>
                <w:szCs w:val="18"/>
                <w:color w:val="auto"/>
              </w:rPr>
              <w:t>(812)</w:t>
            </w:r>
            <w:r>
              <w:rPr>
                <w:rFonts w:ascii="Arial" w:cs="Arial" w:eastAsia="Arial" w:hAnsi="Arial"/>
                <w:sz w:val="29"/>
                <w:szCs w:val="29"/>
                <w:color w:val="auto"/>
                <w:vertAlign w:val="superscript"/>
              </w:rPr>
              <w:t>(8)</w:t>
            </w:r>
          </w:p>
        </w:tc>
      </w:tr>
      <w:tr>
        <w:trPr>
          <w:trHeight w:val="237"/>
        </w:trPr>
        <w:tc>
          <w:tcPr>
            <w:tcW w:w="9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consideration transferred</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34,730</w:t>
            </w:r>
          </w:p>
        </w:tc>
        <w:tc>
          <w:tcPr>
            <w:tcW w:w="20" w:type="dxa"/>
            <w:vAlign w:val="bottom"/>
            <w:tcBorders>
              <w:top w:val="single" w:sz="8" w:color="CCEEFF"/>
              <w:bottom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consideration for outstanding shares of Reflect capital stock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consideration utilized to fund the Retention Bonus Plan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common stock issued in exchange for outstanding shares of Reflect capital stock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common stock issued to fund the Retention Bonus Plan per Merger Agreement.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Secured Promissory Note accrues interest at 0.59% (the applicable federal rate at the time of issuance of the Secured Promissory Note) and requires the Company and Reflect to collectively pay equal monthly principal installments of $104 on the fifteenth (15th) day of each month, commencing on March 15, 2022. Any remaining or unpaid principal shall be due and payable on February 17,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jc w:val="both"/>
        <w:ind w:left="340" w:hanging="332"/>
        <w:spacing w:after="0" w:line="27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an estimate of the fair value of the Guaranteed Consideration as of the Merger, which, if any, is payable on or after February 17, 2025 (subject to the Extension Option),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subject to the terms of the Merger Agreement. During the nine months ended September 30, 2022, the Company’s third party specialist completed valuation of this contingent liability as of the opening balance sheet date, resulting in a measurement period adjustment recorded to increase goodwill and the contingent liability as of February 17, 2022 by $5,262.</w:t>
      </w:r>
    </w:p>
    <w:p>
      <w:pPr>
        <w:spacing w:after="0" w:line="177"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the Merger, Reflect had engaged the Company on a project and paid the Company a deposit of $818. These amounts reduced consideration paid by the Company in accordance with ASC 805.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Reflect cash balance acquired at Closing.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incurred $16 and $444 of direct transaction costs related to the Reflect Merger for the three and nine months ended September 30, 2022, respectively. These costs are included in deal and transaction expense in the accompanying Condensed Consolidated Statement of Operations.</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accounted for the Merger using the acquisition method of accounting. The preliminary allocation of the purchase price is based on estimates of the fair value of assets acquired and liabilities assumed as of February 17, 2022. The Company is continuing to obtain information to determine the acquired assets and liabilities, including tax assets, liabilities and other attributes. The components of the preliminary purchase price allocation, inclusive of measurement period adjustments recorded by the Company during the nine months ended September 30, 2022,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&amp; other current assets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right of use assets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Identified intangible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Definite-lived trade names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Definite-lived Developed technology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Definite-lived Customer relationships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11,040</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Definite-lived Noncompete agreements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18,569</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(1,661)</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(1,259)</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of operating leases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r>
        <w:trPr>
          <w:trHeight w:val="236"/>
        </w:trPr>
        <w:tc>
          <w:tcPr>
            <w:tcW w:w="10020" w:type="dxa"/>
            <w:vAlign w:val="bottom"/>
            <w:gridSpan w:val="2"/>
          </w:tcPr>
          <w:p>
            <w:pPr>
              <w:spacing w:after="0"/>
              <w:rPr>
                <w:sz w:val="20"/>
                <w:szCs w:val="20"/>
                <w:color w:val="auto"/>
              </w:rPr>
            </w:pPr>
            <w:r>
              <w:rPr>
                <w:rFonts w:ascii="Arial" w:cs="Arial" w:eastAsia="Arial" w:hAnsi="Arial"/>
                <w:sz w:val="18"/>
                <w:szCs w:val="18"/>
                <w:color w:val="auto"/>
              </w:rPr>
              <w:t>Long-term obligations under operating leases</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consideration transferred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engaged a third party valuation specialist to assist in the identification and calculation of the fair value of those separately identifiable intangible assets and recorded those assets based on an initial draft valuation report. The Company remains in process of reviewing the valuation report and finalizing its opening balance sheet accounting.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The Company completed its valuation procedures by asset utilizing the following approaches: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 asset was estimated using the income approach through a discounted cash flow analysis wherein the cash flows will be based on estimates used to price the Merger. Discount rates were benchmarked with reference to the implied rate of return from the Company’s pricing model and the weighted average cost of capital.</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name asset represents the “Reflect” brand name as marketed primarily as a full services digital software solution, marketed in numerous verticals with the exception of food service. The Company applied the income approach through an excess earnings analysis to determine the fair value of the trade name asset. The Company applied the income approach through a relief-from-royalty analysis to determine the fair value of this asset.</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developed technology assets are primarily comprised of know-how and functionality embedded in Reflect’s proprietary content management applications, which drive currently marketed products and services. The Company applied the income approach through a relief-from-royalty analysis to determine the preliminary fair value of this asset.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is amortizing the identifiable intangible assets on a straight-line basis over the weighted average lives ranging from 2 to 10 years as outlined below.</w:t>
      </w:r>
    </w:p>
    <w:p>
      <w:pPr>
        <w:sectPr>
          <w:pgSz w:w="11900" w:h="16838" w:orient="portrait"/>
          <w:cols w:equalWidth="0" w:num="1">
            <w:col w:w="11240"/>
          </w:cols>
          <w:pgMar w:left="320" w:top="881" w:right="3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sets forth the preliminary valuation and amortization period of identifiable intangible assets: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946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946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Identifiable 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Noncompete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 relationships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Preliminary</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41"/>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Valuation</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418"/>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5,130</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51"/>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11,040</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13" w:lineRule="exact"/>
        <w:rPr>
          <w:sz w:val="20"/>
          <w:szCs w:val="20"/>
          <w:color w:val="auto"/>
        </w:rPr>
      </w:pPr>
    </w:p>
    <w:p>
      <w:pPr>
        <w:ind w:left="620" w:hanging="611"/>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17,160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029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260"/>
            <w:col w:w="2480"/>
          </w:cols>
          <w:pgMar w:left="320" w:top="881" w:right="339" w:bottom="1440" w:gutter="0" w:footer="0" w:header="0"/>
          <w:type w:val="continuous"/>
        </w:sectPr>
      </w:pP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estimated the preliminary fair value of the acquired property, plant and equipment using a combination of the cost and market approaches, depending on the component. The preliminary fair value of such property, plant and equipment is $96.</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excess of the purchase price over the preliminary estimated fair value of the tangible net assets and identifiable intangible assets acquired was recorded as goodwill and is subject to change upon final valuation. The factors contributing to the recognition of the amount of goodwill are based on several strategic and synergistic benefits that are expected to be realized from the Merger. These benefits include a comprehensive portfolio of iconic customer brands, complementary product offerings, enhanced national footprint, and attractive synergy opportunities and value creation. None of the goodwill is expected to be deductible for income tax purposes.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pro forma information presents the combined financial results for the Company and Reflect as if the Merger had been completed at the beginning of the Company’s prior year, January 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earnings per common share)</w:t>
            </w:r>
          </w:p>
        </w:tc>
        <w:tc>
          <w:tcPr>
            <w:tcW w:w="52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56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56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655"/>
        </w:trPr>
        <w:tc>
          <w:tcPr>
            <w:tcW w:w="46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right"/>
              <w:ind w:right="40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type w:val="continuous"/>
        </w:sectPr>
      </w:pPr>
    </w:p>
    <w:bookmarkStart w:id="17" w:name="page18"/>
    <w:bookmarkEnd w:id="17"/>
    <w:p>
      <w:pPr>
        <w:jc w:val="both"/>
        <w:ind w:firstLine="648"/>
        <w:spacing w:after="0" w:line="273" w:lineRule="auto"/>
        <w:rPr>
          <w:sz w:val="20"/>
          <w:szCs w:val="20"/>
          <w:color w:val="auto"/>
        </w:rPr>
      </w:pPr>
      <w:r>
        <w:rPr>
          <w:rFonts w:ascii="Arial" w:cs="Arial" w:eastAsia="Arial" w:hAnsi="Arial"/>
          <w:sz w:val="17"/>
          <w:szCs w:val="17"/>
          <w:color w:val="auto"/>
        </w:rPr>
        <w:t>The information above does not include the pro forma adjustments that would be required under Regulation S-X for pro forma financial information and does not reflect future events that may occur after December 31, 2021 or any operating efficiencies or inefficiencies that may result from the Merger and related financings. Therefore, the information is not necessarily indicative of results that would have been achieved had the businesses been combined during the periods presented or the results that the Company will experience going forward. We have not included disaggregated information for Reflect on a standalone basis in the current year for either revenue or net income as the integration activities undertaken by the Company have prevented this information from being useful to financial statement readers.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September 30,</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Reflect Systems, Inc. </w:t>
            </w:r>
            <w:r>
              <w:rPr>
                <w:rFonts w:ascii="Arial" w:cs="Arial" w:eastAsia="Arial" w:hAnsi="Arial"/>
                <w:sz w:val="18"/>
                <w:szCs w:val="18"/>
                <w:b w:val="1"/>
                <w:bCs w:val="1"/>
                <w:i w:val="1"/>
                <w:iCs w:val="1"/>
                <w:color w:val="auto"/>
              </w:rPr>
              <w:t>(in thousands)</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FAIR VALUE MEASUREMENT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 discussed in Note 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calculation of the fair value of the Guaranteed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As discussed in Note 9 </w:t>
      </w:r>
      <w:r>
        <w:rPr>
          <w:rFonts w:ascii="Arial" w:cs="Arial" w:eastAsia="Arial" w:hAnsi="Arial"/>
          <w:sz w:val="18"/>
          <w:szCs w:val="18"/>
          <w:i w:val="1"/>
          <w:iCs w:val="1"/>
          <w:color w:val="auto"/>
        </w:rPr>
        <w:t>Loans Payable</w:t>
      </w:r>
      <w:r>
        <w:rPr>
          <w:rFonts w:ascii="Arial" w:cs="Arial" w:eastAsia="Arial" w:hAnsi="Arial"/>
          <w:sz w:val="18"/>
          <w:szCs w:val="18"/>
          <w:color w:val="auto"/>
        </w:rPr>
        <w:t>, the Convertible Loan was reported at fair value. This liability is deemed to be a Level 3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Convertible Loan. The Convertible Loan was refinanced into the Consolidation Term Loan in February 2022.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Warrants</w:t>
      </w:r>
      <w:r>
        <w:rPr>
          <w:rFonts w:ascii="Arial" w:cs="Arial" w:eastAsia="Arial" w:hAnsi="Arial"/>
          <w:sz w:val="18"/>
          <w:szCs w:val="18"/>
          <w:color w:val="auto"/>
        </w:rPr>
        <w:t>, the calculation of the fair value of the warranty liability contains valuation inputs which are based on observable inputs (other than Level 1 prices) and are considered Level 2 estimates. The liability warrants were converted to equity warrants effective June 30,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NOTE 7: SUPPLEMENTAL CASH FLOW STATEMENT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8"/>
        </w:trPr>
        <w:tc>
          <w:tcPr>
            <w:tcW w:w="292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29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29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189"/>
        </w:trPr>
        <w:tc>
          <w:tcPr>
            <w:tcW w:w="29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91"/>
              </w:rPr>
              <w:t>Supplemental Cash Flow Information</w:t>
            </w:r>
          </w:p>
        </w:tc>
        <w:tc>
          <w:tcPr>
            <w:tcW w:w="57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8680" w:type="dxa"/>
            <w:vAlign w:val="bottom"/>
            <w:gridSpan w:val="3"/>
          </w:tcPr>
          <w:p>
            <w:pPr>
              <w:spacing w:after="0"/>
              <w:rPr>
                <w:sz w:val="20"/>
                <w:szCs w:val="20"/>
                <w:color w:val="auto"/>
              </w:rPr>
            </w:pPr>
            <w:r>
              <w:rPr>
                <w:rFonts w:ascii="Arial" w:cs="Arial" w:eastAsia="Arial" w:hAnsi="Arial"/>
                <w:sz w:val="18"/>
                <w:szCs w:val="18"/>
                <w:color w:val="auto"/>
              </w:rPr>
              <w:t>Investing activities not yet paid in cash:</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Capitalized software in accounts 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Income taxes,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INTANGIBLE ASSETS, INCLUDING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9"/>
              </w:rPr>
              <w:t>September 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Purchased and developed software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4,415</w:t>
            </w:r>
          </w:p>
        </w:tc>
        <w:tc>
          <w:tcPr>
            <w:tcW w:w="5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3,488</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In-Process internally developed software platform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15,000</w:t>
            </w:r>
          </w:p>
        </w:tc>
        <w:tc>
          <w:tcPr>
            <w:tcW w:w="5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3,960</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1,600</w:t>
            </w:r>
          </w:p>
        </w:tc>
        <w:tc>
          <w:tcPr>
            <w:tcW w:w="5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5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4"/>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of amortizable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23,754</w:t>
            </w:r>
          </w:p>
        </w:tc>
        <w:tc>
          <w:tcPr>
            <w:tcW w:w="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w:t>
            </w: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On February 17, 2022, the Company added intangible assets as a result of accounting for the Merger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as outlined in Note 5</w:t>
      </w:r>
      <w:r>
        <w:rPr>
          <w:rFonts w:ascii="Arial" w:cs="Arial" w:eastAsia="Arial" w:hAnsi="Arial"/>
          <w:sz w:val="18"/>
          <w:szCs w:val="18"/>
          <w:i w:val="1"/>
          <w:iCs w:val="1"/>
          <w:color w:val="auto"/>
        </w:rPr>
        <w:t xml:space="preserve"> Business Combinations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September 30, 2022 and 2021, amortization of intangible assets charged to operations was $848 and $139, respectively. For the nine months ended September 30, 2022 and 2021 amortization of intangible assets charged to operations was $1,959 and $418,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Goodwill represents the excess of the purchase price over the fair value of net assets acquired. Goodwill is subject to an impairment review at a reporting unit level, on an annual basis as of the end of September of each fiscal year, or when an event occurs, or circumstances change that would indicate potential impairment. Following the Merger, the Company evaluated its reporting units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concluded that the Company has only one reporting unit. Therefore, the entire goodwill is allocated to that reporting unit.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assessed the carrying value of goodwill at the reporting unit level based on an estimate of the fair value of its reporting unit. Fair value of the reporting unit was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current and preceding three years, further informed by known backlog and customer acquisitions. Based on the Company’s assessment, we determined that the fair value of our reporting unit exceeds its carrying value, and accordingly, the goodwill associated with the reporting unit is not considered to be impaired at September 30, 2022.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8"/>
          <w:szCs w:val="18"/>
          <w:color w:val="auto"/>
        </w:rPr>
        <w:t>The Company recognizes that any changes in our actual fourth quarter 2022 or projected 2023 results could potentially have a material impact on our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While our overall business performance has been consistent with our expectations, both before and after the acquisition of Reflect, we believe a significant portion of the decline in our market price relates primarily to several macroeconomic factors including: (1) market wide recessionary fears, (2) rapid inflation fears, which often have an outsized, direct negative impact on the share price of high-growth companies with limited or negative cash flow from operations, (3) a lack of comprehension by the markets of the recent Merger with Reflect and related financing transaction, and (4) the sale of over 7,000,000 shares of our common stock into the market by a new investor, resulting in significant negative volume and price pressure on the stock unrelated to the Company fundamentals. We do not believe these factors are consistent with or reflective of the underlying value of the business, and there were no other indicators of potential impairment as of September 30, 2022. Should our market price remain at this level for an extended period of time, however there could be potential future impairment.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relatively recent decline in our share price and market capitalization, along with improving Company fundamentals following our Merger with Reflect and a share price that was substantially higher upon announcing that Merger mere months ago, we believe our implied fair value continues to exceed our total carrying value. There were no other indications of impairment as of September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LOANS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debt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September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85"/>
              </w:rPr>
              <w:t>Issuance</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9"/>
              </w:rPr>
              <w:t>Maturity</w:t>
            </w: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Debt Type</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Principal</w:t>
            </w:r>
          </w:p>
        </w:tc>
        <w:tc>
          <w:tcPr>
            <w:tcW w:w="220" w:type="dxa"/>
            <w:vAlign w:val="bottom"/>
            <w:tcBorders>
              <w:bottom w:val="single" w:sz="8" w:color="CCEEFF"/>
            </w:tcBorders>
            <w:gridSpan w:val="2"/>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2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 Rate Information</w:t>
            </w: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2/17/2022</w:t>
            </w:r>
          </w:p>
        </w:tc>
        <w:tc>
          <w:tcPr>
            <w:tcW w:w="1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w:t>
            </w:r>
          </w:p>
        </w:tc>
        <w:tc>
          <w:tcPr>
            <w:tcW w:w="21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8.0% interest</w:t>
            </w:r>
            <w:r>
              <w:rPr>
                <w:rFonts w:ascii="Arial" w:cs="Arial" w:eastAsia="Arial" w:hAnsi="Arial"/>
                <w:sz w:val="29"/>
                <w:szCs w:val="29"/>
                <w:color w:val="auto"/>
                <w:w w:val="87"/>
                <w:vertAlign w:val="superscript"/>
              </w:rPr>
              <w:t>(1)</w:t>
            </w:r>
          </w:p>
        </w:tc>
        <w:tc>
          <w:tcPr>
            <w:tcW w:w="0" w:type="dxa"/>
            <w:vAlign w:val="bottom"/>
          </w:tcPr>
          <w:p>
            <w:pPr>
              <w:spacing w:after="0"/>
              <w:rPr>
                <w:sz w:val="1"/>
                <w:szCs w:val="1"/>
                <w:color w:val="auto"/>
              </w:rPr>
            </w:pPr>
          </w:p>
        </w:tc>
      </w:tr>
      <w:tr>
        <w:trPr>
          <w:trHeight w:val="257"/>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2/17/2022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1,777</w:t>
            </w:r>
          </w:p>
        </w:tc>
        <w:tc>
          <w:tcPr>
            <w:tcW w:w="2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2/17/2023</w:t>
            </w:r>
          </w:p>
        </w:tc>
        <w:tc>
          <w:tcPr>
            <w:tcW w:w="10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40" w:type="dxa"/>
            <w:vAlign w:val="bottom"/>
          </w:tcPr>
          <w:p>
            <w:pPr>
              <w:jc w:val="center"/>
              <w:spacing w:after="0" w:line="256" w:lineRule="exact"/>
              <w:rPr>
                <w:sz w:val="20"/>
                <w:szCs w:val="20"/>
                <w:color w:val="auto"/>
              </w:rPr>
            </w:pPr>
            <w:r>
              <w:rPr>
                <w:rFonts w:ascii="Arial" w:cs="Arial" w:eastAsia="Arial" w:hAnsi="Arial"/>
                <w:sz w:val="18"/>
                <w:szCs w:val="18"/>
                <w:color w:val="auto"/>
                <w:w w:val="87"/>
              </w:rPr>
              <w:t>0.59% interest</w:t>
            </w:r>
            <w:r>
              <w:rPr>
                <w:rFonts w:ascii="Arial" w:cs="Arial" w:eastAsia="Arial" w:hAnsi="Arial"/>
                <w:sz w:val="29"/>
                <w:szCs w:val="29"/>
                <w:color w:val="auto"/>
                <w:w w:val="87"/>
                <w:vertAlign w:val="superscript"/>
              </w:rPr>
              <w:t>(2)</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2/17/2022</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2,694,495</w:t>
            </w:r>
          </w:p>
        </w:tc>
        <w:tc>
          <w:tcPr>
            <w:tcW w:w="20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center"/>
              <w:spacing w:after="0" w:line="270" w:lineRule="exact"/>
              <w:rPr>
                <w:sz w:val="20"/>
                <w:szCs w:val="20"/>
                <w:color w:val="auto"/>
              </w:rPr>
            </w:pPr>
            <w:r>
              <w:rPr>
                <w:rFonts w:ascii="Arial" w:cs="Arial" w:eastAsia="Arial" w:hAnsi="Arial"/>
                <w:sz w:val="18"/>
                <w:szCs w:val="18"/>
                <w:color w:val="auto"/>
                <w:w w:val="87"/>
              </w:rPr>
              <w:t>10.0% interest</w:t>
            </w:r>
            <w:r>
              <w:rPr>
                <w:rFonts w:ascii="Arial" w:cs="Arial" w:eastAsia="Arial" w:hAnsi="Arial"/>
                <w:sz w:val="29"/>
                <w:szCs w:val="29"/>
                <w:color w:val="auto"/>
                <w:w w:val="87"/>
                <w:vertAlign w:val="superscript"/>
              </w:rPr>
              <w:t>(3)</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 debt, gross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18,962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5,194,495</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380" w:type="dxa"/>
            <w:vAlign w:val="bottom"/>
            <w:tcBorders>
              <w:top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Debt discount</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(3,433)</w:t>
            </w:r>
          </w:p>
        </w:tc>
        <w:tc>
          <w:tcPr>
            <w:tcW w:w="18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80" w:type="dxa"/>
            <w:vAlign w:val="bottom"/>
            <w:tcBorders>
              <w:top w:val="single" w:sz="8" w:color="CCEEFF"/>
            </w:tcBorders>
            <w:gridSpan w:val="2"/>
          </w:tcPr>
          <w:p>
            <w:pPr>
              <w:jc w:val="center"/>
              <w:ind w:right="140"/>
              <w:spacing w:after="0" w:line="203" w:lineRule="exact"/>
              <w:rPr>
                <w:sz w:val="20"/>
                <w:szCs w:val="20"/>
                <w:color w:val="auto"/>
              </w:rPr>
            </w:pPr>
            <w:r>
              <w:rPr>
                <w:rFonts w:ascii="Arial" w:cs="Arial" w:eastAsia="Arial" w:hAnsi="Arial"/>
                <w:sz w:val="18"/>
                <w:szCs w:val="18"/>
                <w:color w:val="auto"/>
                <w:w w:val="90"/>
              </w:rPr>
              <w:t>Total debt, net</w:t>
            </w: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15,529</w:t>
            </w: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Less current maturities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(2,176)</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gridSpan w:val="2"/>
            <w:vMerge w:val="restart"/>
          </w:tcPr>
          <w:p>
            <w:pPr>
              <w:jc w:val="center"/>
              <w:ind w:right="140"/>
              <w:spacing w:after="0"/>
              <w:rPr>
                <w:sz w:val="20"/>
                <w:szCs w:val="20"/>
                <w:color w:val="auto"/>
              </w:rPr>
            </w:pPr>
            <w:r>
              <w:rPr>
                <w:rFonts w:ascii="Arial" w:cs="Arial" w:eastAsia="Arial" w:hAnsi="Arial"/>
                <w:sz w:val="18"/>
                <w:szCs w:val="18"/>
                <w:color w:val="auto"/>
                <w:w w:val="92"/>
              </w:rPr>
              <w:t>Long term debt</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vMerge w:val="continue"/>
          </w:tcPr>
          <w:p>
            <w:pPr>
              <w:spacing w:after="0"/>
              <w:rPr>
                <w:sz w:val="20"/>
                <w:szCs w:val="20"/>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13,353</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5"/>
              </w:rPr>
              <w:t>Issuance</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9"/>
              </w:rPr>
              <w:t>Maturity</w:t>
            </w: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Debt Type</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Principal</w:t>
            </w:r>
          </w:p>
        </w:tc>
        <w:tc>
          <w:tcPr>
            <w:tcW w:w="2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2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 Rate Information</w:t>
            </w:r>
          </w:p>
        </w:tc>
        <w:tc>
          <w:tcPr>
            <w:tcW w:w="0" w:type="dxa"/>
            <w:vAlign w:val="bottom"/>
          </w:tcPr>
          <w:p>
            <w:pPr>
              <w:spacing w:after="0"/>
              <w:rPr>
                <w:sz w:val="1"/>
                <w:szCs w:val="1"/>
                <w:color w:val="auto"/>
              </w:rPr>
            </w:pPr>
          </w:p>
        </w:tc>
      </w:tr>
      <w:tr>
        <w:trPr>
          <w:trHeight w:val="256"/>
        </w:trPr>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D</w:t>
            </w: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8/17/2016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4,767</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2/17/2025</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588,236</w:t>
            </w:r>
          </w:p>
        </w:tc>
        <w:tc>
          <w:tcPr>
            <w:tcW w:w="21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8.0% interest</w:t>
            </w:r>
            <w:r>
              <w:rPr>
                <w:rFonts w:ascii="Arial" w:cs="Arial" w:eastAsia="Arial" w:hAnsi="Arial"/>
                <w:sz w:val="29"/>
                <w:szCs w:val="29"/>
                <w:color w:val="auto"/>
                <w:w w:val="87"/>
                <w:vertAlign w:val="superscript"/>
              </w:rPr>
              <w:t>(4)</w:t>
            </w:r>
          </w:p>
        </w:tc>
        <w:tc>
          <w:tcPr>
            <w:tcW w:w="0" w:type="dxa"/>
            <w:vAlign w:val="bottom"/>
          </w:tcPr>
          <w:p>
            <w:pPr>
              <w:spacing w:after="0"/>
              <w:rPr>
                <w:sz w:val="1"/>
                <w:szCs w:val="1"/>
                <w:color w:val="auto"/>
              </w:rPr>
            </w:pPr>
          </w:p>
        </w:tc>
      </w:tr>
      <w:tr>
        <w:trPr>
          <w:trHeight w:val="277"/>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w:t>
            </w:r>
          </w:p>
        </w:tc>
        <w:tc>
          <w:tcPr>
            <w:tcW w:w="2240" w:type="dxa"/>
            <w:vAlign w:val="bottom"/>
          </w:tcPr>
          <w:p>
            <w:pPr>
              <w:jc w:val="right"/>
              <w:ind w:right="610"/>
              <w:spacing w:after="0"/>
              <w:rPr>
                <w:sz w:val="20"/>
                <w:szCs w:val="20"/>
                <w:color w:val="auto"/>
              </w:rPr>
            </w:pPr>
            <w:r>
              <w:rPr>
                <w:rFonts w:ascii="Arial" w:cs="Arial" w:eastAsia="Arial" w:hAnsi="Arial"/>
                <w:sz w:val="18"/>
                <w:szCs w:val="18"/>
                <w:color w:val="auto"/>
              </w:rPr>
              <w:t>12/30/2019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2,418</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2/17/2025</w:t>
            </w:r>
          </w:p>
        </w:tc>
        <w:tc>
          <w:tcPr>
            <w:tcW w:w="10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40" w:type="dxa"/>
            <w:vAlign w:val="bottom"/>
          </w:tcPr>
          <w:p>
            <w:pPr>
              <w:jc w:val="center"/>
              <w:spacing w:after="0" w:line="270" w:lineRule="exact"/>
              <w:rPr>
                <w:sz w:val="20"/>
                <w:szCs w:val="20"/>
                <w:color w:val="auto"/>
              </w:rPr>
            </w:pPr>
            <w:r>
              <w:rPr>
                <w:rFonts w:ascii="Arial" w:cs="Arial" w:eastAsia="Arial" w:hAnsi="Arial"/>
                <w:sz w:val="18"/>
                <w:szCs w:val="18"/>
                <w:color w:val="auto"/>
                <w:w w:val="87"/>
              </w:rPr>
              <w:t>10.0% interest</w:t>
            </w:r>
            <w:r>
              <w:rPr>
                <w:rFonts w:ascii="Arial" w:cs="Arial" w:eastAsia="Arial" w:hAnsi="Arial"/>
                <w:sz w:val="29"/>
                <w:szCs w:val="29"/>
                <w:color w:val="auto"/>
                <w:w w:val="87"/>
                <w:vertAlign w:val="superscript"/>
              </w:rPr>
              <w:t>(4)</w:t>
            </w:r>
          </w:p>
        </w:tc>
        <w:tc>
          <w:tcPr>
            <w:tcW w:w="0" w:type="dxa"/>
            <w:vAlign w:val="bottom"/>
          </w:tcPr>
          <w:p>
            <w:pPr>
              <w:spacing w:after="0"/>
              <w:rPr>
                <w:sz w:val="1"/>
                <w:szCs w:val="1"/>
                <w:color w:val="auto"/>
              </w:rPr>
            </w:pPr>
          </w:p>
        </w:tc>
      </w:tr>
      <w:tr>
        <w:trPr>
          <w:trHeight w:val="263"/>
        </w:trPr>
        <w:tc>
          <w:tcPr>
            <w:tcW w:w="20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 debt, gross</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8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588,236</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1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2"/>
              </w:rPr>
              <w:t>Fair value (B)</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(166)</w:t>
            </w: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 debt, gross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Debt discount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Total debt, net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Less current maturities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Long term debt</w:t>
            </w: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6,875</w:t>
            </w: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Acquisition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Reflect Seller Secured Promissory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Consolidation Term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 Secured Convertible Special Loan Promissory Note, at fair value</w:t>
      </w:r>
    </w:p>
    <w:p>
      <w:pPr>
        <w:spacing w:after="0" w:line="2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8.0% cash interest per annum through maturity at February 15, 2025.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0.59% cash interest per annum (the applicable federal rate) through maturity at February 17,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cash interest per annum through maturity at February 15, 2025.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was paid-in-kind (“PIK”) through October 2021, at which point interest became payable in cash at the stated interest rates through maturity.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b w:val="1"/>
          <w:bCs w:val="1"/>
          <w:i w:val="1"/>
          <w:iCs w:val="1"/>
          <w:color w:val="auto"/>
        </w:rPr>
        <w:t>SBA Paycheck Protection Program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27, 2020, the Company entered into a Promissory Note with Old National Bank (the “Promissory Note”), which provided for an unsecured loan of $1,552 (the “PPP Loan”) pursuant to the Paycheck Protection Program under the Coronavirus Aid, Relief, and Economic Security Act and applicable regulations (the “CARES Act”). The Promissory Note had a term of two years with a 1% per annum interest rate.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11, 2021, the Company received a notice from Old National Bank that the full principal amount of the PPP Loan and the accrued interest have been forgiven, resulting in a gain of $1,552 during the nine months ended September 30,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17, 2022, in connection with the closing of the Merger, the Company issued to RSI Exit Corporation (“Stockholders’ Representative”), the representative of Reflect stockholders, a $2,500 Note and Security Agreement (the “Secured Promissory Note”).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Secured Promissory Note accrues interest at 0.59% per annum (the applicable federal rate on the date of issuance of the Secured Promissory Note) and requires the Company and Reflect to collectively pay equal monthly principal installments of $104 on the fifteenth (15th) day of each month, commencing on March 15, 2022. Any remaining or unpaid principal shall be due and payable on February 17, 2023. All payments under the Secured Promissory Note will be paid to the escrow agent in the Merger Agreement to be placed into the escrow account to secure the Reflect stockholders’ indemnification obligations until released on February 17, 2023 (the one-year anniversary of the closing of the Merger), at which time any remaining proceeds not subject to a pending indemnification claim will be paid to the exchange agent for payment to the Reflect Stockholders. The Secured Promissory Note is secured by a first-lien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 Amended and Restated Loan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17, 2022, the Company and its subsidiaries (collectively, the “Borrowers”) refinanced their debt facilities with Slipstream Communications, LLC (“Slipstream”), pursuant to a Second Amended and Restated Credit and Security Agreement (the “Credit Agreement”). The Borrowers include Reflect Systems, Inc. (“Reflect”), which became a wholly owned subsidiary of the Company as a result of the closing of the Merger on February 17, 2022. The debt facilities continue to be fully secured by all assets of the Borrowers.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ind w:firstLine="648"/>
        <w:spacing w:after="0" w:line="269" w:lineRule="auto"/>
        <w:rPr>
          <w:sz w:val="20"/>
          <w:szCs w:val="20"/>
          <w:color w:val="auto"/>
        </w:rPr>
      </w:pPr>
      <w:r>
        <w:rPr>
          <w:rFonts w:ascii="Arial" w:cs="Arial" w:eastAsia="Arial" w:hAnsi="Arial"/>
          <w:sz w:val="17"/>
          <w:szCs w:val="17"/>
          <w:color w:val="auto"/>
        </w:rPr>
        <w:t xml:space="preserve">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2,694,495 warrants). On the first day of each month, commencing March 1, 2022 through February 1, 2025, the Borrowers will make interest-only payments on the Consolidation Term Loan (estimated to be $60 per monthly payment).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(estimated to be $399 per monthly installment). The Company assessed the combination of the pre-existing senior secured term loan and secured convertible loan in accordance with ASC 470 </w:t>
      </w:r>
      <w:r>
        <w:rPr>
          <w:rFonts w:ascii="Arial" w:cs="Arial" w:eastAsia="Arial" w:hAnsi="Arial"/>
          <w:sz w:val="17"/>
          <w:szCs w:val="17"/>
          <w:i w:val="1"/>
          <w:iCs w:val="1"/>
          <w:color w:val="auto"/>
        </w:rPr>
        <w:t xml:space="preserve">Debt </w:t>
      </w:r>
      <w:r>
        <w:rPr>
          <w:rFonts w:ascii="Arial" w:cs="Arial" w:eastAsia="Arial" w:hAnsi="Arial"/>
          <w:sz w:val="17"/>
          <w:szCs w:val="17"/>
          <w:color w:val="auto"/>
        </w:rPr>
        <w:t>and determined the transaction should be accounted for as an extinguishment, in part as the Consolidation Term Loan eliminated a substantive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feature. In aggregate the Company recorded a loss on extinguishment of $295, primarily associated with the write-off of pre-existing debt discounts.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refinancing the existing debt with Slipstream, the Company issued to Slipstream a $10,000, 36-month senior secured term loan (the “Acquisition Loan”) resulting in $10,000 in gross proceeds, or $9,950 in net proceeds. The Acquisition Loan matures on February 17, 2025 (the “Maturity Date”) and has an interest rate of 8.0%, with 50.0% warrant coverage (or 2,500,000 warrants). On the first day of each month, commencing March 1, 2022 through February 1, 2025, the Borrowers will make interest-only payments on the Acquisition Loan (estimated to be $67 per monthly payment). No principal payments on the Acquisition Loan are payable until the Maturity Date.</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connection with the Acquisition Loan and Consolidation Term Loan warrant coverage, the Company issued to Slipstream a warrant to purchase an aggregate of 5,194,495 shares of Company common stock (the “Lender Warrant”). The Lender Warrant has a five-year term, an initial exercise price of $2.00 per share, subject to adjustments in the Lender Warrant, and is not exercisable until August 17, 2022. The warrants were assessed in accordance with ASC 470 and ASC 815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and were deemed to represent bifurcated derivative instruments that should be recorded as liabilities in the Condensed Consolidated Balance Sheets. The Company performed a Black-Scholes valuation of the warrants as of the issuance date, resulting in a fair value of $0.8129 per warrant. In recording the warrant liability, the Company recorded a debt discount associated with each of the Acquisition and Consolidation Term Loans in an amount of $2,032 and $2,190, respectively. These amounts are being amortized straight-line through interest expense over the life of the loans, resulting in incremental interest expense of $363 and $904 during the three and nine months ended September 30, 2022, respectively. The Company has deemed straight-line amortization to be materially consistent with the effective interest method.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June 30, 2022, the Company amended the terms of the Lender Warrant to remove the holder’s option to exercise such warrant on a cashless basis utilizing the volume weighted average price (“VWAP”) of the Company’s common stock on the trading day immediately preceding the date of a notice of cashless exercise in certain circumstances, and remove the condition to exercising such warrant that the Company’s shareholders approve the exercise thereof (which has already been obtained). The amendments to the Lender Warrant also extend the term of such warrants for an additional one year, such that the Lender Warrant will expire on February 17, 2028. The foregoing amendments to the Lender Warrant such warrants to be accounted for as equity instruments on the Company’s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and Security Agreement History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Ninth, Tenth, Eleventh, Twelfth, and Thirteenth Amendment; Modification of Conversion Date of Special Loan under Loan and Security Agreement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ind w:firstLine="648"/>
        <w:spacing w:after="0" w:line="272" w:lineRule="auto"/>
        <w:rPr>
          <w:sz w:val="20"/>
          <w:szCs w:val="20"/>
          <w:color w:val="auto"/>
        </w:rPr>
      </w:pPr>
      <w:r>
        <w:rPr>
          <w:rFonts w:ascii="Arial" w:cs="Arial" w:eastAsia="Arial" w:hAnsi="Arial"/>
          <w:sz w:val="17"/>
          <w:szCs w:val="17"/>
          <w:color w:val="auto"/>
        </w:rPr>
        <w:t>Prior to the execution of the Credit Agreement, Borrower and Slipstream were parties to a Loan and Security Agreement. On March 7, 2021, On February 28, 2021, January 31, 2021, December 31, 2020, November 30, 2020, and September 29, 2020, the parties entered into several amendments to the Loan and Security Agreement to amend the automatic conversion date of the Special Loan and, later, to eliminate the conversion feature. Each amendment extended the automatic conversion date of the Special Loan. The Company paid no fees in exchange for these extensions, with the exception of the March 7, 2021 extension which resulted in the Company recording of $133 of incremental debt discount, a net gain of $26 via the extinguishment of the Special Loan, and expense of $69 of costs incurred with third parties as a result of extinguishment of the Special Loan, modification of the New Term Loan, and extinguishment of the Disbursed Escrow Loan.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Disbursed Escrow Promissory Note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Fourth Amendment to the Loan and Security Agreement included entry into a Secured Disbursed Escrow Promissory Note between the Company and Slipstream, and, effective June 30, 2018, we drew $264 in conjunction with our exit from a previously leased operating facility. The principal amount of the Secured Disbursed Escrow Promissory Note bore no interest. Upon entry into an amendment to the Loan and Security Agreement on March 7, 2021, this note was converted into Disbursed Escrow Conversion Shares, with elimination of the debt recorded as an equity issuance within the Statement of Shareholders Equity during the nine months ended September 30, 2021.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Loan (2022)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31, 2022, the Borrowers and Slipstream amended the Credit Agreement to provide the Borrowers with a $2,000 term loan, the net proceeds of which are being used by the Company to accelerate an active software development project with potential to expand SaaS revenues associated with an existing customer.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 loan has an annual interest rate of 12.5% and matures on September 1, 2023. Commencing on February 1, 2023, the Borrowers will make monthly installment payments of approximately $270 until the maturity date, consisting of principal and interest sufficient to fully amortize the term loan through the maturity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August 2, 2019, the Company filed suit in Jefferson Circuit Court, Kentucky, against a supplier of the Company’s wholly owned subsidiary, Allure Global Solutions, Inc. (“Allure”) for breach of contract, breach of warranty, and negligence with respect to equipment installations performed by such supplier for an Allure customer. Due to delays on account of the COVID-19 pandemic, this case remains in the early stages of litigation, and, as a result, the outcome of each case is unclear, so the Company is unable to reasonably estimate the possible recovery, or range of recovery, if any.</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The suits filed by and against Allure have been adjoined in the Jefferson Circuit Court, Kentucky in January 2020. An attempt to mediate the litigation is in process as of the filing date of this Report.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notified its insurance company on notice of potential claims and continues to evaluate both the claim made by the customer and potential avenues for recovery against third parties should the customer prevail.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i w:val="1"/>
          <w:iCs w:val="1"/>
          <w:color w:val="auto"/>
        </w:rPr>
        <w:t>Settlement of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individually material settlements during the nine months ended September 30, 2022.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months ended September 30, 2021, (i) the full principal amount of the PPP Loan and the accrued interest of $1,552 were forgiven and recorded as a gain on settlement, (ii) the Company settled repayment obligations tied to an Amended and Restated Seller Note (the “Seller Note”) and related accrued interest for $100, recording a gain on settlement of $1,624, representing $1,538 related to the Seller Note and $86 of related interest thereon, and (iii) the statute of limitations passed related to the remaining liability on a lease abandoned by the Company in 2015, resulting in a gain of $256.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2022, we reported tax liability of $0. As of September 30, 2022, the net deferred tax assets totaled $0 after valuation allowance, consistent with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NOTE 12: WARRANTS</w:t>
            </w:r>
          </w:p>
        </w:tc>
        <w:tc>
          <w:tcPr>
            <w:tcW w:w="3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080" w:type="dxa"/>
            <w:vAlign w:val="bottom"/>
            <w:gridSpan w:val="2"/>
          </w:tcPr>
          <w:p>
            <w:pPr>
              <w:ind w:left="660"/>
              <w:spacing w:after="0"/>
              <w:rPr>
                <w:sz w:val="20"/>
                <w:szCs w:val="20"/>
                <w:color w:val="auto"/>
              </w:rPr>
            </w:pPr>
            <w:r>
              <w:rPr>
                <w:rFonts w:ascii="Arial" w:cs="Arial" w:eastAsia="Arial" w:hAnsi="Arial"/>
                <w:sz w:val="18"/>
                <w:szCs w:val="18"/>
                <w:color w:val="auto"/>
              </w:rPr>
              <w:t>A summary of outstanding warrants is included below:</w:t>
            </w: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Warrants (Equity)</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2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4,103,211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Warrants issued</w:t>
            </w:r>
          </w:p>
        </w:tc>
        <w:tc>
          <w:tcPr>
            <w:tcW w:w="3620" w:type="dxa"/>
            <w:vAlign w:val="bottom"/>
            <w:gridSpan w:val="3"/>
          </w:tcPr>
          <w:p>
            <w:pPr>
              <w:jc w:val="right"/>
              <w:ind w:right="150"/>
              <w:spacing w:after="0"/>
              <w:rPr>
                <w:sz w:val="20"/>
                <w:szCs w:val="20"/>
                <w:color w:val="auto"/>
              </w:rPr>
            </w:pPr>
            <w:r>
              <w:rPr>
                <w:rFonts w:ascii="Arial" w:cs="Arial" w:eastAsia="Arial" w:hAnsi="Arial"/>
                <w:sz w:val="18"/>
                <w:szCs w:val="18"/>
                <w:color w:val="auto"/>
              </w:rPr>
              <w:t>5,851,505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3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(5,851,505)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Warrants expired</w:t>
            </w:r>
          </w:p>
        </w:tc>
        <w:tc>
          <w:tcPr>
            <w:tcW w:w="3620" w:type="dxa"/>
            <w:vAlign w:val="bottom"/>
            <w:gridSpan w:val="3"/>
          </w:tcPr>
          <w:p>
            <w:pPr>
              <w:jc w:val="right"/>
              <w:ind w:right="90"/>
              <w:spacing w:after="0"/>
              <w:rPr>
                <w:sz w:val="20"/>
                <w:szCs w:val="20"/>
                <w:color w:val="auto"/>
              </w:rPr>
            </w:pPr>
            <w:r>
              <w:rPr>
                <w:rFonts w:ascii="Arial" w:cs="Arial" w:eastAsia="Arial" w:hAnsi="Arial"/>
                <w:sz w:val="18"/>
                <w:szCs w:val="18"/>
                <w:color w:val="auto"/>
              </w:rPr>
              <w:t>(196,079)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reclassified</w:t>
            </w:r>
          </w:p>
        </w:tc>
        <w:tc>
          <w:tcPr>
            <w:tcW w:w="2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13,761,000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Balance September 30, 2022</w:t>
            </w:r>
          </w:p>
        </w:tc>
        <w:tc>
          <w:tcPr>
            <w:tcW w:w="2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17,668,132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700" w:type="dxa"/>
            <w:vAlign w:val="bottom"/>
            <w:tcBorders>
              <w:bottom w:val="single" w:sz="8" w:color="auto"/>
            </w:tcBorders>
            <w:gridSpan w:val="5"/>
          </w:tcPr>
          <w:p>
            <w:pPr>
              <w:jc w:val="center"/>
              <w:ind w:left="1030"/>
              <w:spacing w:after="0"/>
              <w:rPr>
                <w:sz w:val="20"/>
                <w:szCs w:val="20"/>
                <w:color w:val="auto"/>
              </w:rPr>
            </w:pPr>
            <w:r>
              <w:rPr>
                <w:rFonts w:ascii="Arial" w:cs="Arial" w:eastAsia="Arial" w:hAnsi="Arial"/>
                <w:sz w:val="18"/>
                <w:szCs w:val="18"/>
                <w:b w:val="1"/>
                <w:bCs w:val="1"/>
                <w:color w:val="auto"/>
                <w:w w:val="96"/>
              </w:rPr>
              <w:t>Warrants (Liability)</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2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Warrants issued</w:t>
            </w:r>
          </w:p>
        </w:tc>
        <w:tc>
          <w:tcPr>
            <w:tcW w:w="3620" w:type="dxa"/>
            <w:vAlign w:val="bottom"/>
            <w:gridSpan w:val="3"/>
          </w:tcPr>
          <w:p>
            <w:pPr>
              <w:jc w:val="right"/>
              <w:ind w:right="150"/>
              <w:spacing w:after="0"/>
              <w:rPr>
                <w:sz w:val="20"/>
                <w:szCs w:val="20"/>
                <w:color w:val="auto"/>
              </w:rPr>
            </w:pPr>
            <w:r>
              <w:rPr>
                <w:rFonts w:ascii="Arial" w:cs="Arial" w:eastAsia="Arial" w:hAnsi="Arial"/>
                <w:sz w:val="18"/>
                <w:szCs w:val="18"/>
                <w:color w:val="auto"/>
              </w:rPr>
              <w:t>13,761,000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expired</w:t>
            </w:r>
          </w:p>
        </w:tc>
        <w:tc>
          <w:tcPr>
            <w:tcW w:w="36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Warrants reclassified</w:t>
            </w:r>
          </w:p>
        </w:tc>
        <w:tc>
          <w:tcPr>
            <w:tcW w:w="3620" w:type="dxa"/>
            <w:vAlign w:val="bottom"/>
            <w:gridSpan w:val="3"/>
          </w:tcPr>
          <w:p>
            <w:pPr>
              <w:jc w:val="right"/>
              <w:ind w:right="90"/>
              <w:spacing w:after="0"/>
              <w:rPr>
                <w:sz w:val="20"/>
                <w:szCs w:val="20"/>
                <w:color w:val="auto"/>
              </w:rPr>
            </w:pPr>
            <w:r>
              <w:rPr>
                <w:rFonts w:ascii="Arial" w:cs="Arial" w:eastAsia="Arial" w:hAnsi="Arial"/>
                <w:sz w:val="18"/>
                <w:szCs w:val="18"/>
                <w:color w:val="auto"/>
              </w:rPr>
              <w:t>(13,761,000)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22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23</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8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4" w:name="page25"/>
    <w:bookmarkEnd w:id="24"/>
    <w:p>
      <w:pPr>
        <w:jc w:val="both"/>
        <w:ind w:firstLine="648"/>
        <w:spacing w:after="0" w:line="284" w:lineRule="auto"/>
        <w:rPr>
          <w:sz w:val="20"/>
          <w:szCs w:val="20"/>
          <w:color w:val="auto"/>
        </w:rPr>
      </w:pPr>
      <w:r>
        <w:rPr>
          <w:rFonts w:ascii="Arial" w:cs="Arial" w:eastAsia="Arial" w:hAnsi="Arial"/>
          <w:sz w:val="16"/>
          <w:szCs w:val="16"/>
          <w:color w:val="auto"/>
        </w:rPr>
        <w:t>On February 3, 2022, the Company entered into a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estimated offering expenses payable by the Company. During the three months ended March 31, 2022, each of the Pre-Funded Warrants were exercised. The Common Stock Warrants expired five years from the date of issuance. The Company evaluated the Pre-Funded Warrants and concluded that they met the criteria to be classified within stockholders’ equity, with proceeds recorded as common stock and additional paid-in-capital. The Company evaluated the Common Stock Warrant and concluded they did not meet the criteria to be classified within stockholders’ equity. The Common Stock Warrant included provisions which could result in a different settlement value for the Common Stock Warrant depending on the registration status of the underlying shares. Because these conditions were not an input into the pricing of a fixed-for-fixed option on the Company’s ordinary shares, the Common Stock Warrant was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warrants, resulting in a fair value of $1.0927 per warrant. At June 30, 2022, the Company reassessed the fair value of these warrants via Black Scholes valuation methodology and determined that the fair value of these warrants was $0.4019 per warrant, resulting in the Company recording a gain on the fair value of these warrants of $4,951 in the Condensed Consolidated Statement of Operations for the nine months ended September 30, 2022, respectively.</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February 17, 2022, in connection with the Credit Agreement with Slipstream, the Company issued to Slipstream 5,194,495 warrants with an exercise price of $2.00 per share, which expire five years from the date of issuance (the “Lender Warrant”). These warrants are not exercisable until 180 days after the issuance date. The common shares underlying these warrants have not yet been registered for resale under the Securities Act of 1933, which provides Slipstream with an option for cashless exercise once the warrant becomes exercisable until such time as such registration occurs. The Lender Warrant expired five years from the date of issuance. The Company evaluated the Lender Warrant and concluded that it did not meet the criteria to be classified within stockholders’ equity. The Lender Warrant included provisions that could result in a different settlement value for the Lender Warrant depending on the registration status of the underlying shares. Because these conditions were not an input into the pricing of a fixed-for-fixed option on the Company’s ordinary shares, the Lender Warrant was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warrants, resulting in a fair value of $0.8129 per warrant. In recording the warrant liability, the Company recorded an increase in debt discount in the Condensed Consolidated Balance Sheet associated with the issuance of the warrants of $4,223, which is being amortized through interest expense in the Condensed Consolidated Statement of Operations over the life of the Acquisition and Consolidation Term Loans. At June 30, 2022, the Company reassessed the fair value of these warrants via Black Scholes valuation methodology and determined that the fair value of these warrants was $0.3699 per warrant, resulting in the Company recording a gain on the fair value of these warrants of $2,302 in the Condensed Consolidated Statement of Operations for the nine months ended September 30, 2022,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jc w:val="both"/>
        <w:ind w:firstLine="648"/>
        <w:spacing w:after="0" w:line="268" w:lineRule="auto"/>
        <w:rPr>
          <w:sz w:val="20"/>
          <w:szCs w:val="20"/>
          <w:color w:val="auto"/>
        </w:rPr>
      </w:pPr>
      <w:r>
        <w:rPr>
          <w:rFonts w:ascii="Arial" w:cs="Arial" w:eastAsia="Arial" w:hAnsi="Arial"/>
          <w:sz w:val="17"/>
          <w:szCs w:val="17"/>
          <w:color w:val="auto"/>
        </w:rPr>
        <w:t>On February 17, 2022,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 to purchase 1,400,000 shares of Company common stock in an at-the-market offering under Nasdaq rules. The number of shares of Company common stock subject to the Purchaser Warrant is equal to the waiver fee ($175) divided by $0.125 per share. The exercise price of the Purchaser Warrant is $1.41 per share, and the Purchaser Warrant is not exercisable until August 17, 2022. The Purchaser Warrant expired five years from the date of issuance. The Company evaluated the Purchaser Warrant and concluded that it did not meet the criteria to be classified within stockholders’ equity. The Purchaser Warrant included provisions which could result in a different settlement value for the Purchaser Warrant depending on the registration status of the underlying shares. Because these conditions were not an input into the pricing of a fixed-for-fixed option on the Company’s ordinary shares, the Purchaser Warrant was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Purchaser Warrant, resulting in a fair value of $0.8656 per warrant. In recording the warrant liability, the Company recorded an expense in the Condensed Consolidated Statement of Operations associated with the issuance of the Purchaser Warrant of $1,211. At June 30, 2022, the Company reassessed the fair value of the Purchase Warrant via Black Scholes valuation methodology and determined that the fair value of the Purchaser Warrant was $0.4017 per warrant, resulting in the Company recording a gain on the fair value of the Purchaser Warrant of $650 in the Condensed Consolidated Statement of Operations for the nine months ended September 30, 2022, respectively.</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June 30, 2022, the Company amended the terms of the Common Stock Warrant (7,166,505 warrants), Lender Warrant (5,194,495 warrants) and Purchaser Warrant (1,400,000 warrants). The amendments to such warrants removes the holder’s option to determine the value of such warrants utilizing the volume weighted average price (“VWAP”) of the Company’s common stock on the trading day immediately preceding the date of a notice in a cashless exercise, and removes the condition to exercising such warrants that the Company’s shareholders approve the exercise thereof (which has already been obtained). The amendments to the warrants also extend the term of such warrants for an additional one year, such that the Common Stock Warrant will expire on February 3, 2028, and the Lender Warrant and Purchaser Warrant will expire on February 17, 2028.</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of the extension in term provided in exchange for the amendment, the Company reassessed the fair value of each of the Common Stock, Lender and Purchaser Warrants, resulting in the Company recording a loss on the fair value of these warrants of $345 in the Condensed Consolidated Statement of Operations for the nine months ended September 30, 2022. The foregoing amendments to the warrants resulted in such warrants to be accounted for as equity instruments on the Company’s financial statements as of June 30, 2022. As such, following recording the gains and losses with respect to these warrant amendments, the Company reclassified the warrant liability of $5,709 from noncurrent liabilities to additional paid-in-capital as of June 30, 2022. These amounts are reflected as additional paid-in-capital in the Condensed Consolidated Balance Sheet as of September 30,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NOTE 13: STOCK-BASED COMPENSATION</w:t>
            </w:r>
          </w:p>
        </w:tc>
        <w:tc>
          <w:tcPr>
            <w:tcW w:w="9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4620" w:type="dxa"/>
            <w:vAlign w:val="bottom"/>
            <w:gridSpan w:val="3"/>
          </w:tcPr>
          <w:p>
            <w:pPr>
              <w:ind w:left="660"/>
              <w:spacing w:after="0"/>
              <w:rPr>
                <w:sz w:val="20"/>
                <w:szCs w:val="20"/>
                <w:color w:val="auto"/>
              </w:rPr>
            </w:pPr>
            <w:r>
              <w:rPr>
                <w:rFonts w:ascii="Arial" w:cs="Arial" w:eastAsia="Arial" w:hAnsi="Arial"/>
                <w:sz w:val="18"/>
                <w:szCs w:val="18"/>
                <w:color w:val="auto"/>
                <w:w w:val="93"/>
              </w:rPr>
              <w:t>A summary of outstanding options is included below:</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Time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29"/>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366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$1.00</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$1.01 - $2.00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16,667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30"/>
        </w:trPr>
        <w:tc>
          <w:tcPr>
            <w:tcW w:w="36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1,963,675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1,320,342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1,988,675</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1,337,009</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Performance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366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$1.00</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$1.01 - $2.00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720,000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240,000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Market Vesting Options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560"/>
              <w:spacing w:after="0"/>
              <w:rPr>
                <w:sz w:val="20"/>
                <w:szCs w:val="20"/>
                <w:color w:val="auto"/>
              </w:rPr>
            </w:pPr>
            <w:r>
              <w:rPr>
                <w:rFonts w:ascii="Arial" w:cs="Arial" w:eastAsia="Arial" w:hAnsi="Arial"/>
                <w:sz w:val="18"/>
                <w:szCs w:val="18"/>
                <w:b w:val="1"/>
                <w:bCs w:val="1"/>
                <w:color w:val="auto"/>
              </w:rPr>
              <w:t>Range of Exercise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3280" w:type="dxa"/>
            <w:vAlign w:val="bottom"/>
            <w:gridSpan w:val="2"/>
          </w:tcPr>
          <w:p>
            <w:pPr>
              <w:ind w:left="1680"/>
              <w:spacing w:after="0"/>
              <w:rPr>
                <w:sz w:val="20"/>
                <w:szCs w:val="20"/>
                <w:color w:val="auto"/>
              </w:rPr>
            </w:pPr>
            <w:r>
              <w:rPr>
                <w:rFonts w:ascii="Arial" w:cs="Arial" w:eastAsia="Arial" w:hAnsi="Arial"/>
                <w:sz w:val="18"/>
                <w:szCs w:val="18"/>
                <w:b w:val="1"/>
                <w:bCs w:val="1"/>
                <w:color w:val="auto"/>
              </w:rPr>
              <w:t>Prices between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Outstanding</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jc w:val="center"/>
              <w:ind w:left="1270"/>
              <w:spacing w:after="0"/>
              <w:rPr>
                <w:sz w:val="20"/>
                <w:szCs w:val="20"/>
                <w:color w:val="auto"/>
              </w:rPr>
            </w:pPr>
            <w:r>
              <w:rPr>
                <w:rFonts w:ascii="Arial" w:cs="Arial" w:eastAsia="Arial" w:hAnsi="Arial"/>
                <w:sz w:val="18"/>
                <w:szCs w:val="18"/>
                <w:color w:val="auto"/>
                <w:w w:val="90"/>
              </w:rPr>
              <w:t>$0.01 - $1.00</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ind w:left="1270"/>
              <w:spacing w:after="0"/>
              <w:rPr>
                <w:sz w:val="20"/>
                <w:szCs w:val="20"/>
                <w:color w:val="auto"/>
              </w:rPr>
            </w:pPr>
            <w:r>
              <w:rPr>
                <w:rFonts w:ascii="Arial" w:cs="Arial" w:eastAsia="Arial" w:hAnsi="Arial"/>
                <w:sz w:val="18"/>
                <w:szCs w:val="18"/>
                <w:color w:val="auto"/>
                <w:w w:val="90"/>
              </w:rPr>
              <w:t>$1.01 - $2.00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9"/>
              </w:rPr>
              <w:t>$2.01+</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1,900,000</w:t>
            </w: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Arial" w:cs="Arial" w:eastAsia="Arial" w:hAnsi="Arial"/>
                <w:sz w:val="18"/>
                <w:szCs w:val="18"/>
                <w:b w:val="1"/>
                <w:bCs w:val="1"/>
                <w:i w:val="1"/>
                <w:iCs w:val="1"/>
                <w:color w:val="auto"/>
              </w:rPr>
              <w:t>Performance Vesting</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7"/>
          </w:tcPr>
          <w:p>
            <w:pPr>
              <w:jc w:val="right"/>
              <w:ind w:right="620"/>
              <w:spacing w:after="0"/>
              <w:rPr>
                <w:sz w:val="20"/>
                <w:szCs w:val="20"/>
                <w:color w:val="auto"/>
              </w:rPr>
            </w:pPr>
            <w:r>
              <w:rPr>
                <w:rFonts w:ascii="Arial" w:cs="Arial" w:eastAsia="Arial" w:hAnsi="Arial"/>
                <w:sz w:val="18"/>
                <w:szCs w:val="18"/>
                <w:b w:val="1"/>
                <w:bCs w:val="1"/>
                <w:i w:val="1"/>
                <w:iCs w:val="1"/>
                <w:color w:val="auto"/>
              </w:rPr>
              <w:t>Market Vesting Options</w:t>
            </w:r>
          </w:p>
        </w:tc>
        <w:tc>
          <w:tcPr>
            <w:tcW w:w="2680" w:type="dxa"/>
            <w:vAlign w:val="bottom"/>
            <w:gridSpan w:val="6"/>
          </w:tcPr>
          <w:p>
            <w:pPr>
              <w:jc w:val="right"/>
              <w:ind w:right="660"/>
              <w:spacing w:after="0"/>
              <w:rPr>
                <w:sz w:val="20"/>
                <w:szCs w:val="20"/>
                <w:color w:val="auto"/>
              </w:rPr>
            </w:pPr>
            <w:r>
              <w:rPr>
                <w:rFonts w:ascii="Arial" w:cs="Arial" w:eastAsia="Arial" w:hAnsi="Arial"/>
                <w:sz w:val="18"/>
                <w:szCs w:val="18"/>
                <w:b w:val="1"/>
                <w:bCs w:val="1"/>
                <w:i w:val="1"/>
                <w:iCs w:val="1"/>
                <w:color w:val="auto"/>
              </w:rPr>
              <w:t>Time Vesting Options</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40" w:type="dxa"/>
            <w:vAlign w:val="bottom"/>
          </w:tcPr>
          <w:p>
            <w:pPr>
              <w:spacing w:after="0"/>
              <w:rPr>
                <w:sz w:val="19"/>
                <w:szCs w:val="19"/>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3280" w:type="dxa"/>
            <w:vAlign w:val="bottom"/>
            <w:gridSpan w:val="2"/>
          </w:tcPr>
          <w:p>
            <w:pPr>
              <w:ind w:left="1080"/>
              <w:spacing w:after="0"/>
              <w:rPr>
                <w:sz w:val="20"/>
                <w:szCs w:val="20"/>
                <w:color w:val="auto"/>
              </w:rPr>
            </w:pPr>
            <w:r>
              <w:rPr>
                <w:rFonts w:ascii="Arial" w:cs="Arial" w:eastAsia="Arial" w:hAnsi="Arial"/>
                <w:sz w:val="18"/>
                <w:szCs w:val="18"/>
                <w:b w:val="1"/>
                <w:bCs w:val="1"/>
                <w:color w:val="auto"/>
              </w:rPr>
              <w:t>Date/Activity</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40" w:type="dxa"/>
            <w:vAlign w:val="bottom"/>
          </w:tcPr>
          <w:p>
            <w:pPr>
              <w:spacing w:after="0"/>
              <w:rPr>
                <w:sz w:val="20"/>
                <w:szCs w:val="20"/>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Outstanding</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2,068,809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1,900,000</w:t>
            </w:r>
          </w:p>
        </w:tc>
        <w:tc>
          <w:tcPr>
            <w:tcW w:w="12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1.00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(80,134)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3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1,900,000</w:t>
            </w:r>
          </w:p>
        </w:tc>
        <w:tc>
          <w:tcPr>
            <w:tcW w:w="120" w:type="dxa"/>
            <w:vAlign w:val="bottom"/>
            <w:shd w:val="clear" w:color="auto" w:fill="CCEEFF"/>
          </w:tcPr>
          <w:p>
            <w:pPr>
              <w:spacing w:after="0"/>
              <w:rPr>
                <w:sz w:val="2"/>
                <w:szCs w:val="2"/>
                <w:color w:val="auto"/>
              </w:rPr>
            </w:pPr>
          </w:p>
        </w:tc>
        <w:tc>
          <w:tcPr>
            <w:tcW w:w="1400" w:type="dxa"/>
            <w:vAlign w:val="bottom"/>
            <w:tcBorders>
              <w:right w:val="single" w:sz="8" w:color="CCEEFF"/>
            </w:tcBorders>
            <w:gridSpan w:val="4"/>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gridSpan w:val="2"/>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4"/>
            <w:vMerge w:val="continue"/>
            <w:shd w:val="clear" w:color="auto" w:fill="CCEEFF"/>
          </w:tcPr>
          <w:p>
            <w:pPr>
              <w:spacing w:after="0"/>
              <w:rPr>
                <w:sz w:val="21"/>
                <w:szCs w:val="21"/>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1,988,675</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7.0 years as of September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 to Performance Options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1, 2020, Rick Mills, CEO, and Will Logan, CFO, were issued ten-year options to purchase 480,000 and 240,000 shares of common stock (the “Performance Options”), respectively, which vest in equal installments over a three-year period (2020-2022), subject to satisfying the Company revenue target and EBITDA (earnings before interest, taxes, depreciation and amortization) targets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The Performance Options includes a catch-up provision, where any options that did not vest during a prior year due to the Company’s failure to meet a prior revenue or EBITDA target may vest in a subsequent vesting year if the revenue or EBITDA target, as applicable, is met in the future year.</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15, 2022, the Board approved of an amendment to the Performance Options to provide that the revenue target for the calendar year 2022 set forth therein ($38,000) is eliminated, and the remaining shares that are available for vesting under the Performance Options (320,000 unvested shares for Mr. Mills and 160,000 for Mr. Logan) (including the unvested portions of shares based on the satisfaction of the revenue targets for 2020 and 2021 by virtue of the catch-up provisions in the Performance Options) will fully vest upon the achievement of an updated EBITDA target for calendar year 2022 of $3,600.</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Performance Options state that the calculation of EBITDA set forth in the Performance Options shall be calculated in a form consistent with the Company’s 2022 approved budget, which</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any impact on EBITDA of:</w:t>
      </w:r>
    </w:p>
    <w:p>
      <w:pPr>
        <w:spacing w:after="0" w:line="225" w:lineRule="exact"/>
        <w:rPr>
          <w:rFonts w:ascii="Arial" w:cs="Arial" w:eastAsia="Arial" w:hAnsi="Arial"/>
          <w:sz w:val="18"/>
          <w:szCs w:val="18"/>
          <w:color w:val="auto"/>
        </w:rPr>
      </w:pPr>
    </w:p>
    <w:p>
      <w:pPr>
        <w:ind w:left="660" w:firstLine="644"/>
        <w:spacing w:after="0" w:line="277" w:lineRule="auto"/>
        <w:tabs>
          <w:tab w:leader="none" w:pos="155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accounting treatment (including any “mark-to-market accounting”) of the Company’s warrants or the “Guaranteed Consideration” (as defined in the Merger Agreement),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606" w:val="left"/>
        </w:tabs>
        <w:numPr>
          <w:ilvl w:val="1"/>
          <w:numId w:val="8"/>
        </w:numPr>
        <w:rPr>
          <w:rFonts w:ascii="Arial" w:cs="Arial" w:eastAsia="Arial" w:hAnsi="Arial"/>
          <w:sz w:val="18"/>
          <w:szCs w:val="18"/>
          <w:color w:val="auto"/>
        </w:rPr>
      </w:pPr>
      <w:r>
        <w:rPr>
          <w:rFonts w:ascii="Arial" w:cs="Arial" w:eastAsia="Arial" w:hAnsi="Arial"/>
          <w:sz w:val="18"/>
          <w:szCs w:val="18"/>
          <w:color w:val="auto"/>
        </w:rPr>
        <w:t>non-recurring transaction expenses associated with the Merger and the capital raising financing activities of the Company to effectuate the Merger,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1540" w:hanging="236"/>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write-down or write-off of any Company inventory of Safe Space Solutions products.</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9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deductions related to any cash or stock bonuses paid or payable to any employees of the Company for services provided in calendar year 2022 (even if such bonuses are actually paid after calendar year 2022), including bonuses paid pursuant to the terms of the 2022 Cash Bonus Plan (as described below) (collectively, the “EBITDA Calculations”).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exercise price of the foregoing options is $2.53 per share, the closing price of the Company’s common stock on the date of issuance. The options were issued from the 2014 Stock Incentive Plan. The fair value of the options on the grant date was $1.87 and was determined using the Black-Scholes model. These values were calculated using the same weighted average assumptions as the time vesting options issued. Performance against the identified EBITDA target is assessed quarterly by the Company in order to determine whether any compensation expense should be recorded.</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three and nine months ended September 30, 2022, the Company deemed it probable that the Company would achieve the EBITDA target for calendar year 2022 and recorded compensation expense in the Condensed Consolidated Statement of Operations with respect to these awards of $225 and $624, respectively, net of a benefit of $50 recorded for forfeiture of awards for the nine months ended September 30, 2022. The remaining awards have not yet vested and are subject to actual results for the full calendar year 2022. Should this target not be achieved, amounts recorded as expense in the Condensed Consolidated Statement of Operations would be reversed.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of New 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15, 2022, Messrs. Mills and Logan received ten-year options to purchase 1,000,000 and 600,000 shares of common stock, respectively (the “New Options”). The New Options are eligible to vest at any time on or prior to February 17, 2025 if the trailing 10-trading day volume-weighted average price (“VWAP”) of the Company’s common stock, as reported on the Nasdaq Capital Market, exceeds the share price targets below, subject to such executive serving the Company as a director, officer, employee or consultant at such time: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Share Price Targets</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9"/>
              </w:rPr>
              <w:t>Guaranteed</w:t>
            </w:r>
          </w:p>
        </w:tc>
        <w:tc>
          <w:tcPr>
            <w:tcW w:w="260" w:type="dxa"/>
            <w:vAlign w:val="bottom"/>
          </w:tcPr>
          <w:p>
            <w:pPr>
              <w:spacing w:after="0"/>
              <w:rPr>
                <w:sz w:val="17"/>
                <w:szCs w:val="17"/>
                <w:color w:val="auto"/>
              </w:rPr>
            </w:pPr>
          </w:p>
        </w:tc>
        <w:tc>
          <w:tcPr>
            <w:tcW w:w="10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Total</w:t>
            </w:r>
          </w:p>
        </w:tc>
      </w:tr>
      <w:tr>
        <w:trPr>
          <w:trHeight w:val="241"/>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$2.00</w:t>
            </w:r>
          </w:p>
        </w:tc>
        <w:tc>
          <w:tcPr>
            <w:tcW w:w="2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26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$4.00</w:t>
            </w:r>
          </w:p>
        </w:tc>
        <w:tc>
          <w:tcPr>
            <w:tcW w:w="2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2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$6.00</w:t>
            </w:r>
          </w:p>
        </w:tc>
        <w:tc>
          <w:tcPr>
            <w:tcW w:w="2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Price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Mills Shares Vested</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Logan Shares Vested</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30,000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90,000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120,000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150,000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Percentage of Shares Vested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“Guaranteed Price” has the meaning ascribed to such term in the Merger Agreement, which means $6.40 per share, or $7.20 per share if, and only if, certain customers set forth in the Merger Agreement collectively achieve over 85,000 billable devices online at any time on or before December 31, 2022.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exercise price of the New Options is $1.00 per share, which exceeds the closing price of the Company’s common stock on the date of issuance. The New Options are issued from the Company’s 2014 Stock Incentive Plan, as amended. An additional 300,000 options with identical market vesting restrictions were issued to non-executives during the nine months ended September 30,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color w:val="auto"/>
        </w:rPr>
        <w:t>The fair value of the options on the grant date varied between $0.21 and $0.37 per award as determined using the Monte Carlo model. These values were calculated using the following weighted 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term</w:t>
            </w:r>
          </w:p>
        </w:tc>
        <w:tc>
          <w:tcPr>
            <w:tcW w:w="5180" w:type="dxa"/>
            <w:vAlign w:val="bottom"/>
          </w:tcPr>
          <w:p>
            <w:pPr>
              <w:jc w:val="right"/>
              <w:ind w:right="70"/>
              <w:spacing w:after="0"/>
              <w:rPr>
                <w:sz w:val="20"/>
                <w:szCs w:val="20"/>
                <w:color w:val="auto"/>
              </w:rPr>
            </w:pPr>
            <w:r>
              <w:rPr>
                <w:rFonts w:ascii="Arial" w:cs="Arial" w:eastAsia="Arial" w:hAnsi="Arial"/>
                <w:sz w:val="18"/>
                <w:szCs w:val="18"/>
                <w:color w:val="auto"/>
              </w:rPr>
              <w:t>2.68 years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September 30, 2022, the Company evaluated the probability of achieving the share price targets in each tranche based, in part, on work performed by the Company’s third party valuation specialist in conjunction with evaluating the equity guarantee contingent liability. As a result of that evaluation of probability, during the three and nine months ended September 30, 2022 the Company recorded $3 and $4 of compensation expense, respectively. These awards have not yet vested and are subject to actual share price performance through February 2025. Should any target not be achieved, any amounts recorded as expense in the Condensed Consolidated Statement of Operations related to that tranche would be reversed.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1,720,000 shares for purchase by the Company’s employees and under the Amended and Restated 2006 Non-Employee Director Stock Option Plan the Company reserved 700,000 shares for purchase by the Company’s employees. There are 12,001 options outstanding under the 2006 Equity Incentive Plan.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Compensation expense recognized for the issuance of stock options, inclusive of stock options subject to both performance and market conditions for vesting, for the three and nine months ended September 30, 2022 of $538 and $1,487, respectively, was included in general and administrative expense in the Condensed Consolidated Financial Statements. Compensation expense recognized for the issuance of stock options, inclusive of stock options subject to both performance and market conditions for vesting, for the three and nine months ended September 30, 2021 of $331 and $1,177, respectively, was included in general and administrative expense in the Condensed Consolidated Financial Statements. Amounts recorded include stock compensation expense for awards granted to directors of the Company in exchange for services at fair value.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ind w:firstLine="648"/>
        <w:spacing w:after="0" w:line="255" w:lineRule="auto"/>
        <w:rPr>
          <w:sz w:val="20"/>
          <w:szCs w:val="20"/>
          <w:color w:val="auto"/>
        </w:rPr>
      </w:pPr>
      <w:r>
        <w:rPr>
          <w:rFonts w:ascii="Arial" w:cs="Arial" w:eastAsia="Arial" w:hAnsi="Arial"/>
          <w:sz w:val="18"/>
          <w:szCs w:val="18"/>
          <w:color w:val="auto"/>
        </w:rPr>
        <w:t>As of September 30, 2022, there was approximately $685, $477, and $225 of total unrecognized compensation expense related to unvested share-based employee awards with time vesting, market, and performance vesting criteria, respectively. As of September 30, 2021, there was approximately $1,609 and $1,078 of total unrecognized compensation expense related to unvested share-based awards with time vesting and performance vesting criteria, respectively. Generally, expense related to the time vesting options will be recognized over the next two- and one-half years and will be adjusted for any future forfeitures as they occur. Compensation expense related to performance vesting options will be recognized if it becomes probable that the Company will achieve the identified performance metrics.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Awards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engages certain consultants to perform services in exchange for Company common stock. Shares issued for services were calculated based on the ten (10) day volume weighted average price (“VWAP”) for the last ten (10) days during the month of service provided.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nine months ended September 30, 2022, the Company issued or accrued shares issuable in exchange for services in the amount of $30 and $100, respectively. During the three and nine months ended September 30, 2021, the Company issued or accrued shares issuable in exchange for services in the amount of $30 and $70,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SIGNIFICANT CUSTOMERS/VENDORS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(2) and two (2) customers that in the aggregate accounted for 27.5% and 41.1% of accounts receivable as of September 30, 2022 and December 31, 2021,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had two (2) and two (2) customer that accounted for 36.1% and 45.9% of revenue for the three months ended September 30, 2022, and 2021, respectively. We had three (3) and two (2) customer that accounted for 49.2% and 40.1% of revenue for the nine months ended September 30,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(2) and three (3) vendors that accounted for 46.2% and 69.1% of outstanding accounts payable at September 30, 2022 and December 31,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various non-cancelable operating lease agreements for certain of our offices and office equipment. Our leases have original lease periods expiring between 2022 and 2027. Many leases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right"/>
        <w:ind w:right="1840"/>
        <w:spacing w:after="0"/>
        <w:rPr>
          <w:sz w:val="20"/>
          <w:szCs w:val="20"/>
          <w:color w:val="auto"/>
        </w:rPr>
      </w:pPr>
      <w:r>
        <w:rPr>
          <w:rFonts w:ascii="Arial" w:cs="Arial" w:eastAsia="Arial" w:hAnsi="Arial"/>
          <w:sz w:val="17"/>
          <w:szCs w:val="17"/>
          <w:color w:val="auto"/>
        </w:rPr>
        <w:t>The components of lease costs, lease term and discount rate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83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Nine Months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20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r>
      <w:tr>
        <w:trPr>
          <w:trHeight w:val="418"/>
        </w:trPr>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250"/>
        </w:trPr>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80" w:space="720"/>
            <w:col w:w="2640"/>
          </w:cols>
          <w:pgMar w:left="320" w:top="881"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3.3 years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 years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418"/>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The following is a schedule, by years, of maturities of lease liabilities as of September 30, 2022: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8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The remainder of 2022</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undiscounted cash flows</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2,053</w:t>
            </w:r>
          </w:p>
        </w:tc>
        <w:tc>
          <w:tcPr>
            <w:tcW w:w="100" w:type="dxa"/>
            <w:vAlign w:val="bottom"/>
            <w:tcBorders>
              <w:top w:val="single" w:sz="8" w:color="CCEEFF"/>
            </w:tcBorders>
          </w:tcPr>
          <w:p>
            <w:pPr>
              <w:spacing w:after="0"/>
              <w:rPr>
                <w:sz w:val="17"/>
                <w:szCs w:val="17"/>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Present value of lease liabilities</w:t>
            </w: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1,836</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are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Nine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September 30,</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 net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655"/>
        </w:trPr>
        <w:tc>
          <w:tcPr>
            <w:tcW w:w="85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2021 as filed with the Securities and Exchange Commission on March 22, 2022.</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Creative Realities, Inc. (“Creative Realities,” “we,” “us,” or the “Company”) transforms environments through digital solutions by providing innovative digital signage solutions for key market segments and use cases, including: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Entertainment and Sports 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Restaurants, including quick-serve restaurants (“QSR”)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Convenience Stores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Automotive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Medical and Healthcare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Mixed Use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Communications, Employee Experience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Digital out of Home (DOOH) Advertising Networks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ind w:firstLine="648"/>
        <w:spacing w:after="0" w:line="263" w:lineRule="auto"/>
        <w:rPr>
          <w:sz w:val="20"/>
          <w:szCs w:val="20"/>
          <w:color w:val="auto"/>
        </w:rPr>
      </w:pPr>
      <w:r>
        <w:rPr>
          <w:rFonts w:ascii="Arial" w:cs="Arial" w:eastAsia="Arial" w:hAnsi="Arial"/>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8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brand awareness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customer support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Enhanced employee productivity and satisfaction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revenue and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guest experience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customer/guest engagement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patient outcomes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Through a combination of organically grown platforms and a series of strategic acquisitions, including our recent acquisition of Reflect Systems, Inc. in February 2022, the Company assist clients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comparing Creative Realities to other digital signage providers, our customers value the following competitive advantages:</w:t>
      </w:r>
    </w:p>
    <w:p>
      <w:pPr>
        <w:spacing w:after="0" w:line="221" w:lineRule="exact"/>
        <w:rPr>
          <w:sz w:val="20"/>
          <w:szCs w:val="20"/>
          <w:color w:val="auto"/>
        </w:rPr>
      </w:pPr>
    </w:p>
    <w:p>
      <w:pPr>
        <w:jc w:val="both"/>
        <w:ind w:left="980" w:hanging="324"/>
        <w:spacing w:after="0" w:line="26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Breadth of solutions </w:t>
      </w:r>
      <w:r>
        <w:rPr>
          <w:rFonts w:ascii="Arial" w:cs="Arial" w:eastAsia="Arial" w:hAnsi="Arial"/>
          <w:sz w:val="18"/>
          <w:szCs w:val="18"/>
          <w:color w:val="auto"/>
        </w:rPr>
        <w:t>– Creative Realities is one of only a few companies in the industry capable of providing the full portfolio of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required to implement and run an effective digital signage network. We leverage a ‘single vendor’ approach, providing clients with a one-stop-shop for sourcing digital signage solutions from design through day two services.</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Managed labor pool </w:t>
      </w:r>
      <w:r>
        <w:rPr>
          <w:rFonts w:ascii="Arial" w:cs="Arial" w:eastAsia="Arial" w:hAnsi="Arial"/>
          <w:sz w:val="18"/>
          <w:szCs w:val="18"/>
          <w:color w:val="auto"/>
        </w:rPr>
        <w:t>– Unlike most companies in our industry, we have a curated labor pool including thousands of qualified and vetted field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technicians available to service clients quickly nationwide. We can meet tight schedules even in exceptionally large deployments and still ensure quality and consistency.</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In-house creative resources </w:t>
      </w:r>
      <w:r>
        <w:rPr>
          <w:rFonts w:ascii="Arial" w:cs="Arial" w:eastAsia="Arial" w:hAnsi="Arial"/>
          <w:sz w:val="18"/>
          <w:szCs w:val="18"/>
          <w:color w:val="auto"/>
        </w:rPr>
        <w:t>– We assist clients in repurposing existing content for digital signage experiences or creating new content, an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for which the Company has won several design awards in recent years. In each instance, our services can be essential in helping clients develop an effective content program.</w:t>
      </w:r>
    </w:p>
    <w:p>
      <w:pPr>
        <w:spacing w:after="0" w:line="175"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Network scalability and reliability </w:t>
      </w:r>
      <w:r>
        <w:rPr>
          <w:rFonts w:ascii="Arial" w:cs="Arial" w:eastAsia="Arial" w:hAnsi="Arial"/>
          <w:sz w:val="18"/>
          <w:szCs w:val="18"/>
          <w:color w:val="auto"/>
        </w:rPr>
        <w:t>– Our software as a service (“SaaS”) content management platforms power some of the largest and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p>
      <w:pPr>
        <w:spacing w:after="0" w:line="179"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Ad management platform </w:t>
      </w:r>
      <w:r>
        <w:rPr>
          <w:rFonts w:ascii="Arial" w:cs="Arial" w:eastAsia="Arial" w:hAnsi="Arial"/>
          <w:sz w:val="18"/>
          <w:szCs w:val="18"/>
          <w:color w:val="auto"/>
        </w:rPr>
        <w:t>– Our customers are increasingly interested in monetizing their digital signage networks through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jc w:val="both"/>
        <w:ind w:left="980" w:hanging="324"/>
        <w:spacing w:after="0" w:line="289"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Media sales </w:t>
      </w:r>
      <w:r>
        <w:rPr>
          <w:rFonts w:ascii="Arial" w:cs="Arial" w:eastAsia="Arial" w:hAnsi="Arial"/>
          <w:sz w:val="17"/>
          <w:szCs w:val="17"/>
          <w:color w:val="auto"/>
        </w:rPr>
        <w:t>– Few, if any other digital signage solution providers, can offer their clients media sales as a service. We have in-house media</w:t>
      </w:r>
      <w:r>
        <w:rPr>
          <w:rFonts w:ascii="Arial" w:cs="Arial" w:eastAsia="Arial" w:hAnsi="Arial"/>
          <w:sz w:val="17"/>
          <w:szCs w:val="17"/>
          <w:b w:val="1"/>
          <w:bCs w:val="1"/>
          <w:color w:val="auto"/>
        </w:rPr>
        <w:t xml:space="preserve"> </w:t>
      </w:r>
      <w:r>
        <w:rPr>
          <w:rFonts w:ascii="Arial" w:cs="Arial" w:eastAsia="Arial" w:hAnsi="Arial"/>
          <w:sz w:val="17"/>
          <w:szCs w:val="17"/>
          <w:color w:val="auto"/>
        </w:rPr>
        <w:t>sales expertise to elevate conversations with clients interested in better understanding network monetization. We believe this meaningful differentiation in the sales process provides an additional revenue stream to Creative Realities compared to our competitors.</w:t>
      </w:r>
    </w:p>
    <w:p>
      <w:pPr>
        <w:spacing w:after="0" w:line="157" w:lineRule="exact"/>
        <w:rPr>
          <w:rFonts w:ascii="Arial" w:cs="Arial" w:eastAsia="Arial" w:hAnsi="Arial"/>
          <w:sz w:val="17"/>
          <w:szCs w:val="17"/>
          <w:color w:val="auto"/>
        </w:rPr>
      </w:pPr>
    </w:p>
    <w:p>
      <w:pPr>
        <w:jc w:val="both"/>
        <w:ind w:left="980" w:hanging="324"/>
        <w:spacing w:after="0" w:line="303"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Market sector expertise </w:t>
      </w:r>
      <w:r>
        <w:rPr>
          <w:rFonts w:ascii="Arial" w:cs="Arial" w:eastAsia="Arial" w:hAnsi="Arial"/>
          <w:sz w:val="16"/>
          <w:szCs w:val="16"/>
          <w:color w:val="auto"/>
        </w:rPr>
        <w:t>– Creative Realities has in-house experts in key market segments such as automotive, retail, quick-serve restaurants</w:t>
      </w:r>
      <w:r>
        <w:rPr>
          <w:rFonts w:ascii="Arial" w:cs="Arial" w:eastAsia="Arial" w:hAnsi="Arial"/>
          <w:sz w:val="16"/>
          <w:szCs w:val="16"/>
          <w:b w:val="1"/>
          <w:bCs w:val="1"/>
          <w:color w:val="auto"/>
        </w:rPr>
        <w:t xml:space="preserve"> </w:t>
      </w:r>
      <w:r>
        <w:rPr>
          <w:rFonts w:ascii="Arial" w:cs="Arial" w:eastAsia="Arial" w:hAnsi="Arial"/>
          <w:sz w:val="16"/>
          <w:szCs w:val="16"/>
          <w:color w:val="auto"/>
        </w:rPr>
        <w:t>(QSR),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relationships and create thought leadership that drives lead flow and new opportunities for our business.</w:t>
      </w:r>
    </w:p>
    <w:p>
      <w:pPr>
        <w:spacing w:after="0" w:line="150" w:lineRule="exact"/>
        <w:rPr>
          <w:rFonts w:ascii="Arial" w:cs="Arial" w:eastAsia="Arial" w:hAnsi="Arial"/>
          <w:sz w:val="16"/>
          <w:szCs w:val="16"/>
          <w:color w:val="auto"/>
        </w:rPr>
      </w:pPr>
    </w:p>
    <w:p>
      <w:pPr>
        <w:ind w:left="980" w:right="20" w:hanging="324"/>
        <w:spacing w:after="0" w:line="312"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Logistics </w:t>
      </w:r>
      <w:r>
        <w:rPr>
          <w:rFonts w:ascii="Arial" w:cs="Arial" w:eastAsia="Arial" w:hAnsi="Arial"/>
          <w:sz w:val="17"/>
          <w:szCs w:val="17"/>
          <w:color w:val="auto"/>
        </w:rPr>
        <w:t>– Implementing a large digital signage project can be a logistics nightmare that can stall an initiative even before deployment. Our</w:t>
      </w:r>
      <w:r>
        <w:rPr>
          <w:rFonts w:ascii="Arial" w:cs="Arial" w:eastAsia="Arial" w:hAnsi="Arial"/>
          <w:sz w:val="17"/>
          <w:szCs w:val="17"/>
          <w:b w:val="1"/>
          <w:bCs w:val="1"/>
          <w:color w:val="auto"/>
        </w:rPr>
        <w:t xml:space="preserve"> </w:t>
      </w:r>
      <w:r>
        <w:rPr>
          <w:rFonts w:ascii="Arial" w:cs="Arial" w:eastAsia="Arial" w:hAnsi="Arial"/>
          <w:sz w:val="17"/>
          <w:szCs w:val="17"/>
          <w:color w:val="auto"/>
        </w:rPr>
        <w:t>expertise in logistics improves deployment efficiency, reduces delays and problems, and saves customers time and money.</w:t>
      </w:r>
    </w:p>
    <w:p>
      <w:pPr>
        <w:spacing w:after="0" w:line="139" w:lineRule="exact"/>
        <w:rPr>
          <w:rFonts w:ascii="Arial" w:cs="Arial" w:eastAsia="Arial" w:hAnsi="Arial"/>
          <w:sz w:val="17"/>
          <w:szCs w:val="17"/>
          <w:color w:val="auto"/>
        </w:rPr>
      </w:pPr>
    </w:p>
    <w:p>
      <w:pPr>
        <w:jc w:val="both"/>
        <w:ind w:left="980" w:hanging="324"/>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Technical support </w:t>
      </w:r>
      <w:r>
        <w:rPr>
          <w:rFonts w:ascii="Arial" w:cs="Arial" w:eastAsia="Arial" w:hAnsi="Arial"/>
          <w:sz w:val="18"/>
          <w:szCs w:val="18"/>
          <w:color w:val="auto"/>
        </w:rPr>
        <w:t>– Digital signage networks present unique challenges for corporate IT departments. Creative Realities helps simplify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end user support by leveraging our own Network Operations Center (“NOC”) in Louisville, Kentucky. The NOC resolves many issues remotely and when field support is required, it can be dispatched from the NOC, leveraging our managed labor pool to resolve customer issues quickly and effectively.</w:t>
      </w:r>
    </w:p>
    <w:p>
      <w:pPr>
        <w:spacing w:after="0" w:line="179"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Integrations and Application Development </w:t>
      </w:r>
      <w:r>
        <w:rPr>
          <w:rFonts w:ascii="Arial" w:cs="Arial" w:eastAsia="Arial" w:hAnsi="Arial"/>
          <w:sz w:val="18"/>
          <w:szCs w:val="18"/>
          <w:color w:val="auto"/>
        </w:rPr>
        <w:t>– The future of digital signage is not still images and videos on a screen. Interactive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integrations with other data sources will dominate the future. From social media feeds to corporate data stores to Point of Sale (“POS”) systems, our proven ability to build scalable applications and integrations is a key advantage clients can leverage to deliver more compelling and engaging experiences for their customers.</w:t>
      </w:r>
    </w:p>
    <w:p>
      <w:pPr>
        <w:spacing w:after="0" w:line="179"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Hardware support </w:t>
      </w:r>
      <w:r>
        <w:rPr>
          <w:rFonts w:ascii="Arial" w:cs="Arial" w:eastAsia="Arial" w:hAnsi="Arial"/>
          <w:sz w:val="18"/>
          <w:szCs w:val="18"/>
          <w:color w:val="auto"/>
        </w:rPr>
        <w:t>– A number of digital signage providers sell a proprietary media player or align themselves with just one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Hardware sales from reselling digital signage hardware from original equipment manufacturers such as Samsung and BrightSign.</w:t>
      </w:r>
    </w:p>
    <w:p>
      <w:pPr>
        <w:spacing w:after="0" w:line="236" w:lineRule="exact"/>
        <w:rPr>
          <w:rFonts w:ascii="Arial" w:cs="Arial" w:eastAsia="Arial" w:hAnsi="Arial"/>
          <w:sz w:val="17"/>
          <w:szCs w:val="17"/>
          <w:color w:val="auto"/>
        </w:rPr>
      </w:pPr>
    </w:p>
    <w:p>
      <w:pPr>
        <w:ind w:left="980" w:right="2360" w:hanging="324"/>
        <w:spacing w:after="0" w:line="50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Services revenue from helping customers design, deploy and manage their digital signage network, including: o Hardware system design/engineering</w:t>
      </w:r>
    </w:p>
    <w:p>
      <w:pPr>
        <w:spacing w:after="0" w:line="1" w:lineRule="exact"/>
        <w:rPr>
          <w:rFonts w:ascii="Arial" w:cs="Arial" w:eastAsia="Arial" w:hAnsi="Arial"/>
          <w:sz w:val="18"/>
          <w:szCs w:val="18"/>
          <w:color w:val="auto"/>
        </w:rPr>
      </w:pPr>
    </w:p>
    <w:p>
      <w:pPr>
        <w:jc w:val="both"/>
        <w:ind w:left="980" w:right="8380"/>
        <w:spacing w:after="0" w:line="500" w:lineRule="auto"/>
        <w:rPr>
          <w:rFonts w:ascii="Arial" w:cs="Arial" w:eastAsia="Arial" w:hAnsi="Arial"/>
          <w:sz w:val="18"/>
          <w:szCs w:val="18"/>
          <w:color w:val="auto"/>
        </w:rPr>
      </w:pPr>
      <w:r>
        <w:rPr>
          <w:rFonts w:ascii="Arial" w:cs="Arial" w:eastAsia="Arial" w:hAnsi="Arial"/>
          <w:sz w:val="18"/>
          <w:szCs w:val="18"/>
          <w:color w:val="auto"/>
        </w:rPr>
        <w:t>o Hardware installation o Content development o Content scheduling</w:t>
      </w:r>
    </w:p>
    <w:p>
      <w:pPr>
        <w:spacing w:after="0" w:line="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Post-deployment network and field support</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Media sales, as a result of our acquisition of Reflect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Recurring subscription licensing and support revenue from our digital signage software platforms, which are generally sold via a SaaS model. These include:</w:t>
      </w:r>
    </w:p>
    <w:p>
      <w:pPr>
        <w:spacing w:after="0" w:line="16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ReflectView</w:t>
      </w:r>
      <w:r>
        <w:rPr>
          <w:rFonts w:ascii="Arial" w:cs="Arial" w:eastAsia="Arial" w:hAnsi="Arial"/>
          <w:sz w:val="16"/>
          <w:szCs w:val="16"/>
          <w:color w:val="auto"/>
        </w:rPr>
        <w:t>, the Company’s core digital signage platform for most applications, scalable and cost effective from 10 to 100,000+ devices</w:t>
      </w:r>
    </w:p>
    <w:p>
      <w:pPr>
        <w:spacing w:after="0" w:line="248"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Xperience</w:t>
      </w:r>
      <w:r>
        <w:rPr>
          <w:rFonts w:ascii="Arial" w:cs="Arial" w:eastAsia="Arial" w:hAnsi="Arial"/>
          <w:sz w:val="18"/>
          <w:szCs w:val="18"/>
          <w:color w:val="auto"/>
        </w:rPr>
        <w:t>, a web-based interface that allows customers to give content scheduling access to local users via the web or mobile devices, while still maintaining centralized programming control</w:t>
      </w:r>
    </w:p>
    <w:p>
      <w:pPr>
        <w:spacing w:after="0" w:line="161" w:lineRule="exact"/>
        <w:rPr>
          <w:rFonts w:ascii="Arial" w:cs="Arial" w:eastAsia="Arial" w:hAnsi="Arial"/>
          <w:sz w:val="18"/>
          <w:szCs w:val="18"/>
          <w:color w:val="auto"/>
        </w:rPr>
      </w:pPr>
    </w:p>
    <w:p>
      <w:pPr>
        <w:ind w:left="1300" w:right="2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AdLogic</w:t>
      </w:r>
      <w:r>
        <w:rPr>
          <w:rFonts w:ascii="Arial" w:cs="Arial" w:eastAsia="Arial" w:hAnsi="Arial"/>
          <w:sz w:val="18"/>
          <w:szCs w:val="18"/>
          <w:color w:val="auto"/>
        </w:rPr>
        <w:t>, the Company’s ad management platform for digital signage networks, which presently delivers approximately 50 million ads daily</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Clarity</w:t>
      </w:r>
      <w:r>
        <w:rPr>
          <w:rFonts w:ascii="Arial" w:cs="Arial" w:eastAsia="Arial" w:hAnsi="Arial"/>
          <w:sz w:val="18"/>
          <w:szCs w:val="18"/>
          <w:color w:val="auto"/>
        </w:rPr>
        <w:t>, the Company’s menu board solution, which has become a market leader for a range of restaurant and convenience store applications</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Zero Touch</w:t>
      </w:r>
      <w:r>
        <w:rPr>
          <w:rFonts w:ascii="Arial" w:cs="Arial" w:eastAsia="Arial" w:hAnsi="Arial"/>
          <w:sz w:val="18"/>
          <w:szCs w:val="18"/>
          <w:color w:val="auto"/>
        </w:rPr>
        <w:t>, which allows customers to turn any screen into an interactive experience by allowing guests to engage using their mobile device</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iShowroomProX</w:t>
      </w:r>
      <w:r>
        <w:rPr>
          <w:rFonts w:ascii="Arial" w:cs="Arial" w:eastAsia="Arial" w:hAnsi="Arial"/>
          <w:sz w:val="18"/>
          <w:szCs w:val="18"/>
          <w:color w:val="auto"/>
        </w:rPr>
        <w:t>, an omni-channel digital sales support platform targeted at original equipment manufacturers in the transportation sector, which integrates with dozens of key data services including dealer inventory at the VIN level</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OSx+</w:t>
      </w:r>
      <w:r>
        <w:rPr>
          <w:rFonts w:ascii="Arial" w:cs="Arial" w:eastAsia="Arial" w:hAnsi="Arial"/>
          <w:sz w:val="18"/>
          <w:szCs w:val="18"/>
          <w:color w:val="auto"/>
        </w:rPr>
        <w:t>, a digital VIN-level checklist used to assist in the tracking and delivery of new vehicles in the transportation sector, providing measurable lift in customer satisfaction scores and connected vehicle enrollments and subscription activations.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Please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Note 9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Note 12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and Note 13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to the Company’s Condensed Consolidated Financial Statements contained in this Report for a description of recent developments of the Company that occurred during, and subsequent to, the three and nine months ended September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revenue through digital signage solution sales, which include system hardware, professional and implementation services, software design and development, software licensing, deployment, maintenance and support services, and media sales.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Company’s Condensed Consolidated Financial Statements included elsewhere in this Report.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share and per-share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w w:val="97"/>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w w:val="97"/>
              </w:rPr>
              <w:t>ended 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6,666</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2,406</w:t>
            </w:r>
          </w:p>
        </w:tc>
        <w:tc>
          <w:tcPr>
            <w:tcW w:w="3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4,260</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vMerge w:val="continue"/>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388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2,847</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1,848</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999</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r>
              <w:rPr>
                <w:rFonts w:ascii="Arial" w:cs="Arial" w:eastAsia="Arial" w:hAnsi="Arial"/>
                <w:sz w:val="18"/>
                <w:szCs w:val="18"/>
                <w:color w:val="auto"/>
              </w:rPr>
              <w:t>Deal and transaction expense</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422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(404)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debt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Change in fair value of equity guarantee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442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17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-552</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Benefit/(provision) for income taxes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4220" w:type="dxa"/>
            <w:vAlign w:val="bottom"/>
            <w:vMerge w:val="continue"/>
            <w:shd w:val="clear" w:color="auto" w:fill="CCEEFF"/>
          </w:tcPr>
          <w:p>
            <w:pPr>
              <w:spacing w:after="0"/>
              <w:rPr>
                <w:sz w:val="21"/>
                <w:szCs w:val="21"/>
                <w:color w:val="auto"/>
              </w:rPr>
            </w:pPr>
          </w:p>
        </w:tc>
        <w:tc>
          <w:tcPr>
            <w:tcW w:w="20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Sales were $11,180, representing an increase of $6,427, or 135%, as compared to the same period in 2021, driven in part by the acquisition of Reflect via the Merger on February 17, 2022, and the Company’s successful sales activities as a combined company post-Merger. While the addition of Reflect revenue is contributing to the growth in revenue, the combined company grew revenues approximately $3,463, or 45%, organically during the three months ended September 30, 2022, as compared to the pro forma combined results during the three months ended September 30, 2021.</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Hardware revenues were $5,015 in 2022, an increase of $2,800, or 126%, as compared to the prior year, driven by continued large scale LED deployments continued in the quarter by multiple customers. Services and other revenues were $6,165 in the three months ended September 30, 2022, an increase of $3,627, or 143%, with the inclusion of Reflect’s operations in the Company’s consolidated results for such period. Managed services revenue, which includes both software-as-a-service (“SaaS”) and help desk technical subscription services, were $3,900 in the three months ended September 30, 2022 as compared to $1,444 in the same period in 2021, driven by the addition of Reflect’s SaaS subscription revenue in the current year. This represents a year-over-year growth rate of 170% in our higher margin, typically subscription-based, managed services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Gross profit increased by $2,167, or 92% during the three months ended September 30, 2022 as compared to the same period in 2021 driven by an increase in revenue but offset by a reduction in gross profit margin. Gross profit margin decreased to 40.4% from 49.4% driven by less favorable revenue mix during the three months ended September 30, 2022 related to several material customer hardware rollouts during the year that had a lower gross profit margin than our software services. We expect this contraction in gross profit margin to be less severe as we move beyond 2022. We believe the gross profit margin for the three months ended September 30, 2021 to be more representative of our normalized, long-term gross profit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Sales and marketing expenses generally include the salaries, taxes, and benefits of our sales and marketing personnel, as well as trade show activities, travel, and other related sales and marketing costs. Sales and marketing expenses increased by $388, or 118%, driven primarily by (i) the acquisition of Reflect via the Merger on February 17, 2022, and (ii) the Company’s enhanced investments into sales and marketing activities post-COVID-19 pandemic. Immediately following the Merger, the Company integrated the sales and marketing functions and did not disaggregate expenses between the two legacy companies. Following the Merger and through integration activities, the Company adopted certain tools, technology, and processes – particularly with respect to lead generation and brand marketing – that were undercapitalized historically by the Company. Additionally, the Company engaged an investor relations firm and has increased investor relations activities, including conferences and presentations. As a result, we expect the sales and marketing expenses of the Company for the three months ended September 30, 2022 to adequately reflect the pace for spend in these areas in future reporting periods.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Research and development expenses generally include personnel and development tools costs associated with the continued development of the Company’s content management systems and other related application development. Research and development increased by $12, or 5%, in the three months ended September 30, 2022 as compared to the same period in 2021. The prior year included a benefit of $49 related ERC, resulting in a net reduction in research and development expenses year over year for the three months ended September 30, 2022. Through the Merger, we acquired a fully staffed, experienced software development team and elected to keep that team in-tact, particularly given employment market conditions with respect to talented software engineers. We have integrated the pre-existing CRI development team with the acquired team and have experienced enhanced speed to market on new feature and functionality development activities from increasing this resource pool. The Company’s gross spending on research and development activities has increased in the current year as a result, however, the capitalized portion of those activities has also increased specifically related to the increased investment into development and enhancement of specific products, features, and functionality associated with our customer acquisition strategy in key vertical markets. We expect an elevated level of expense throughout the remainder of 2022 and 2023 as we develop our current and future product set.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 and administrative expenses increased $999, or 54%, driven primarily by (i) the inclusion in the prior year of a benefit of $186 related to ERC, and (ii) increased headcount and operations as a result of the acquisition of Reflect via the Merger on February 17, 2022. While the Company anticipates carrying higher general and administrative expenses moving forward as a result of the acquisition and subsequent expansion in organic revenues, the Company continues to execute integration activities (including but not limited to consolidation of CMS tools, cloud hosting environments, IT tools, and rightsizing leases for office space) that we expect will be realized by the end of 2022 and into 2023. The Company also reinstituted its 401k matching program for employees in the fourth quarter of 2021, which represents an increase of $52 versus the prior year, and launched several investor relations initiatives, increasing spend $81 in the three months ended September 30, 2022 versus the prior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$538, or 155%, in the three months ended September 30, 2022 compared to the same period in 2021. This was driven by the addition of $17,160 in amortizing intangible assets as a result of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Equity Guarantee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 The change in the period represents the mark-to-market adjustment as of the balance sheet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Nine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7"/>
              </w:rPr>
              <w:t>Ended 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6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19,792</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6,578</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13,214</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vMerge w:val="continue"/>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2,572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1,738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8,105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5,623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2,482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Bad debt (recovery)/expense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2,060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1,035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Deal and transaction expenses</w:t>
            </w: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14,336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7,484</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6,852</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income/(expenses):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7,902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7,902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equity guarantee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Change in fair value of Convertible Loan</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on debt waiver consent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Loss on warrant amendment</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Gain/(loss) on settlement of debt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r>
              <w:rPr>
                <w:rFonts w:ascii="Arial" w:cs="Arial" w:eastAsia="Arial" w:hAnsi="Arial"/>
                <w:sz w:val="18"/>
                <w:szCs w:val="18"/>
                <w:color w:val="auto"/>
              </w:rPr>
              <w:t>Other income/(expense)</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6"/>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3" w:lineRule="exact"/>
              <w:rPr>
                <w:sz w:val="20"/>
                <w:szCs w:val="20"/>
                <w:color w:val="auto"/>
              </w:rPr>
            </w:pPr>
            <w:r>
              <w:rPr>
                <w:rFonts w:ascii="Arial" w:cs="Arial" w:eastAsia="Arial" w:hAnsi="Arial"/>
                <w:sz w:val="18"/>
                <w:szCs w:val="18"/>
                <w:color w:val="auto"/>
              </w:rPr>
              <w:t>Net income before income taxes</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3,256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1,963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1,293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9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1,954</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1,256</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vMerge w:val="restart"/>
          </w:tcPr>
          <w:p>
            <w:pPr>
              <w:jc w:val="right"/>
              <w:ind w:right="170"/>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Sales were $32,860, representing an increase of $19,826, or 152%, as compared to the same period in 2021 driven in part by the acquisition of Reflect via the Merger on February 17, 2022, and the Company’s successful sales activities as a combined company post-Merger. While the addition of Reflect revenue is contributing to the growth in revenue, the combined company has grown revenues approximately $11,435, or 53%, organically during the nine months ended September 30, 2022, as compared to the pro forma combined results during the nine months ended September 30, 2021.</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Hardware revenues were $17,141 in 2022, an increase of $10,814, or 171%, as compared to the prior year, driven by large scale LED deployments by multiple customers. Services and other revenues were $15,719 in the nine months ended September 30, 2022, an increase of $9,012, or 134%, with the inclusion of Reflect’s operations in the Company’s consolidated results for such period. Managed services revenue, which includes both software-as-a-service (“SaaS”) and help desk technical subscription services, were $10,435 in the nine months ended September 30, 2022 as compared to $4,174 in the same period in 2021, driven by the addition of Reflect’s SaaS subscription revenue in the current year. This represents a year-over-year growth rate of 150% in our higher margin, typically subscription-based, managed services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Gross profit increased by $6,612, or 102% during the nine months ended September 30, 2022 as compared to the same period in 2021 driven by an increase in revenue but offset by a reduction in gross profit margin. Gross profit margin decreased to 39.8% from 49.5% driven by revenue mix during the three months ended September 30, 2022 related to several material customer hardware rollouts active during the first half of the year that had a lower gross profit margin than our software services. We expect this contraction in gross profit margin to be less severe as we move beyond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Sales and marketing expenses generally include the salaries, taxes, and benefits of our sales and marketing personnel, as well as trade show activities, travel, and other related sales and marketing costs. Sales and marketing expenses increased by $1,738, or 208%, driven primarily by (i) the inclusion in the prior year of a benefit of $232 related Employee Retention Credits (“ERC”) related to the retention and payment of salaries to sales personnel throughout 2020 and the six months ended June 30, 2021, (ii) the acquisition of Reflect via the Merger on February 17, 2022, and (iii) the Company’s enhanced investments into sales and marketing activities post-COVID-19 pandemic. Immediately following the Merger, the Company integrated the sales and marketing functions and did not disaggregate expenses between the two legacy companies. Following the Merger and through integration activities, the Company adopted certain tools, technology, and processes – particularly with respect to lead generation and brand marketing – that were undercapitalized historically by the Company. Additionally, the Company engaged an investor relations firm and has increased investor relations activities, including conferences and presentations. As a result, we expect the sales and marketing expenses of the Company for the nine months ended September 30, 2022 to adequately reflect the pace for spend in these areas in future reporting periods.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Research and development expenses generally include personnel and development tools costs associated with the continued development of the Company’s content management systems and other related application development. Research and development increased by $442, or 97%, in the nine months ended September 30, 2022 as compared to the same period in 2021, driven primarily by (i) the inclusion in the prior year of a benefit of $196 related ERC, and (ii) the acquisition of Reflect via the Merger on February 17, 2022. Through the Merger, we acquired a fully staffed, experienced software development team and elected to keep that team in-tact, particularly given employment market conditions with respect to talented software engineers. We have integrated the pre-existing CRI development team with the acquired team and have experienced enhanced speed to market on new feature and functionality development activities from increasing this resource pool. We expect this elevated level of expense during the nine months ended September 30, 2022 to continue into the future as we develop our current and future product 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 and administrative expenses – excluding bad debt expense – increased $2,482, or 44%, driven primarily by (i) the inclusion in the prior year of a benefit of $694 related ERC, and (ii) increased headcount and operations as a result of the acquisition of Reflect on February 17, 2022. While the Company anticipates carrying higher G&amp;A expenses moving forward as a result of the acquisition and subsequent expansion in organic revenues, the Company continues to execute integration activities (including but not limited to consolidation of CMS tools, cloud hosting environments, IT tools, and rightsizing leases for office space) that we expect will be realized by the end of 2022 and into 2023. The Company also reinstituted its 401k matching program for employees in the fourth quarter of 2021, which represents an increase of $120 versus the prior year, and launched several investor relations initiatives, increasing spend $300 for the nine months ended September 30, 2022 versus the prior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Expenses related to the Company’s allowance for bad debts increased by $627, or (135%) for the nine months ended September 30, 2022 compared to 2021. This increase was primarily driven by a prior period cash recovery of $555 related to a customer bankruptcy for which the Company previously recorded a reserve. The bad debt expense recorded for the nine months ended September 30, 2022 is representative of the Company’s actual history with uncollectable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$1,025, or 99%, in 2022 compared to 2021. This was driven by the addition of $17,160 in amortizing intangible assets as a result of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Change in fair value of Convertible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we updated our fair value analysis of the Convertible Loan, resulting in recognition of a $166 during the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Warrant Liability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2022, the Company recorded a gain of $7,902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and were subsequently re-assessed at March 31, 2022 and June 30, 2022, resulting in the gain.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jc w:val="both"/>
        <w:ind w:firstLine="648"/>
        <w:spacing w:after="0" w:line="270" w:lineRule="auto"/>
        <w:rPr>
          <w:sz w:val="20"/>
          <w:szCs w:val="20"/>
          <w:color w:val="auto"/>
        </w:rPr>
      </w:pPr>
      <w:r>
        <w:rPr>
          <w:rFonts w:ascii="Arial" w:cs="Arial" w:eastAsia="Arial" w:hAnsi="Arial"/>
          <w:sz w:val="17"/>
          <w:szCs w:val="17"/>
          <w:color w:val="auto"/>
        </w:rPr>
        <w:t>Effective June 30, 2022, the Company amended the terms of certain warrants previously issued to its creditor and an investor, which removed the holder’s option to exercise such warrants on a cashless basis utilizing the VWAP of the Company’s common stock on the trading day immediately preceding the date of a notice of cashless exercise in certain circumstances, and removed the condition to exercising such warrants that the Company’s shareholders approve the exercise thereof (which has already been obtained). The amendments to the warrants extended the term of such warrants for an additional one year. As a result of the extension in term provided in exchange for the amendment, the Company reassessed the fair value of those warrants, resulting in the Company recording a loss on the fair value of these warrants of $345. The foregoing amendments to the warrants resulted in such warrants to be accounted for as equity instruments on the Company’s financial statements as of June 30, 2022. As such, following recording the gains and losses with respect to these warrant amendments, the Company reclassified the warrant liability of $5,709 from noncurrent liabilities to additional paid-in-capital as of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Waiver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17, 2022,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 to purchase 1,400,000 shares of Company common stock in an at-the-market offering under Nasdaq rules. The number of shares of Company common stock subject to the Purchaser Warrant is equal to the waiver fee ($175) divided by $0.125 per share. The exercise price of the Purchaser Warrant is $1.41 per share, and the Purchaser Warrant is not exercisable until August 17, 2022. The Purchaser Warrant expires five years from the date of issuance. At the date of issuance, the Company performed a Black-Scholes valuation of the Purchaser Warrant, resulting in a fair value of $0.8656 per warrant. In recording the warrant liability, the Company recorded an expense in the Condensed Consolidated Statement of Operations associated with the issuance of the Purchaser Warrant of $1,211.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Warrant Amendment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June 30, 2022, the Company amended the terms of the Common Stock Warrant (7,166,505 warrants), Lender Warrant (5,194,495 warrants) and Purchaser Warrant (1,400,000 warrants). The amendments to such warrants removed the holder’s option to determine the value of such warrants utilizing the volume weighted average price (“VWAP”) of the Company’s common stock on the trading day immediately preceding the date of a notice in a cashless exercise, and removed the condition to exercising such warrants that the Company’s shareholders approve the exercise thereof (which had already been obtained). The amendments to the warrants also extended the term of such warrants for an additional one year, such that the Common Stock Warrant will expire on February 3, 2028, and the Lender Warrant and Purchaser Warrant will expire on February 17, 2028. As a result of the extension in term provided in exchange for the amendment, the Company reassessed the fair value of each of the Common Stock, Lender and Purchaser Warrants, resulting in the Company recording a loss on the fair value of these warrants of $345.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Settlement of Debt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February 17, 2022, the Company refinanced its debt facilities with Slipstream. The Company assessed the combination of the pre-existing senior secured term loan and secured convertible loan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determined the transaction should be accounted for as an extinguishment, in part as the Consolidation Term Loan eliminated a substantive conversion feature. In aggregate the Company recorded a loss on extinguishment of $295, primarily associated with the write-off of pre-existing debt discounts.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11, 2021, the Company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nine months ended September 30,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1" w:name="page42"/>
    <w:bookmarkEnd w:id="41"/>
    <w:p>
      <w:pPr>
        <w:jc w:val="both"/>
        <w:ind w:firstLine="648"/>
        <w:spacing w:after="0" w:line="311" w:lineRule="auto"/>
        <w:rPr>
          <w:sz w:val="20"/>
          <w:szCs w:val="20"/>
          <w:color w:val="auto"/>
        </w:rPr>
      </w:pPr>
      <w:r>
        <w:rPr>
          <w:rFonts w:ascii="Arial" w:cs="Arial" w:eastAsia="Arial" w:hAnsi="Arial"/>
          <w:sz w:val="16"/>
          <w:szCs w:val="16"/>
          <w:color w:val="auto"/>
        </w:rPr>
        <w:t>On May 13, 2021, the Company and seller of Allure (“Seller”) entered into a settlement agreement wherein neither party admitted liability, and the Company agreed to pay, and Seller agreed to accept, $100 as settlement in full for the outstanding balance of principal and accrued interest under the Seller Note and a mutual release of all claims related to the Seller Note and Allure sale transaction under the Purchase Agreement and all related agreements.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this settlement, the full principal amount of the Seller Note and the accrued interest have been eliminated, resulting in a gain in the Condensed Consolidated Financial statements of $1,624, representing $1,538 related to the Seller Note and $86 of related interest thereon, during the nine months ended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Unaudited Quarterly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unaudited financial information derived from the Company’s quarterly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1"/>
              </w:rPr>
              <w:t>September 30</w:t>
            </w:r>
          </w:p>
        </w:tc>
        <w:tc>
          <w:tcPr>
            <w:tcW w:w="180" w:type="dxa"/>
            <w:vAlign w:val="bottom"/>
          </w:tcPr>
          <w:p>
            <w:pPr>
              <w:spacing w:after="0"/>
              <w:rPr>
                <w:sz w:val="17"/>
                <w:szCs w:val="17"/>
                <w:color w:val="auto"/>
              </w:rPr>
            </w:pPr>
          </w:p>
        </w:tc>
        <w:tc>
          <w:tcPr>
            <w:tcW w:w="104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June 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7"/>
              </w:rPr>
              <w:t>March 31</w:t>
            </w:r>
          </w:p>
        </w:tc>
        <w:tc>
          <w:tcPr>
            <w:tcW w:w="1320" w:type="dxa"/>
            <w:vAlign w:val="bottom"/>
            <w:gridSpan w:val="3"/>
          </w:tcPr>
          <w:p>
            <w:pPr>
              <w:jc w:val="right"/>
              <w:ind w:right="181"/>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848</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employee share-based awards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Depreciation of property, equipment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gridSpan w:val="2"/>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4,130</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fair value of warrant liability</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(Gain)/loss on settlement of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debt waiver consent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(Gain)/loss on warrant amendment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fair value of equity guarantee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Deal and transaction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Nature of Organization and Operations</w:t>
      </w:r>
      <w:r>
        <w:rPr>
          <w:rFonts w:ascii="Arial" w:cs="Arial" w:eastAsia="Arial" w:hAnsi="Arial"/>
          <w:sz w:val="18"/>
          <w:szCs w:val="18"/>
          <w:color w:val="auto"/>
        </w:rPr>
        <w:t xml:space="preserve"> to the accompanying Condensed Consolidated Financial Statements for a detailed discussion of liquidity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cash used in operating activities were $1,050 for the nine months ended September 30, 2022 compared to $367 for the same period in 2021. We produced net income of $3,210. Following the Merger, our business has significantly expanded, particularly with respect to managed services revenue. Other than net income, cash provided by operating activities was driven by growth of $1,019 of deferred revenue and $533 of accrued expenses, combined with a reduction in prepaid assets of $682, partially offset by an expansion of accounts receivable and inventory of $2,835 and $1,032,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during the nine months ended September 30, 2022 was $20,268 compared to $432 during the same period in 2021. The use of cash in the current year was driven by (1) completion of the Merger and (2) continued investments in our software platforms. We currently do not have any material commitments for capital expenditures as of September 30, 2022; however, we anticipate continued elevated capital expenditures in excess of historical trends through second quarter of 2023 as we complete the modernization and internationalization of our automotive platform in an effort to capture incremental SaaS-based revenue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Net cash provided by financing activities during the nine months ended September 30, 2022 was $19,254 compared to $1,745 for the same period in 2021. The increase is the result of the Company’s completion of the Equity Financing and the Debt Financing (each as described in Note 1 </w:t>
      </w:r>
      <w:r>
        <w:rPr>
          <w:rFonts w:ascii="Arial" w:cs="Arial" w:eastAsia="Arial" w:hAnsi="Arial"/>
          <w:sz w:val="17"/>
          <w:szCs w:val="17"/>
          <w:i w:val="1"/>
          <w:iCs w:val="1"/>
          <w:color w:val="auto"/>
        </w:rPr>
        <w:t>Nature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Organization and Operations </w:t>
      </w:r>
      <w:r>
        <w:rPr>
          <w:rFonts w:ascii="Arial" w:cs="Arial" w:eastAsia="Arial" w:hAnsi="Arial"/>
          <w:sz w:val="17"/>
          <w:szCs w:val="17"/>
          <w:color w:val="auto"/>
        </w:rPr>
        <w:t>to the accompanying Condensed Consolidated Financial Statements) in the period to facilitate the Merger, which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of $10,109 and $9,868, respectively, reduced by $723 as a result of repayments of principal on the Seller Note.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nine months ended September 30, 2022, we did not engage in any off-balance sheet arrangements set forth in Item 303(a)(4)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September 30, 2022,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10, 2021 and subsequent filings made with the SEC. Such risks and uncertainties have the potential to affect our business, financial condition, results of operations, cash flow, strategies or prospects in a material and adverse manner.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October 31, 2022, the Company and its subsidiaries (collectively, the “Borrowers”) amended their Second Amended and Restated Loan and Security Agreement (the “Credit Agreement”) with their lender, Slipstream Communications, LLC (“Slipstream”). The amendment provides the Borrowers with a $2 million term loan, the net proceeds of which are being used by the Company to accelerate an active software development project with potential to expand SaaS revenues associated with an existing customer by as much as $5 million annually beginning as early as January 2024.</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 loan has an annual interest rate of 12.5% and matures on September 1, 2023. Commencing on February 1, 2023, the Borrowers will make monthly installment payments of approximately $270,000 until the maturity date, consisting of principal and interest sufficient to fully amortize the term loan through the maturity date.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descriptions of the amendment and term loan are not complete descriptions thereof and are qualified in their entireties by reference to the full text of the First Amendment to Second Amended and Restated Loan and Security Agreement and Term Note (2022) filed as Exhibits 10.4 and 10.5 to this Quarterly Report on Form 10-Q, which are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9"/>
            <w:shd w:val="clear" w:color="auto" w:fill="CCEEFF"/>
          </w:tcPr>
          <w:p>
            <w:pPr>
              <w:spacing w:after="0" w:line="176"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Lender Warrant dated June 30, 2022 (incorporated by reference to Exhibit 10.1 of the Company’s Current Report on Form 8-K filed with</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the SEC on July 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Investor Warrant dated June 30, 2022 (7,166,505 shares) (incorporated by reference to Exhibit 10.2 of the Company’s Current Report on</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Form 8-K filed with the SEC on July 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Investor Warrant dated June 30, 2022 (1,400,000 shares) (incorporated by reference to Exhibit 10.3 of the Company’s Current Report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Form 8-K filed with the SEC on July 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First Amendment to Second Amended and Restated Loan and Security Agreement*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Term Note (2022)*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Chief Executive Officer Certification pursuant to Exchange Act Rule 13a-14(a).</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Chief Financial Officer Certification pursuant to Exchange Act Rule 13a-14(a).</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Chief Executive Officer Certification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Chief Financial Officer Certification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right="3540" w:firstLine="8"/>
        <w:spacing w:after="0" w:line="527" w:lineRule="auto"/>
        <w:tabs>
          <w:tab w:leader="none" w:pos="11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Creative Realities, Inc.</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ind w:left="10120"/>
        <w:spacing w:after="0"/>
        <w:rPr>
          <w:sz w:val="20"/>
          <w:szCs w:val="20"/>
          <w:color w:val="auto"/>
        </w:rPr>
      </w:pPr>
      <w:r>
        <w:rPr>
          <w:rFonts w:ascii="Arial" w:cs="Arial" w:eastAsia="Arial" w:hAnsi="Arial"/>
          <w:sz w:val="19"/>
          <w:szCs w:val="19"/>
          <w:b w:val="1"/>
          <w:bCs w:val="1"/>
          <w:color w:val="auto"/>
        </w:rPr>
        <w:t>Exhibit 10.4</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SECOND AMENDED AND RESTATED LOAN AND SECURITY AGREEMENT</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FIRST AMENDMENT TO SECOND AMENDED AND RESTATED LOAN AND SECURITY AGREEMENT dated as of October 31, 2022 (this “</w:t>
      </w:r>
      <w:r>
        <w:rPr>
          <w:rFonts w:ascii="Arial" w:cs="Arial" w:eastAsia="Arial" w:hAnsi="Arial"/>
          <w:sz w:val="17"/>
          <w:szCs w:val="17"/>
          <w:b w:val="1"/>
          <w:bCs w:val="1"/>
          <w:color w:val="auto"/>
        </w:rPr>
        <w:t>Amendment</w:t>
      </w:r>
      <w:r>
        <w:rPr>
          <w:rFonts w:ascii="Arial" w:cs="Arial" w:eastAsia="Arial" w:hAnsi="Arial"/>
          <w:sz w:val="17"/>
          <w:szCs w:val="17"/>
          <w:color w:val="auto"/>
        </w:rPr>
        <w:t>”) to the Second Amended and Restated Loan and Security Agreement dated as of February 17, 2022 (as, restated, supplemented, modified or otherwise changed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is by and among Creative Realities, Inc., a Minnesota corporation (“</w:t>
      </w:r>
      <w:r>
        <w:rPr>
          <w:rFonts w:ascii="Arial" w:cs="Arial" w:eastAsia="Arial" w:hAnsi="Arial"/>
          <w:sz w:val="17"/>
          <w:szCs w:val="17"/>
          <w:b w:val="1"/>
          <w:bCs w:val="1"/>
          <w:color w:val="auto"/>
        </w:rPr>
        <w:t>CRI</w:t>
      </w:r>
      <w:r>
        <w:rPr>
          <w:rFonts w:ascii="Arial" w:cs="Arial" w:eastAsia="Arial" w:hAnsi="Arial"/>
          <w:sz w:val="17"/>
          <w:szCs w:val="17"/>
          <w:color w:val="auto"/>
        </w:rPr>
        <w:t>”), Creative Realities Canada, Inc., an Ontario corporation (“</w:t>
      </w:r>
      <w:r>
        <w:rPr>
          <w:rFonts w:ascii="Arial" w:cs="Arial" w:eastAsia="Arial" w:hAnsi="Arial"/>
          <w:sz w:val="17"/>
          <w:szCs w:val="17"/>
          <w:b w:val="1"/>
          <w:bCs w:val="1"/>
          <w:color w:val="auto"/>
        </w:rPr>
        <w:t>CRCI</w:t>
      </w:r>
      <w:r>
        <w:rPr>
          <w:rFonts w:ascii="Arial" w:cs="Arial" w:eastAsia="Arial" w:hAnsi="Arial"/>
          <w:sz w:val="17"/>
          <w:szCs w:val="17"/>
          <w:color w:val="auto"/>
        </w:rPr>
        <w:t>”), Allure Global Solutions, Inc., a Georgia corporation (“</w:t>
      </w:r>
      <w:r>
        <w:rPr>
          <w:rFonts w:ascii="Arial" w:cs="Arial" w:eastAsia="Arial" w:hAnsi="Arial"/>
          <w:sz w:val="17"/>
          <w:szCs w:val="17"/>
          <w:b w:val="1"/>
          <w:bCs w:val="1"/>
          <w:color w:val="auto"/>
        </w:rPr>
        <w:t>AGSI</w:t>
      </w:r>
      <w:r>
        <w:rPr>
          <w:rFonts w:ascii="Arial" w:cs="Arial" w:eastAsia="Arial" w:hAnsi="Arial"/>
          <w:sz w:val="17"/>
          <w:szCs w:val="17"/>
          <w:color w:val="auto"/>
        </w:rPr>
        <w:t>”) and Reflect Systems, Inc., a Delaware corporation (“</w:t>
      </w:r>
      <w:r>
        <w:rPr>
          <w:rFonts w:ascii="Arial" w:cs="Arial" w:eastAsia="Arial" w:hAnsi="Arial"/>
          <w:sz w:val="17"/>
          <w:szCs w:val="17"/>
          <w:b w:val="1"/>
          <w:bCs w:val="1"/>
          <w:color w:val="auto"/>
        </w:rPr>
        <w:t>Reflect</w:t>
      </w:r>
      <w:r>
        <w:rPr>
          <w:rFonts w:ascii="Arial" w:cs="Arial" w:eastAsia="Arial" w:hAnsi="Arial"/>
          <w:sz w:val="17"/>
          <w:szCs w:val="17"/>
          <w:color w:val="auto"/>
        </w:rPr>
        <w:t>” and together with CRI, CRCI and AGSI, each a “</w:t>
      </w:r>
      <w:r>
        <w:rPr>
          <w:rFonts w:ascii="Arial" w:cs="Arial" w:eastAsia="Arial" w:hAnsi="Arial"/>
          <w:sz w:val="17"/>
          <w:szCs w:val="17"/>
          <w:b w:val="1"/>
          <w:bCs w:val="1"/>
          <w:color w:val="auto"/>
        </w:rPr>
        <w:t>Borrower</w:t>
      </w:r>
      <w:r>
        <w:rPr>
          <w:rFonts w:ascii="Arial" w:cs="Arial" w:eastAsia="Arial" w:hAnsi="Arial"/>
          <w:sz w:val="17"/>
          <w:szCs w:val="17"/>
          <w:color w:val="auto"/>
        </w:rPr>
        <w:t>” and collectively, referred to herein as the “</w:t>
      </w:r>
      <w:r>
        <w:rPr>
          <w:rFonts w:ascii="Arial" w:cs="Arial" w:eastAsia="Arial" w:hAnsi="Arial"/>
          <w:sz w:val="17"/>
          <w:szCs w:val="17"/>
          <w:b w:val="1"/>
          <w:bCs w:val="1"/>
          <w:color w:val="auto"/>
        </w:rPr>
        <w:t>Borrowers</w:t>
      </w:r>
      <w:r>
        <w:rPr>
          <w:rFonts w:ascii="Arial" w:cs="Arial" w:eastAsia="Arial" w:hAnsi="Arial"/>
          <w:sz w:val="17"/>
          <w:szCs w:val="17"/>
          <w:color w:val="auto"/>
        </w:rPr>
        <w:t>”), and Slipstream Communications, LLC, an Anguillan limited liability company (the “</w:t>
      </w:r>
      <w:r>
        <w:rPr>
          <w:rFonts w:ascii="Arial" w:cs="Arial" w:eastAsia="Arial" w:hAnsi="Arial"/>
          <w:sz w:val="17"/>
          <w:szCs w:val="17"/>
          <w:b w:val="1"/>
          <w:bCs w:val="1"/>
          <w:color w:val="auto"/>
        </w:rPr>
        <w:t>Lender</w:t>
      </w:r>
      <w:r>
        <w:rPr>
          <w:rFonts w:ascii="Arial" w:cs="Arial" w:eastAsia="Arial" w:hAnsi="Arial"/>
          <w:sz w:val="17"/>
          <w:szCs w:val="17"/>
          <w:color w:val="auto"/>
        </w:rPr>
        <w:t>”). All terms used herein that are defined in the Loan Agreement and not otherwise defined herein shall have the respective meanings assigned to them in the Loan Agreement.</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Borrowers have requested that Lender make an additional $2,000,000.00 term loan to Borrowers to provide additional working capital to the Borrowers.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Lender is willing to make the additional working capital loan to Borrowers pursuant to the terms and conditions set forth herein.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is hereby acknowledged, Borrowers and the Lender, intending to be legally bound, hereby agree as follows:</w:t>
      </w:r>
    </w:p>
    <w:p>
      <w:pPr>
        <w:spacing w:after="0" w:line="166" w:lineRule="exact"/>
        <w:rPr>
          <w:sz w:val="20"/>
          <w:szCs w:val="20"/>
          <w:color w:val="auto"/>
        </w:rPr>
      </w:pPr>
    </w:p>
    <w:p>
      <w:pPr>
        <w:ind w:firstLine="8"/>
        <w:spacing w:after="0" w:line="282"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set forth in this Amendment and not defined herein have the meanings set forth in the Loan Agreement. In addition,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terms are hereby added or amended in Schedule A to the Loan Agreement</w:t>
      </w:r>
      <w:r>
        <w:rPr>
          <w:rFonts w:ascii="Arial" w:cs="Arial" w:eastAsia="Arial" w:hAnsi="Arial"/>
          <w:sz w:val="18"/>
          <w:szCs w:val="18"/>
          <w:u w:val="single" w:color="auto"/>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means that certain First Amendment to Second Amended and Restated Loan Agreement dated as of October 31, 2022, by and between the Borrowers and the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shall have the meaning set forth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as applicable, each loan made in Section 1 of the Loan Agreement and “</w:t>
      </w:r>
      <w:r>
        <w:rPr>
          <w:rFonts w:ascii="Arial" w:cs="Arial" w:eastAsia="Arial" w:hAnsi="Arial"/>
          <w:sz w:val="18"/>
          <w:szCs w:val="18"/>
          <w:b w:val="1"/>
          <w:bCs w:val="1"/>
          <w:color w:val="auto"/>
        </w:rPr>
        <w:t>Loans</w:t>
      </w:r>
      <w:r>
        <w:rPr>
          <w:rFonts w:ascii="Arial" w:cs="Arial" w:eastAsia="Arial" w:hAnsi="Arial"/>
          <w:sz w:val="18"/>
          <w:szCs w:val="18"/>
          <w:color w:val="auto"/>
        </w:rPr>
        <w:t>” means all of such loans collectively.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Rate</w:t>
      </w:r>
      <w:r>
        <w:rPr>
          <w:rFonts w:ascii="Arial" w:cs="Arial" w:eastAsia="Arial" w:hAnsi="Arial"/>
          <w:sz w:val="18"/>
          <w:szCs w:val="18"/>
          <w:color w:val="auto"/>
        </w:rPr>
        <w:t xml:space="preserve">” means (i) with respect to the Consolidation Term Loan, a fixed rate equal to ten percent (10.0%)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(ii) with respect to the 2022 Acquisition Term Loan, a fixed rate equal to eight percent (8.0%)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with respect to the Term Loan (2022), a fixed rate equal to twelve and one-half of one percent (12.5%)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(i) with respect to the Term Loan (2022), September 1, 2023, and with respect to the Consolidation Term Loan and the 2022 Acquisition Term Loan, February 15,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Term Loan (2022)</w:t>
      </w:r>
      <w:r>
        <w:rPr>
          <w:rFonts w:ascii="Arial" w:cs="Arial" w:eastAsia="Arial" w:hAnsi="Arial"/>
          <w:sz w:val="18"/>
          <w:szCs w:val="18"/>
          <w:color w:val="auto"/>
        </w:rPr>
        <w:t>. Section 1.3A is hereby added to the Loan Agreement,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1.3A </w:t>
      </w:r>
      <w:r>
        <w:rPr>
          <w:rFonts w:ascii="Arial" w:cs="Arial" w:eastAsia="Arial" w:hAnsi="Arial"/>
          <w:sz w:val="18"/>
          <w:szCs w:val="18"/>
          <w:b w:val="1"/>
          <w:bCs w:val="1"/>
          <w:color w:val="auto"/>
        </w:rPr>
        <w:t>Term Loan (2022).</w:t>
      </w:r>
      <w:r>
        <w:rPr>
          <w:rFonts w:ascii="Arial" w:cs="Arial" w:eastAsia="Arial" w:hAnsi="Arial"/>
          <w:sz w:val="18"/>
          <w:szCs w:val="18"/>
          <w:color w:val="auto"/>
        </w:rPr>
        <w:t xml:space="preserve"> Subject to the terms and conditions of this Agreement, Lender hereby agrees to make a single Advance on the date of the First Amendment to the Borrowers under a term loan (the “</w:t>
      </w:r>
      <w:r>
        <w:rPr>
          <w:rFonts w:ascii="Arial" w:cs="Arial" w:eastAsia="Arial" w:hAnsi="Arial"/>
          <w:sz w:val="18"/>
          <w:szCs w:val="18"/>
          <w:b w:val="1"/>
          <w:bCs w:val="1"/>
          <w:color w:val="auto"/>
        </w:rPr>
        <w:t>Term Loan (2022)</w:t>
      </w:r>
      <w:r>
        <w:rPr>
          <w:rFonts w:ascii="Arial" w:cs="Arial" w:eastAsia="Arial" w:hAnsi="Arial"/>
          <w:sz w:val="18"/>
          <w:szCs w:val="18"/>
          <w:color w:val="auto"/>
        </w:rPr>
        <w:t>”) in the principal amount equal to Two Million and No/100 Dollars ($2,000,000.00). Amounts repaid under the Term Loan (2022) may not be reborrowed. The Term Loan (2022) shall be evidenced by a promissory note in form and substance acceptable to the Lender (the “</w:t>
      </w:r>
      <w:r>
        <w:rPr>
          <w:rFonts w:ascii="Arial" w:cs="Arial" w:eastAsia="Arial" w:hAnsi="Arial"/>
          <w:sz w:val="18"/>
          <w:szCs w:val="18"/>
          <w:b w:val="1"/>
          <w:bCs w:val="1"/>
          <w:color w:val="auto"/>
        </w:rPr>
        <w:t>Term Note (2022)</w:t>
      </w:r>
      <w:r>
        <w:rPr>
          <w:rFonts w:ascii="Arial" w:cs="Arial" w:eastAsia="Arial" w:hAnsi="Arial"/>
          <w:sz w:val="18"/>
          <w:szCs w:val="18"/>
          <w:color w:val="auto"/>
        </w:rPr>
        <w:t>”). Subject to the terms and conditions of this Agreement on the First Amendment Effective Date, Lender shall make the Term Loan (2022) pursuant to that certain Instruction Letter dated the First Amendment Effective Date by CRI and acknowledged and agreed by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Payments</w:t>
      </w:r>
      <w:r>
        <w:rPr>
          <w:rFonts w:ascii="Arial" w:cs="Arial" w:eastAsia="Arial" w:hAnsi="Arial"/>
          <w:sz w:val="18"/>
          <w:szCs w:val="18"/>
          <w:color w:val="auto"/>
        </w:rPr>
        <w:t>. Section 1.10 of the Loan Agreement is hereby deleted in its entirety and replaced with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Payments</w:t>
      </w:r>
      <w:r>
        <w:rPr>
          <w:rFonts w:ascii="Arial" w:cs="Arial" w:eastAsia="Arial" w:hAnsi="Arial"/>
          <w:sz w:val="18"/>
          <w:szCs w:val="18"/>
          <w:color w:val="auto"/>
        </w:rPr>
        <w:t>. Borrowers hereby jointly and severally promise to pay the amounts outstanding under the Loans as follows:</w:t>
      </w:r>
    </w:p>
    <w:p>
      <w:pPr>
        <w:spacing w:after="0" w:line="229" w:lineRule="exact"/>
        <w:rPr>
          <w:sz w:val="20"/>
          <w:szCs w:val="20"/>
          <w:color w:val="auto"/>
        </w:rPr>
      </w:pPr>
    </w:p>
    <w:p>
      <w:pPr>
        <w:ind w:firstLine="656"/>
        <w:spacing w:after="0" w:line="277" w:lineRule="auto"/>
        <w:tabs>
          <w:tab w:leader="none" w:pos="892"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Cash Interest Only</w:t>
      </w:r>
      <w:r>
        <w:rPr>
          <w:rFonts w:ascii="Arial" w:cs="Arial" w:eastAsia="Arial" w:hAnsi="Arial"/>
          <w:sz w:val="18"/>
          <w:szCs w:val="18"/>
          <w:color w:val="auto"/>
        </w:rPr>
        <w:t>. Commencing on March 1, 2022 and on the first day of each month, up to and including February 1, 2025, Borrowers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a payment of any accrued and unpaid interest on the Loans (other than the Term Loan (2022)) to Lender in cash.</w:t>
      </w:r>
    </w:p>
    <w:p>
      <w:pPr>
        <w:spacing w:after="0" w:line="170" w:lineRule="exact"/>
        <w:rPr>
          <w:sz w:val="20"/>
          <w:szCs w:val="20"/>
          <w:color w:val="auto"/>
        </w:rPr>
      </w:pPr>
    </w:p>
    <w:p>
      <w:pPr>
        <w:jc w:val="both"/>
        <w:ind w:firstLine="656"/>
        <w:spacing w:after="0" w:line="255" w:lineRule="auto"/>
        <w:tabs>
          <w:tab w:leader="none" w:pos="892"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Principal and Interest</w:t>
      </w:r>
      <w:r>
        <w:rPr>
          <w:rFonts w:ascii="Arial" w:cs="Arial" w:eastAsia="Arial" w:hAnsi="Arial"/>
          <w:sz w:val="18"/>
          <w:szCs w:val="18"/>
          <w:color w:val="auto"/>
        </w:rPr>
        <w:t>. Commencing on (i) with respect to the Term Loan (2022), February 1, 2023 and the first day of each month thereafter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until the Maturity Date of the Term Loan (2022), Borrowers shall make a payment on the Term Loan (2022) in equal monthly installments of principal sufficient to fully amortize the Term Loan (2022), and (ii) September 1, 2023, and on the first day of each month thereafter until the Maturity Date, Borrowers shall make a payment on the Consolidation Term Loan, in an equal monthly installment of principal sufficient to fully amortize the Consolidation Term Loan in eighteen equal installments, together with accrued and unpaid interest (in the case of (i) and (ii), above), with each principal payment.</w:t>
      </w:r>
    </w:p>
    <w:p>
      <w:pPr>
        <w:spacing w:after="0" w:line="192" w:lineRule="exact"/>
        <w:rPr>
          <w:rFonts w:ascii="Arial" w:cs="Arial" w:eastAsia="Arial" w:hAnsi="Arial"/>
          <w:sz w:val="18"/>
          <w:szCs w:val="18"/>
          <w:color w:val="auto"/>
        </w:rPr>
      </w:pPr>
    </w:p>
    <w:p>
      <w:pPr>
        <w:ind w:firstLine="656"/>
        <w:spacing w:after="0" w:line="277" w:lineRule="auto"/>
        <w:tabs>
          <w:tab w:leader="none" w:pos="916"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Payment in full at Maturity</w:t>
      </w:r>
      <w:r>
        <w:rPr>
          <w:rFonts w:ascii="Arial" w:cs="Arial" w:eastAsia="Arial" w:hAnsi="Arial"/>
          <w:sz w:val="18"/>
          <w:szCs w:val="18"/>
          <w:color w:val="auto"/>
        </w:rPr>
        <w:t>. On the Maturity Date of each Loan, Borrowers shall pay all outstanding principal remaining on such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with any accrued and unpaid interest related thereto.</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interest or any other payment to Lender under this Agreement becomes due and payable on a day other than a Business Day, such payment date shall be extended to the next succeeding Business Day.</w:t>
      </w:r>
    </w:p>
    <w:p>
      <w:pPr>
        <w:spacing w:after="0" w:line="166" w:lineRule="exact"/>
        <w:rPr>
          <w:sz w:val="20"/>
          <w:szCs w:val="20"/>
          <w:color w:val="auto"/>
        </w:rPr>
      </w:pPr>
    </w:p>
    <w:p>
      <w:pPr>
        <w:ind w:firstLine="8"/>
        <w:spacing w:after="0" w:line="282"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Negative Covenants</w:t>
      </w:r>
      <w:r>
        <w:rPr>
          <w:rFonts w:ascii="Arial" w:cs="Arial" w:eastAsia="Arial" w:hAnsi="Arial"/>
          <w:sz w:val="18"/>
          <w:szCs w:val="18"/>
          <w:color w:val="auto"/>
        </w:rPr>
        <w:t>. Section 5 of the Loan Agreement is hereby amended by deleting “or” at the end of clause (f), replacing the period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clause (g) with “; or” and adding a new clause (h) which reads as follows:</w:t>
      </w:r>
    </w:p>
    <w:p>
      <w:pPr>
        <w:spacing w:after="0" w:line="165" w:lineRule="exact"/>
        <w:rPr>
          <w:rFonts w:ascii="Arial" w:cs="Arial" w:eastAsia="Arial" w:hAnsi="Arial"/>
          <w:sz w:val="18"/>
          <w:szCs w:val="18"/>
          <w:color w:val="auto"/>
        </w:rPr>
      </w:pPr>
    </w:p>
    <w:p>
      <w:pPr>
        <w:ind w:left="1240" w:hanging="260"/>
        <w:spacing w:after="0"/>
        <w:tabs>
          <w:tab w:leader="none" w:pos="12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enter into any agreement, contract or other binding instrument with respect to any of the foregoing set forth in this Section 5.</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Borrowers hereby represent and warrant to Lender as follows:</w:t>
      </w:r>
    </w:p>
    <w:p>
      <w:pPr>
        <w:spacing w:after="0" w:line="229" w:lineRule="exact"/>
        <w:rPr>
          <w:rFonts w:ascii="Arial" w:cs="Arial" w:eastAsia="Arial" w:hAnsi="Arial"/>
          <w:sz w:val="18"/>
          <w:szCs w:val="18"/>
          <w:color w:val="auto"/>
        </w:rPr>
      </w:pPr>
    </w:p>
    <w:p>
      <w:pPr>
        <w:jc w:val="both"/>
        <w:ind w:firstLine="656"/>
        <w:spacing w:after="0" w:line="286" w:lineRule="auto"/>
        <w:tabs>
          <w:tab w:leader="none" w:pos="892" w:val="left"/>
        </w:tabs>
        <w:numPr>
          <w:ilvl w:val="1"/>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Representations and Warranties; No Event of Default</w:t>
      </w:r>
      <w:r>
        <w:rPr>
          <w:rFonts w:ascii="Arial" w:cs="Arial" w:eastAsia="Arial" w:hAnsi="Arial"/>
          <w:sz w:val="16"/>
          <w:szCs w:val="16"/>
          <w:color w:val="auto"/>
        </w:rPr>
        <w:t>. The representations and warranties herein, in Article 3 of the Loan Agreement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other Loan Document, certificate or other writing delivered by or on behalf of Borrowers to the Lender pursuant to this Amendment, the Loan Agreement or any other Loan Document on or prior to the date of this Amendment are true and correct in all material respects (except that such materiality qualifier shall not be applied to any representations or warranties that already are qualified or modified as to “materiality” or “Material Adverse Effect” in the text thereof, which representations and warranties shall be true and correct in all respects subject to such qualification) on and as of the date of this Amendment as though made on and as of such date (unless such representations or warranties (after taking into account this Amendment) are stated to relate to an earlier date, in which case such representations and warranties shall be true and correct on and as of such earlier date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 provided however the representations and warranties contained in Sections 3.8, 3.11 and 3.12 are also true and correct in all material respects as of the First Amendment Effective Date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and no Default or Event of Default has occurred and is continuing as of the date of this Amendment or would result from the execution, delivery and performance of the obligations under the Loan Agreement as amended hereby.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56"/>
        <w:spacing w:after="0" w:line="270" w:lineRule="auto"/>
        <w:tabs>
          <w:tab w:leader="none" w:pos="903" w:val="left"/>
        </w:tabs>
        <w:numPr>
          <w:ilvl w:val="1"/>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Authorization, Etc</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execution, delivery and performance by Borrowers of this Amendment and the other Loan Documents being executed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concurrently herewith, and the performance of the Loan Agreement, as amended hereby, and the other Loan Documents, (i) have been duly authorized by all necessary action, (ii) do not and will not contravene any of the governing documents of any Borrower or any applicable Requirement of Law, (iii) do not and will not contravene any Contractual Obligation binding on or otherwise affecting any Borrower or any of its properties (except for those the conflict with which could not reasonably be expected to result in a Material Adverse Effect), (iv) do not and will not result in or require the creation of any Lien (other than pursuant to any Loan Document) upon or with respect to any properties of any Borrower, and (v) do not and will not result in any default, noncompliance, suspension, revocation, impairment, forfeiture or non-renewal of any permit, license, authorization or approval applicable to its operations or any of its properties, except in each case to the extent that such default, noncompliance, contravention, suspension, revocation, impairment, forfeiture or non-renewal could not reasonably be expected to result in a Material Adverse Effect.</w:t>
      </w:r>
    </w:p>
    <w:p>
      <w:pPr>
        <w:spacing w:after="0" w:line="180" w:lineRule="exact"/>
        <w:rPr>
          <w:rFonts w:ascii="Arial" w:cs="Arial" w:eastAsia="Arial" w:hAnsi="Arial"/>
          <w:sz w:val="17"/>
          <w:szCs w:val="17"/>
          <w:color w:val="auto"/>
        </w:rPr>
      </w:pPr>
    </w:p>
    <w:p>
      <w:pPr>
        <w:jc w:val="both"/>
        <w:ind w:firstLine="656"/>
        <w:spacing w:after="0" w:line="259"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Enforceability of Loan Documents</w:t>
      </w:r>
      <w:r>
        <w:rPr>
          <w:rFonts w:ascii="Arial" w:cs="Arial" w:eastAsia="Arial" w:hAnsi="Arial"/>
          <w:sz w:val="18"/>
          <w:szCs w:val="18"/>
          <w:color w:val="auto"/>
        </w:rPr>
        <w:t>. This Amendment, the Loan Agreement as amended by this Amendment, and each other Loan 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which any Borrower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and by general principles of equity .</w:t>
      </w:r>
    </w:p>
    <w:p>
      <w:pPr>
        <w:spacing w:after="0" w:line="182" w:lineRule="exact"/>
        <w:rPr>
          <w:rFonts w:ascii="Arial" w:cs="Arial" w:eastAsia="Arial" w:hAnsi="Arial"/>
          <w:sz w:val="18"/>
          <w:szCs w:val="18"/>
          <w:color w:val="auto"/>
        </w:rPr>
      </w:pPr>
    </w:p>
    <w:p>
      <w:pPr>
        <w:jc w:val="both"/>
        <w:ind w:right="20" w:firstLine="8"/>
        <w:spacing w:after="0" w:line="266"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Conditions to Effectiveness</w:t>
      </w:r>
      <w:r>
        <w:rPr>
          <w:rFonts w:ascii="Arial" w:cs="Arial" w:eastAsia="Arial" w:hAnsi="Arial"/>
          <w:sz w:val="18"/>
          <w:szCs w:val="18"/>
          <w:color w:val="auto"/>
        </w:rPr>
        <w:t>. This Amendment shall become effective only upon satisfaction in full, in a manner reasonably satisfactory to the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counsel, of the following conditions precedent (the first date upon which all such conditions shall have been satisfied (or waived) being herein called the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656"/>
        <w:spacing w:after="0" w:line="268" w:lineRule="auto"/>
        <w:tabs>
          <w:tab w:leader="none" w:pos="906" w:val="left"/>
        </w:tabs>
        <w:numPr>
          <w:ilvl w:val="1"/>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Representations and Warranties</w:t>
      </w:r>
      <w:r>
        <w:rPr>
          <w:rFonts w:ascii="Arial" w:cs="Arial" w:eastAsia="Arial" w:hAnsi="Arial"/>
          <w:sz w:val="17"/>
          <w:szCs w:val="17"/>
          <w:color w:val="auto"/>
        </w:rPr>
        <w:t>. The representations and warranties contained in this Amendment and in Article 3 of the Loan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 each other Loan Document, certificate or other document delivered to Lender pursuant to this Amendment, the Loan Agreement or any other Loan Document on or prior to the First Amendment Effective Date are true and correct in all material respects (except that such materiality qualifier shall not be applied to any representations or warranties that already are qualified or modified as to “materiality” or “Material Adverse Effect” in the text thereof (which representations and warranties shall be true and correct in all respects subject to such qualification), on and as of the First Amendment Effective Date as though made on and as of such date, except to the extent that any such representation or warranty (after taking into account this Amendment) expressly relates solely to an earlier date (in which case such representation or warranty shall be true and correct on and as of such earlier date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provided however the representations and warranties contained in Sections 3.8, 3.11 and 3.12 are also true and correct in all material respects as of the First Amendment Effective Date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right="20" w:firstLine="656"/>
        <w:spacing w:after="0" w:line="277" w:lineRule="auto"/>
        <w:tabs>
          <w:tab w:leader="none" w:pos="903"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No Default; Event of Default</w:t>
      </w:r>
      <w:r>
        <w:rPr>
          <w:rFonts w:ascii="Arial" w:cs="Arial" w:eastAsia="Arial" w:hAnsi="Arial"/>
          <w:sz w:val="18"/>
          <w:szCs w:val="18"/>
          <w:color w:val="auto"/>
        </w:rPr>
        <w:t>. No Default or Event of Default shall have occurred and be continuing on the First Amendment Effective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result from this Amendment becoming effective in accordance with its terms.</w:t>
      </w:r>
    </w:p>
    <w:p>
      <w:pPr>
        <w:spacing w:after="0" w:line="170" w:lineRule="exact"/>
        <w:rPr>
          <w:rFonts w:ascii="Arial" w:cs="Arial" w:eastAsia="Arial" w:hAnsi="Arial"/>
          <w:sz w:val="18"/>
          <w:szCs w:val="18"/>
          <w:color w:val="auto"/>
        </w:rPr>
      </w:pPr>
    </w:p>
    <w:p>
      <w:pPr>
        <w:ind w:firstLine="656"/>
        <w:spacing w:after="0" w:line="277" w:lineRule="auto"/>
        <w:tabs>
          <w:tab w:leader="none" w:pos="906"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Delivery of Documents</w:t>
      </w:r>
      <w:r>
        <w:rPr>
          <w:rFonts w:ascii="Arial" w:cs="Arial" w:eastAsia="Arial" w:hAnsi="Arial"/>
          <w:sz w:val="18"/>
          <w:szCs w:val="18"/>
          <w:color w:val="auto"/>
        </w:rPr>
        <w:t>. The Lender shall have received on or before the First Amendment Effective Date the following, each in 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substance reasonably satisfactory to the Lender and, unless indicated otherwise, dated the First Amendment Effective Date:</w:t>
      </w:r>
    </w:p>
    <w:p>
      <w:pPr>
        <w:spacing w:after="0" w:line="170" w:lineRule="exact"/>
        <w:rPr>
          <w:rFonts w:ascii="Arial" w:cs="Arial" w:eastAsia="Arial" w:hAnsi="Arial"/>
          <w:sz w:val="18"/>
          <w:szCs w:val="18"/>
          <w:color w:val="auto"/>
        </w:rPr>
      </w:pPr>
    </w:p>
    <w:p>
      <w:pPr>
        <w:ind w:left="1200" w:hanging="220"/>
        <w:spacing w:after="0"/>
        <w:tabs>
          <w:tab w:leader="none" w:pos="1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this Amendment and the Term Note (2022), duly executed by each Borrower; and</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2"/>
          <w:numId w:val="24"/>
        </w:numPr>
        <w:rPr>
          <w:rFonts w:ascii="Arial" w:cs="Arial" w:eastAsia="Arial" w:hAnsi="Arial"/>
          <w:sz w:val="16"/>
          <w:szCs w:val="16"/>
          <w:color w:val="auto"/>
        </w:rPr>
      </w:pPr>
      <w:r>
        <w:rPr>
          <w:rFonts w:ascii="Arial" w:cs="Arial" w:eastAsia="Arial" w:hAnsi="Arial"/>
          <w:sz w:val="16"/>
          <w:szCs w:val="16"/>
          <w:color w:val="auto"/>
        </w:rPr>
        <w:t>a certificate of an authorized officer of each Borrower, certifying as to the matters set forth in subsections (a) and (b) of this Section 6.</w:t>
      </w:r>
    </w:p>
    <w:p>
      <w:pPr>
        <w:spacing w:after="0" w:line="244" w:lineRule="exact"/>
        <w:rPr>
          <w:rFonts w:ascii="Arial" w:cs="Arial" w:eastAsia="Arial" w:hAnsi="Arial"/>
          <w:sz w:val="16"/>
          <w:szCs w:val="16"/>
          <w:color w:val="auto"/>
        </w:rPr>
      </w:pPr>
    </w:p>
    <w:p>
      <w:pPr>
        <w:jc w:val="both"/>
        <w:ind w:firstLine="8"/>
        <w:spacing w:after="0" w:line="287" w:lineRule="auto"/>
        <w:tabs>
          <w:tab w:leader="none" w:pos="207"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Continued Effectiveness of the Loan Agreement and Other Loan Documents</w:t>
      </w:r>
      <w:r>
        <w:rPr>
          <w:rFonts w:ascii="Arial" w:cs="Arial" w:eastAsia="Arial" w:hAnsi="Arial"/>
          <w:sz w:val="16"/>
          <w:szCs w:val="16"/>
          <w:color w:val="auto"/>
        </w:rPr>
        <w:t>. Each Borrower hereby (i) confirms and agrees that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each other Loan Document to which it is a party is, and shall continue to be, in full force and effect and is hereby ratified and confirmed in all respects except that on and after the First Amendment Effective Date all references in any such Loan Document to “the Loan Agreement,” the “Agreement,” “thereto,” “thereof,” “thereunder” or words of like import referring to the Loan Agreement shall mean the Loan Agreement as amended by this Amendment, and (ii) confirms and agrees that to the extent that any Loan Document purports to assign or pledge to the Lender, or to grant to the Lender a security interest in or Lien on, any Collateral as security for the Obligations of any Borrower from time to time existing in respect of the Loan Agreement (as amended hereby) and the other Loan Documents, such pledge, assignment and/or grant of the security interest or Lien is hereby ratified and confirmed in all respects. This Amendment does not and shall not affect any of the obligations of any Borrower, other than as expressly provided herein, including, without limitation, the Borrower’s obligations to repay the Loans in accordance with the terms of the Loan Agreement, or the obligations of any Borrower under any Loan Document to which it is a party, all of which obligations shall remain in full force and effect. Except as expressly provided herein, the execution, delivery and effectiveness of this Amendment shall not operate as a waiver of any right, power or remedy of the Lender under the Loan Agreement or any other Loan Document, nor constitute a waiver of any provision of the Loan Agreement or any other Loan Document.</w:t>
      </w:r>
    </w:p>
    <w:p>
      <w:pPr>
        <w:spacing w:after="0" w:line="167" w:lineRule="exact"/>
        <w:rPr>
          <w:rFonts w:ascii="Arial" w:cs="Arial" w:eastAsia="Arial" w:hAnsi="Arial"/>
          <w:sz w:val="16"/>
          <w:szCs w:val="16"/>
          <w:color w:val="auto"/>
        </w:rPr>
      </w:pPr>
    </w:p>
    <w:p>
      <w:pPr>
        <w:jc w:val="both"/>
        <w:ind w:firstLine="8"/>
        <w:spacing w:after="0" w:line="268" w:lineRule="auto"/>
        <w:tabs>
          <w:tab w:leader="none" w:pos="193"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Release</w:t>
      </w:r>
      <w:r>
        <w:rPr>
          <w:rFonts w:ascii="Arial" w:cs="Arial" w:eastAsia="Arial" w:hAnsi="Arial"/>
          <w:sz w:val="17"/>
          <w:szCs w:val="17"/>
          <w:color w:val="auto"/>
        </w:rPr>
        <w:t>. (a) Each Borrower hereby acknowledges and agrees that: (i) no Borrower has any claim or cause of action against the Lender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or its or their officers, directors, employees, managers, members, partner, shareholders, attorneys or consultants) in connection with the Loan Documents and (ii) the Lender has heretofore properly performed and satisfied in a timely manner all of its obligations to Borrowers under the Loan Agreement and the other Loan Documents that are required to have been performed on or prior to the date hereof. Notwithstanding the foregoing, the Lender wishes (and Borrowers agree) to eliminate any possibility that any past conditions, acts, omissions, events or circumstances would impair or otherwise adversely affect any of the Lender’s rights, interests, security and/or remedies under the Loan Agreement and the other Loan Documents. Accordingly, for and in consideration of the agreements contained in this Amendment and other good and valuable consideration, each Borrower (for itself and each other Borrower and the successors, assigns, heirs and representatives of each of the foregoing) (collectively, the “</w:t>
      </w:r>
      <w:r>
        <w:rPr>
          <w:rFonts w:ascii="Arial" w:cs="Arial" w:eastAsia="Arial" w:hAnsi="Arial"/>
          <w:sz w:val="17"/>
          <w:szCs w:val="17"/>
          <w:b w:val="1"/>
          <w:bCs w:val="1"/>
          <w:color w:val="auto"/>
        </w:rPr>
        <w:t>Releasors</w:t>
      </w:r>
      <w:r>
        <w:rPr>
          <w:rFonts w:ascii="Arial" w:cs="Arial" w:eastAsia="Arial" w:hAnsi="Arial"/>
          <w:sz w:val="17"/>
          <w:szCs w:val="17"/>
          <w:color w:val="auto"/>
        </w:rPr>
        <w:t>”) does hereby fully, finally, unconditionally and irrevocably release and forever discharge Lender and each of its Affiliates and its and their managers, members, partners, officers, directors, employees, shareholders attorneys and consultants in their capacities as or for the Lender (collectively, the “</w:t>
      </w:r>
      <w:r>
        <w:rPr>
          <w:rFonts w:ascii="Arial" w:cs="Arial" w:eastAsia="Arial" w:hAnsi="Arial"/>
          <w:sz w:val="17"/>
          <w:szCs w:val="17"/>
          <w:b w:val="1"/>
          <w:bCs w:val="1"/>
          <w:color w:val="auto"/>
        </w:rPr>
        <w:t>Released Parties</w:t>
      </w:r>
      <w:r>
        <w:rPr>
          <w:rFonts w:ascii="Arial" w:cs="Arial" w:eastAsia="Arial" w:hAnsi="Arial"/>
          <w:sz w:val="17"/>
          <w:szCs w:val="17"/>
          <w:color w:val="auto"/>
        </w:rPr>
        <w:t>”)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directly arising out of, connected with or related to this Amendment, the Loan Agreement or any other Loan Document, or any act, event or transaction related or attendant thereto, or the agreements of the Lender contained therein, or the possession, use, operation or control of any of the assets of any Borrower, or the making of any Loans or other Advances, or the management of such Loans or Advances or the Collateral, in each case, solely to the extent arising from any act, omission or thing whatsoever done or omitted to be done on or prior to the First Amendment Effective Date.</w:t>
      </w:r>
    </w:p>
    <w:p>
      <w:pPr>
        <w:spacing w:after="0" w:line="174" w:lineRule="exact"/>
        <w:rPr>
          <w:rFonts w:ascii="Arial" w:cs="Arial" w:eastAsia="Arial" w:hAnsi="Arial"/>
          <w:sz w:val="17"/>
          <w:szCs w:val="17"/>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656"/>
        <w:spacing w:after="0" w:line="263" w:lineRule="auto"/>
        <w:tabs>
          <w:tab w:leader="none" w:pos="9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Borrowers will pay on demand all reasonable and documented out-of-pocket fees, costs and expenses of the Lender in connection with the structuring, preparation, negotiation, execution and delivery of this Amendment and the transactions and all documents contemplated herein and therein, and related transactions, and all documents with respect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firstLine="656"/>
        <w:spacing w:after="0" w:line="277" w:lineRule="auto"/>
        <w:tabs>
          <w:tab w:leader="none" w:pos="9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Section and paragraph headings herein are included for convenience of reference only and shall not constitute a part of this Amendment for any other purpose.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Borrowers hereby acknowledge and agree that this Amendment constitutes a “Loan Document” under the Loan Agreement. Accordingly, it shall be an Event of Default under the Loan Agreement if (i) any representation or warranty made by a Borrower under or in connection with this Amendment shall have been incorrect in any material respect when made, or (ii) any Borrower shall fail to perform or observe any term, covenant or agreement contained in this Amendment.</w:t>
      </w:r>
    </w:p>
    <w:p>
      <w:pPr>
        <w:spacing w:after="0" w:line="186" w:lineRule="exact"/>
        <w:rPr>
          <w:rFonts w:ascii="Arial" w:cs="Arial" w:eastAsia="Arial" w:hAnsi="Arial"/>
          <w:sz w:val="18"/>
          <w:szCs w:val="18"/>
          <w:color w:val="auto"/>
        </w:rPr>
      </w:pPr>
    </w:p>
    <w:p>
      <w:pPr>
        <w:ind w:firstLine="656"/>
        <w:spacing w:after="0" w:line="277" w:lineRule="auto"/>
        <w:tabs>
          <w:tab w:leader="none" w:pos="9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representations, warranties, acknowledgements, agreements and other covenants of the Borrowers in this Amendment are made on a joint and several basis and are made by each Borrower with respect to itself and all other Borrowers.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83" w:lineRule="exact"/>
        <w:rPr>
          <w:rFonts w:ascii="Arial" w:cs="Arial" w:eastAsia="Arial" w:hAnsi="Arial"/>
          <w:sz w:val="18"/>
          <w:szCs w:val="18"/>
          <w:color w:val="auto"/>
        </w:rPr>
      </w:pPr>
    </w:p>
    <w:p>
      <w:pPr>
        <w:ind w:right="20" w:firstLine="656"/>
        <w:spacing w:after="0" w:line="277" w:lineRule="auto"/>
        <w:tabs>
          <w:tab w:leader="none" w:pos="881"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case of any conflict between the terms of this Amendment and any Loan Document (including any promissory notes and allonges), the terms of this Amendment shall control.</w:t>
      </w:r>
    </w:p>
    <w:p>
      <w:pPr>
        <w:spacing w:after="0" w:line="166" w:lineRule="exact"/>
        <w:rPr>
          <w:rFonts w:ascii="Arial" w:cs="Arial" w:eastAsia="Arial" w:hAnsi="Arial"/>
          <w:sz w:val="18"/>
          <w:szCs w:val="18"/>
          <w:color w:val="auto"/>
        </w:rPr>
      </w:pPr>
    </w:p>
    <w:p>
      <w:pPr>
        <w:jc w:val="both"/>
        <w:ind w:firstLine="8"/>
        <w:spacing w:after="0" w:line="266"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entered into in any number of separate counterparts by any one or more of the parties hereto, and all of said</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taken together shall constitute one and the same instrument. Valid and binding signatures to this Amendment may be delivered in original ink, by facsimile or by email or other means of electronic transmission.</w:t>
      </w:r>
    </w:p>
    <w:p>
      <w:pPr>
        <w:spacing w:after="0" w:line="175" w:lineRule="exact"/>
        <w:rPr>
          <w:rFonts w:ascii="Arial" w:cs="Arial" w:eastAsia="Arial" w:hAnsi="Arial"/>
          <w:sz w:val="18"/>
          <w:szCs w:val="18"/>
          <w:color w:val="auto"/>
        </w:rPr>
      </w:pPr>
    </w:p>
    <w:p>
      <w:pPr>
        <w:ind w:firstLine="8"/>
        <w:spacing w:after="0" w:line="347" w:lineRule="auto"/>
        <w:tabs>
          <w:tab w:leader="none" w:pos="263"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Amendment and the obligations arising hereunder shall be governed by, and construed and enforced in accordance with, the laws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State of New York applicable to contracts made and performed in such state, without regard to the principles thereof regarding conflicts of laws.</w:t>
      </w:r>
    </w:p>
    <w:p>
      <w:pPr>
        <w:spacing w:after="0" w:line="115" w:lineRule="exact"/>
        <w:rPr>
          <w:rFonts w:ascii="Arial" w:cs="Arial" w:eastAsia="Arial" w:hAnsi="Arial"/>
          <w:sz w:val="16"/>
          <w:szCs w:val="16"/>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Submission To Jurisdiction; Waiver Of Jury Trial</w:t>
      </w:r>
      <w:r>
        <w:rPr>
          <w:rFonts w:ascii="Arial" w:cs="Arial" w:eastAsia="Arial" w:hAnsi="Arial"/>
          <w:sz w:val="18"/>
          <w:szCs w:val="18"/>
          <w:u w:val="single" w:color="auto"/>
          <w:color w:val="auto"/>
        </w:rPr>
        <w:t>.</w:t>
      </w:r>
    </w:p>
    <w:p>
      <w:pPr>
        <w:spacing w:after="0" w:line="229" w:lineRule="exact"/>
        <w:rPr>
          <w:rFonts w:ascii="Arial" w:cs="Arial" w:eastAsia="Arial" w:hAnsi="Arial"/>
          <w:sz w:val="18"/>
          <w:szCs w:val="18"/>
          <w:color w:val="auto"/>
        </w:rPr>
      </w:pPr>
    </w:p>
    <w:p>
      <w:pPr>
        <w:jc w:val="both"/>
        <w:ind w:firstLine="656"/>
        <w:spacing w:after="0" w:line="269" w:lineRule="auto"/>
        <w:tabs>
          <w:tab w:leader="none" w:pos="917"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BORROWER HEREBY CONSENTS AND AGREES THAT THE STATE OR FEDERAL COURTS LOCATED IN NEW YORK CITY, NEW YORK, SHALL HAVE EXCLUSIVE JURISDICTION TO HEAR AND DETERMINE ANY CLAIMS OR DISPUTES BETWEEN BORROWERS AND THE LENDER PERTAINING TO THIS AMENDMENT OR ANY OF THE OTHER LOAN DOCUMENTS OR TO ANY MATTER ARISING OUT OF OR RELATED TO THIS AMENDMENT OR ANY OF THE OTHER LOAN DOCUMENTS; PROVIDED, HOWEVER, THAT NOTHING IN THIS AMENDMENT OR ANY OTHER LOAN DOCUMENT SHALL BE DEEMED OR OPERATE TO PRECLUDE THE LENDER FROM BRINGING SUIT OR TAKING OTHER LEGAL ACTION IN ANY OTHER JURISDICTION TO COLLECT THE OBLIGATIONS, TO REALIZE ON THE COLLATERAL OR ANY OTHER SECURITY FOR THE OBLIGATIONS, OR TO ENFORCE A JUDGMENT OR OTHER COURT ORDER IN FAVOR OF THE LENDER. EACH BORROWER EXPRESSLY SUBMITS AND CONSENTS IN ADVANCE TO SUCH JURISDICTION IN ANYACTION OR SUIT COMMENCED IN ANY SUCH COURT, AND EACH BORROWER HEREBY WAIVES ANY OBJECTION THAT IT MAY HAVE BASED UPON LACK OF PERSONAL JURISDICTION, IMPROPER VENUE OR FORUM NON CONVENIENS.</w:t>
      </w:r>
    </w:p>
    <w:p>
      <w:pPr>
        <w:spacing w:after="0" w:line="185" w:lineRule="exact"/>
        <w:rPr>
          <w:rFonts w:ascii="Arial" w:cs="Arial" w:eastAsia="Arial" w:hAnsi="Arial"/>
          <w:sz w:val="17"/>
          <w:szCs w:val="17"/>
          <w:color w:val="auto"/>
        </w:rPr>
      </w:pPr>
    </w:p>
    <w:p>
      <w:pPr>
        <w:jc w:val="both"/>
        <w:ind w:firstLine="656"/>
        <w:spacing w:after="0" w:line="279" w:lineRule="auto"/>
        <w:tabs>
          <w:tab w:leader="none" w:pos="932"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PARTIES HERETO WAIVE ALL RIGHTS TO TRIAL BY JURY IN ANY ACTION, SUIT, OR PROCEEDING BROUGHT TO RESOLVE ANY DISPUTE, WHETHER ARISING IN CONTRACT, TORT, OR OTHERWISE BETWEEN LENDER AND EACH BORROWER ARISING OUT OF, CONNECTED WITH, RELATED OR INCIDENTAL TO THE RELATIONSHIP ESTABLISHED BETWEEN THEM IN CONNECTION WITH THIS AMENDMENT, THE OTHER LOAN DOCUMENTS OR THE TRANSACTIONS RELATED HERETO OR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6"/>
          <w:szCs w:val="16"/>
          <w:color w:val="auto"/>
        </w:rPr>
        <w:t>IN WITNESS WHEREOF, the parties hereto have caused this Amendment to be executed and delivered as of the date set forth on the first page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BORROWERS:</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LENDER:</w:t>
            </w:r>
          </w:p>
        </w:tc>
        <w:tc>
          <w:tcPr>
            <w:tcW w:w="0" w:type="dxa"/>
            <w:vAlign w:val="bottom"/>
          </w:tcPr>
          <w:p>
            <w:pPr>
              <w:spacing w:after="0"/>
              <w:rPr>
                <w:sz w:val="1"/>
                <w:szCs w:val="1"/>
                <w:color w:val="auto"/>
              </w:rPr>
            </w:pPr>
          </w:p>
        </w:tc>
      </w:tr>
      <w:tr>
        <w:trPr>
          <w:trHeight w:val="41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reative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ealities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lipstream</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ommunications</w:t>
            </w:r>
            <w:r>
              <w:rPr>
                <w:rFonts w:ascii="Arial" w:cs="Arial" w:eastAsia="Arial" w:hAnsi="Arial"/>
                <w:sz w:val="18"/>
                <w:szCs w:val="18"/>
                <w:b w:val="1"/>
                <w:bCs w:val="1"/>
                <w:color w:val="auto"/>
              </w:rPr>
              <w:t>, LLC</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reative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ealities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anada</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28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llure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olutions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28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eflect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ystems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Mills</w:t>
            </w:r>
          </w:p>
        </w:tc>
        <w:tc>
          <w:tcPr>
            <w:tcW w:w="2800" w:type="dxa"/>
            <w:vAlign w:val="bottom"/>
            <w:vMerge w:val="restart"/>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Friedman</w:t>
            </w: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Richard Mills</w:t>
            </w:r>
          </w:p>
        </w:tc>
        <w:tc>
          <w:tcPr>
            <w:tcW w:w="2800" w:type="dxa"/>
            <w:vAlign w:val="bottom"/>
            <w:vMerge w:val="continue"/>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Brian Friedman</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800" w:type="dxa"/>
            <w:vAlign w:val="bottom"/>
          </w:tcPr>
          <w:p>
            <w:pPr>
              <w:ind w:left="22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Address for Notice (for all Borrowers):</w:t>
            </w:r>
          </w:p>
        </w:tc>
        <w:tc>
          <w:tcPr>
            <w:tcW w:w="6720" w:type="dxa"/>
            <w:vAlign w:val="bottom"/>
            <w:gridSpan w:val="2"/>
          </w:tcPr>
          <w:p>
            <w:pPr>
              <w:ind w:left="2240"/>
              <w:spacing w:after="0"/>
              <w:rPr>
                <w:sz w:val="20"/>
                <w:szCs w:val="20"/>
                <w:color w:val="auto"/>
              </w:rPr>
            </w:pPr>
            <w:r>
              <w:rPr>
                <w:rFonts w:ascii="Arial" w:cs="Arial" w:eastAsia="Arial" w:hAnsi="Arial"/>
                <w:sz w:val="18"/>
                <w:szCs w:val="18"/>
                <w:color w:val="auto"/>
              </w:rPr>
              <w:t>Address for Notice: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First Amendment to Second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96"/>
              </w:rPr>
              <w:t>10.5</w:t>
            </w:r>
          </w:p>
        </w:tc>
      </w:tr>
      <w:tr>
        <w:trPr>
          <w:trHeight w:val="432"/>
        </w:trPr>
        <w:tc>
          <w:tcPr>
            <w:tcW w:w="2920" w:type="dxa"/>
            <w:vAlign w:val="bottom"/>
          </w:tcPr>
          <w:p>
            <w:pPr>
              <w:spacing w:after="0"/>
              <w:rPr>
                <w:sz w:val="24"/>
                <w:szCs w:val="24"/>
                <w:color w:val="auto"/>
              </w:rPr>
            </w:pPr>
          </w:p>
        </w:tc>
        <w:tc>
          <w:tcPr>
            <w:tcW w:w="7940" w:type="dxa"/>
            <w:vAlign w:val="bottom"/>
          </w:tcPr>
          <w:p>
            <w:pPr>
              <w:jc w:val="right"/>
              <w:ind w:right="4330"/>
              <w:spacing w:after="0"/>
              <w:rPr>
                <w:sz w:val="20"/>
                <w:szCs w:val="20"/>
                <w:color w:val="auto"/>
              </w:rPr>
            </w:pPr>
            <w:r>
              <w:rPr>
                <w:rFonts w:ascii="Arial" w:cs="Arial" w:eastAsia="Arial" w:hAnsi="Arial"/>
                <w:sz w:val="18"/>
                <w:szCs w:val="18"/>
                <w:b w:val="1"/>
                <w:bCs w:val="1"/>
                <w:color w:val="auto"/>
              </w:rPr>
              <w:t>TERM NOTE (2022)</w:t>
            </w:r>
          </w:p>
        </w:tc>
        <w:tc>
          <w:tcPr>
            <w:tcW w:w="380" w:type="dxa"/>
            <w:vAlign w:val="bottom"/>
          </w:tcPr>
          <w:p>
            <w:pPr>
              <w:spacing w:after="0"/>
              <w:rPr>
                <w:sz w:val="24"/>
                <w:szCs w:val="24"/>
                <w:color w:val="auto"/>
              </w:rPr>
            </w:pPr>
          </w:p>
        </w:tc>
      </w:tr>
      <w:tr>
        <w:trPr>
          <w:trHeight w:val="418"/>
        </w:trPr>
        <w:tc>
          <w:tcPr>
            <w:tcW w:w="2920" w:type="dxa"/>
            <w:vAlign w:val="bottom"/>
          </w:tcPr>
          <w:p>
            <w:pPr>
              <w:jc w:val="right"/>
              <w:ind w:right="1790"/>
              <w:spacing w:after="0"/>
              <w:rPr>
                <w:sz w:val="20"/>
                <w:szCs w:val="20"/>
                <w:color w:val="auto"/>
              </w:rPr>
            </w:pPr>
            <w:r>
              <w:rPr>
                <w:rFonts w:ascii="Arial" w:cs="Arial" w:eastAsia="Arial" w:hAnsi="Arial"/>
                <w:sz w:val="18"/>
                <w:szCs w:val="18"/>
                <w:color w:val="auto"/>
                <w:w w:val="88"/>
              </w:rPr>
              <w:t>$2,000,000.00</w:t>
            </w:r>
          </w:p>
        </w:tc>
        <w:tc>
          <w:tcPr>
            <w:tcW w:w="7940" w:type="dxa"/>
            <w:vAlign w:val="bottom"/>
          </w:tcPr>
          <w:p>
            <w:pPr>
              <w:jc w:val="right"/>
              <w:spacing w:after="0"/>
              <w:rPr>
                <w:sz w:val="20"/>
                <w:szCs w:val="20"/>
                <w:color w:val="auto"/>
              </w:rPr>
            </w:pPr>
            <w:r>
              <w:rPr>
                <w:rFonts w:ascii="Arial" w:cs="Arial" w:eastAsia="Arial" w:hAnsi="Arial"/>
                <w:sz w:val="18"/>
                <w:szCs w:val="18"/>
                <w:color w:val="auto"/>
              </w:rPr>
              <w:t>October 31,</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2022</w:t>
            </w:r>
          </w:p>
        </w:tc>
      </w:tr>
      <w:tr>
        <w:trPr>
          <w:trHeight w:val="230"/>
        </w:trPr>
        <w:tc>
          <w:tcPr>
            <w:tcW w:w="2920" w:type="dxa"/>
            <w:vAlign w:val="bottom"/>
          </w:tcPr>
          <w:p>
            <w:pPr>
              <w:spacing w:after="0"/>
              <w:rPr>
                <w:sz w:val="20"/>
                <w:szCs w:val="20"/>
                <w:color w:val="auto"/>
              </w:rPr>
            </w:pPr>
          </w:p>
        </w:tc>
        <w:tc>
          <w:tcPr>
            <w:tcW w:w="8320" w:type="dxa"/>
            <w:vAlign w:val="bottom"/>
            <w:gridSpan w:val="2"/>
          </w:tcPr>
          <w:p>
            <w:pPr>
              <w:ind w:left="7340"/>
              <w:spacing w:after="0"/>
              <w:rPr>
                <w:sz w:val="20"/>
                <w:szCs w:val="20"/>
                <w:color w:val="auto"/>
              </w:rPr>
            </w:pPr>
            <w:r>
              <w:rPr>
                <w:rFonts w:ascii="Arial" w:cs="Arial" w:eastAsia="Arial" w:hAnsi="Arial"/>
                <w:sz w:val="18"/>
                <w:szCs w:val="18"/>
                <w:color w:val="auto"/>
                <w:w w:val="89"/>
              </w:rPr>
              <w:t>Stamford, CT</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The undersigned, for value received, jointly and severally promise to pay to the order of </w:t>
      </w:r>
      <w:r>
        <w:rPr>
          <w:rFonts w:ascii="Arial" w:cs="Arial" w:eastAsia="Arial" w:hAnsi="Arial"/>
          <w:sz w:val="18"/>
          <w:szCs w:val="18"/>
          <w:b w:val="1"/>
          <w:bCs w:val="1"/>
          <w:color w:val="auto"/>
        </w:rPr>
        <w:t>S</w:t>
      </w:r>
      <w:r>
        <w:rPr>
          <w:rFonts w:ascii="Arial" w:cs="Arial" w:eastAsia="Arial" w:hAnsi="Arial"/>
          <w:sz w:val="12"/>
          <w:szCs w:val="12"/>
          <w:b w:val="1"/>
          <w:bCs w:val="1"/>
          <w:color w:val="auto"/>
        </w:rPr>
        <w:t>lipstream</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2"/>
          <w:szCs w:val="12"/>
          <w:b w:val="1"/>
          <w:bCs w:val="1"/>
          <w:color w:val="auto"/>
        </w:rPr>
        <w:t>ommunications</w:t>
      </w:r>
      <w:r>
        <w:rPr>
          <w:rFonts w:ascii="Arial" w:cs="Arial" w:eastAsia="Arial" w:hAnsi="Arial"/>
          <w:sz w:val="18"/>
          <w:szCs w:val="18"/>
          <w:b w:val="1"/>
          <w:bCs w:val="1"/>
          <w:color w:val="auto"/>
        </w:rPr>
        <w:t>, LLC</w:t>
      </w:r>
      <w:r>
        <w:rPr>
          <w:rFonts w:ascii="Arial" w:cs="Arial" w:eastAsia="Arial" w:hAnsi="Arial"/>
          <w:sz w:val="18"/>
          <w:szCs w:val="18"/>
          <w:color w:val="auto"/>
        </w:rPr>
        <w:t xml:space="preserve"> (the “</w:t>
      </w:r>
      <w:r>
        <w:rPr>
          <w:rFonts w:ascii="Arial" w:cs="Arial" w:eastAsia="Arial" w:hAnsi="Arial"/>
          <w:sz w:val="18"/>
          <w:szCs w:val="18"/>
          <w:b w:val="1"/>
          <w:bCs w:val="1"/>
          <w:color w:val="auto"/>
        </w:rPr>
        <w:t>Lender</w:t>
      </w:r>
      <w:r>
        <w:rPr>
          <w:rFonts w:ascii="Arial" w:cs="Arial" w:eastAsia="Arial" w:hAnsi="Arial"/>
          <w:sz w:val="18"/>
          <w:szCs w:val="18"/>
          <w:color w:val="auto"/>
        </w:rPr>
        <w:t>”) at its office in Stamford, Connecticut (or such other office designated by the Lender from time to time) the aggregate unpaid amount of all Advances under the Term Loan (2022) made to the undersigned by the Lender pursuant to the Credit Agreement referred to below, such principal amount to be payable in the amounts and on the dates set forth in the Credit Agreement.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further jointly and severally promise to pay interest on the unpaid principal amount of each Advance under the Term Loan (2022) from the date of such loan until the Term Loan (2022) is paid in full, payable at the rate(s) and at the time(s) set forth in the Credit Agreement. Payments of both principal and interest are to be made in lawful money of the United States and in immediately available funds.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Note evidences indebtedness incurred under, and is subject to the terms and provisions of, that certain Second Amended and Restated Loan and Security Agreement, dated as of February 15, 2022 (as amended, restated, supplemented or otherwise modified from time to time, the “</w:t>
      </w:r>
      <w:r>
        <w:rPr>
          <w:rFonts w:ascii="Arial" w:cs="Arial" w:eastAsia="Arial" w:hAnsi="Arial"/>
          <w:sz w:val="18"/>
          <w:szCs w:val="18"/>
          <w:b w:val="1"/>
          <w:b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terms not otherwise defined herein are used herein as defined in the Credit Agreement), by and between the undersigned and the Lender,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Credit Agreement reference is hereby made for a statement of the terms and provisions under which this Note may or must be paid prior to its due date or its due date accelerated.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Note is made under and governed by the laws of the State of New York applicable to contracts made and to be performed entirely within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shall pay all costs of collection, including reasonable attorneys’ fees and legal expenses if this Note is not paid when due, whether or not legal proceedings are commenced.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Presentment or other demand for payment, notice of dishonor and protest are expressly waived.</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reative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ealities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reative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ealities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anada</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llure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olutions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eflect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ystems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11"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Will Logan</w:t>
      </w:r>
    </w:p>
    <w:p>
      <w:pPr>
        <w:spacing w:after="0" w:line="36"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i w:val="1"/>
          <w:iCs w:val="1"/>
          <w:color w:val="auto"/>
        </w:rPr>
        <w:t>Signature Page to Term Note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151765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31.1</w:t>
      </w:r>
    </w:p>
    <w:p>
      <w:pPr>
        <w:spacing w:after="0" w:line="2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and nine months ended September 30, 2022, of Creative Realities,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and nine months ended September 30, 2022, of Creative Realities,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and nine months ended September 30, 2022,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CHIEF FINANCIAL OFFICER CERTIFICATION PURSUANT TO</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and nine months ended September 30, 2022,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6"/>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lowerLetter"/>
      <w:start w:val="9"/>
    </w:lvl>
    <w:lvl w:ilvl="1">
      <w:lvlJc w:val="left"/>
      <w:lvlText w:val="(%2)"/>
      <w:numFmt w:val="lowerLetter"/>
      <w:start w:val="1"/>
    </w:lvl>
  </w:abstractNum>
  <w:abstractNum w:abstractNumId="8">
    <w:nsid w:val="62BBD95A"/>
    <w:multiLevelType w:val="hybridMultilevel"/>
    <w:lvl w:ilvl="0">
      <w:lvlJc w:val="left"/>
      <w:lvlText w:val="%1"/>
      <w:numFmt w:val="lowerLetter"/>
      <w:start w:val="1"/>
    </w:lvl>
    <w:lvl w:ilvl="1">
      <w:lvlJc w:val="left"/>
      <w:lvlText w:val="(%2)"/>
      <w:numFmt w:val="lowerLetter"/>
      <w:start w:val="3"/>
    </w:lvl>
  </w:abstractNum>
  <w:abstractNum w:abstractNumId="9">
    <w:nsid w:val="436C6125"/>
    <w:multiLevelType w:val="hybridMultilevel"/>
    <w:lvl w:ilvl="0">
      <w:lvlJc w:val="left"/>
      <w:lvlText w:val="(%1)"/>
      <w:numFmt w:val="lowerLetter"/>
      <w:start w:val="61"/>
    </w:lvl>
    <w:lvl w:ilvl="1">
      <w:lvlJc w:val="left"/>
      <w:lvlText w:val="%2"/>
      <w:numFmt w:val="lowerLetter"/>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04"/>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3"/>
    </w:lvl>
  </w:abstractNum>
  <w:abstractNum w:abstractNumId="20">
    <w:nsid w:val="B03E0C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8"/>
    </w:lvl>
  </w:abstractNum>
  <w:abstractNum w:abstractNumId="21">
    <w:nsid w:val="189A769B"/>
    <w:multiLevelType w:val="hybridMultilevel"/>
    <w:lvl w:ilvl="0">
      <w:lvlJc w:val="left"/>
      <w:lvlText w:val="%1"/>
      <w:numFmt w:val="decimal"/>
      <w:start w:val="1"/>
    </w:lvl>
    <w:lvl w:ilvl="1">
      <w:lvlJc w:val="left"/>
      <w:lvlText w:val="(%2)"/>
      <w:numFmt w:val="lowerLetter"/>
      <w:start w:val="2"/>
    </w:lvl>
  </w:abstractNum>
  <w:abstractNum w:abstractNumId="22">
    <w:nsid w:val="54E49EB4"/>
    <w:multiLevelType w:val="hybridMultilevel"/>
    <w:lvl w:ilvl="0">
      <w:lvlJc w:val="left"/>
      <w:lvlText w:val="%1."/>
      <w:numFmt w:val="decimal"/>
      <w:start w:val="6"/>
    </w:lvl>
    <w:lvl w:ilvl="1">
      <w:lvlJc w:val="left"/>
      <w:lvlText w:val="(%2)"/>
      <w:numFmt w:val="lowerLetter"/>
      <w:start w:val="1"/>
    </w:lvl>
  </w:abstractNum>
  <w:abstractNum w:abstractNumId="23">
    <w:nsid w:val="71F324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
    <w:nsid w:val="2CA8861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836C40E"/>
    <w:multiLevelType w:val="hybridMultilevel"/>
    <w:lvl w:ilvl="0">
      <w:lvlJc w:val="left"/>
      <w:lvlText w:val="%1"/>
      <w:numFmt w:val="decimal"/>
      <w:start w:val="1"/>
    </w:lvl>
    <w:lvl w:ilvl="1">
      <w:lvlJc w:val="left"/>
      <w:lvlText w:val="(%2)"/>
      <w:numFmt w:val="lowerLetter"/>
      <w:start w:val="2"/>
    </w:lvl>
  </w:abstractNum>
  <w:abstractNum w:abstractNumId="26">
    <w:nsid w:val="2901D82"/>
    <w:multiLevelType w:val="hybridMultilevel"/>
    <w:lvl w:ilvl="0">
      <w:lvlJc w:val="left"/>
      <w:lvlText w:val="%1."/>
      <w:numFmt w:val="decimal"/>
      <w:start w:val="10"/>
    </w:lvl>
    <w:lvl w:ilvl="1">
      <w:lvlJc w:val="left"/>
      <w:lvlText w:val="(%2)"/>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58" Type="http://schemas.openxmlformats.org/officeDocument/2006/relationships/hyperlink" Target="http://www.sec.gov/Archives/edgar/data/1356093/000121390022037700/ea162551ex10-1_creative.htm" TargetMode="External"/><Relationship Id="rId59" Type="http://schemas.openxmlformats.org/officeDocument/2006/relationships/hyperlink" Target="http://www.sec.gov/Archives/edgar/data/1356093/000121390022037700/ea162551ex10-2_creative.htm" TargetMode="External"/><Relationship Id="rId60" Type="http://schemas.openxmlformats.org/officeDocument/2006/relationships/hyperlink" Target="http://www.sec.gov/Archives/edgar/data/1356093/000121390022037700/ea162551ex10-3_creat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2022-11-14T19:00:19Z</dcterms:created>
  <dcterms:modified xsi:type="dcterms:W3CDTF">2022-11-14T19:00:19Z</dcterms:modified>
</cp:coreProperties>
</file>