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00" w:type="dxa"/>
            <w:vAlign w:val="bottom"/>
            <w:gridSpan w:val="3"/>
            <w:vMerge w:val="restart"/>
          </w:tcPr>
          <w:p>
            <w:pPr>
              <w:jc w:val="center"/>
              <w:ind w:right="1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gridSpan w:val="2"/>
            <w:vMerge w:val="restart"/>
          </w:tcPr>
          <w:p>
            <w:pPr>
              <w:jc w:val="center"/>
              <w:ind w:left="4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40" w:type="dxa"/>
            <w:vAlign w:val="bottom"/>
            <w:gridSpan w:val="5"/>
            <w:vMerge w:val="restart"/>
          </w:tcPr>
          <w:p>
            <w:pPr>
              <w:jc w:val="center"/>
              <w:ind w:right="43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4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60" w:type="dxa"/>
            <w:vAlign w:val="bottom"/>
            <w:gridSpan w:val="3"/>
            <w:vMerge w:val="restart"/>
          </w:tcPr>
          <w:p>
            <w:pPr>
              <w:jc w:val="center"/>
              <w:ind w:left="372"/>
              <w:spacing w:after="0"/>
              <w:rPr>
                <w:sz w:val="20"/>
                <w:szCs w:val="20"/>
                <w:color w:val="auto"/>
              </w:rPr>
            </w:pPr>
            <w:r>
              <w:rPr>
                <w:rFonts w:ascii="Arial" w:cs="Arial" w:eastAsia="Arial" w:hAnsi="Arial"/>
                <w:sz w:val="22"/>
                <w:szCs w:val="22"/>
                <w:b w:val="1"/>
                <w:bCs w:val="1"/>
                <w:color w:val="auto"/>
                <w:w w:val="97"/>
              </w:rPr>
              <w:t>CIK (Filer ID Number)</w:t>
            </w:r>
          </w:p>
        </w:tc>
        <w:tc>
          <w:tcPr>
            <w:tcW w:w="18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560" w:type="dxa"/>
            <w:vAlign w:val="bottom"/>
            <w:vMerge w:val="restart"/>
          </w:tcPr>
          <w:p>
            <w:pPr>
              <w:ind w:left="8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5"/>
              </w:rPr>
              <w:t>Names</w:t>
            </w:r>
          </w:p>
        </w:tc>
        <w:tc>
          <w:tcPr>
            <w:tcW w:w="56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0001356093</w:t>
              </w:r>
            </w:hyperlink>
          </w:p>
        </w:tc>
        <w:tc>
          <w:tcPr>
            <w:tcW w:w="1500" w:type="dxa"/>
            <w:vAlign w:val="bottom"/>
            <w:vMerge w:val="restart"/>
          </w:tcPr>
          <w:p>
            <w:pPr>
              <w:spacing w:after="0"/>
              <w:rPr>
                <w:sz w:val="21"/>
                <w:szCs w:val="21"/>
                <w:color w:val="auto"/>
              </w:rPr>
            </w:pPr>
          </w:p>
        </w:tc>
        <w:tc>
          <w:tcPr>
            <w:tcW w:w="680" w:type="dxa"/>
            <w:vAlign w:val="bottom"/>
          </w:tcPr>
          <w:p>
            <w:pPr>
              <w:spacing w:after="0"/>
              <w:rPr>
                <w:sz w:val="21"/>
                <w:szCs w:val="21"/>
                <w:color w:val="auto"/>
              </w:rPr>
            </w:pPr>
          </w:p>
        </w:tc>
        <w:tc>
          <w:tcPr>
            <w:tcW w:w="4240" w:type="dxa"/>
            <w:vAlign w:val="bottom"/>
            <w:gridSpan w:val="5"/>
            <w:vMerge w:val="restart"/>
          </w:tcPr>
          <w:p>
            <w:pPr>
              <w:ind w:left="580"/>
              <w:spacing w:after="0"/>
              <w:rPr>
                <w:sz w:val="20"/>
                <w:szCs w:val="20"/>
                <w:color w:val="auto"/>
              </w:rPr>
            </w:pPr>
            <w:r>
              <w:rPr>
                <w:rFonts w:ascii="Arial" w:cs="Arial" w:eastAsia="Arial" w:hAnsi="Arial"/>
                <w:sz w:val="22"/>
                <w:szCs w:val="22"/>
                <w:color w:val="auto"/>
                <w:w w:val="97"/>
              </w:rPr>
              <w:t>WIRELESS RONIN TECHNOLOGIES</w:t>
            </w: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4240" w:type="dxa"/>
            <w:vAlign w:val="bottom"/>
            <w:gridSpan w:val="5"/>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680" w:type="dxa"/>
            <w:vAlign w:val="bottom"/>
          </w:tcPr>
          <w:p>
            <w:pPr>
              <w:spacing w:after="0"/>
              <w:rPr>
                <w:sz w:val="24"/>
                <w:szCs w:val="24"/>
                <w:color w:val="auto"/>
              </w:rPr>
            </w:pPr>
          </w:p>
        </w:tc>
        <w:tc>
          <w:tcPr>
            <w:tcW w:w="1820" w:type="dxa"/>
            <w:vAlign w:val="bottom"/>
            <w:gridSpan w:val="2"/>
          </w:tcPr>
          <w:p>
            <w:pPr>
              <w:ind w:left="580"/>
              <w:spacing w:after="0"/>
              <w:rPr>
                <w:sz w:val="20"/>
                <w:szCs w:val="20"/>
                <w:color w:val="auto"/>
              </w:rPr>
            </w:pPr>
            <w:r>
              <w:rPr>
                <w:rFonts w:ascii="Arial" w:cs="Arial" w:eastAsia="Arial" w:hAnsi="Arial"/>
                <w:sz w:val="22"/>
                <w:szCs w:val="22"/>
                <w:color w:val="auto"/>
              </w:rPr>
              <w:t>INC</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22"/>
                <w:szCs w:val="22"/>
                <w:color w:val="auto"/>
              </w:rPr>
              <w:t>CREATIVE REALITIES, INC.</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260" w:type="dxa"/>
            <w:vAlign w:val="bottom"/>
            <w:gridSpan w:val="3"/>
          </w:tcPr>
          <w:p>
            <w:pPr>
              <w:jc w:val="center"/>
              <w:ind w:left="372"/>
              <w:spacing w:after="0"/>
              <w:rPr>
                <w:sz w:val="20"/>
                <w:szCs w:val="20"/>
                <w:color w:val="auto"/>
              </w:rPr>
            </w:pPr>
            <w:r>
              <w:rPr>
                <w:rFonts w:ascii="Arial" w:cs="Arial" w:eastAsia="Arial" w:hAnsi="Arial"/>
                <w:sz w:val="22"/>
                <w:szCs w:val="22"/>
                <w:b w:val="1"/>
                <w:bCs w:val="1"/>
                <w:color w:val="auto"/>
                <w:w w:val="91"/>
              </w:rPr>
              <w:t>Incorporation/Organization</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MINNESOTA</w:t>
            </w: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80" w:type="dxa"/>
            <w:vAlign w:val="bottom"/>
            <w:gridSpan w:val="5"/>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8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7"/>
              </w:rPr>
              <w:t>Name of Issuer</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22"/>
                <w:szCs w:val="22"/>
                <w:color w:val="auto"/>
              </w:rPr>
              <w:t>CREATIVE REALITIES, INC.</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55 Broadway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22"/>
                <w:szCs w:val="22"/>
                <w:color w:val="auto"/>
              </w:rPr>
              <w:t>9th Floor</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00" w:type="dxa"/>
            <w:vAlign w:val="bottom"/>
            <w:gridSpan w:val="3"/>
          </w:tcPr>
          <w:p>
            <w:pPr>
              <w:ind w:left="160"/>
              <w:spacing w:after="0"/>
              <w:rPr>
                <w:sz w:val="20"/>
                <w:szCs w:val="20"/>
                <w:color w:val="auto"/>
              </w:rPr>
            </w:pPr>
            <w:r>
              <w:rPr>
                <w:rFonts w:ascii="Arial" w:cs="Arial" w:eastAsia="Arial" w:hAnsi="Arial"/>
                <w:sz w:val="22"/>
                <w:szCs w:val="22"/>
                <w:b w:val="1"/>
                <w:bCs w:val="1"/>
                <w:color w:val="auto"/>
                <w:w w:val="95"/>
              </w:rPr>
              <w:t>State/Province/Country</w:t>
            </w:r>
          </w:p>
        </w:tc>
        <w:tc>
          <w:tcPr>
            <w:tcW w:w="56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42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0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22"/>
                <w:szCs w:val="22"/>
                <w:color w:val="auto"/>
              </w:rPr>
              <w:t>10006</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212-324-6660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Koller</w:t>
            </w:r>
          </w:p>
        </w:tc>
        <w:tc>
          <w:tcPr>
            <w:tcW w:w="6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Scott</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W.</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gridSpan w:val="3"/>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55 Broadway</w:t>
            </w:r>
          </w:p>
        </w:tc>
        <w:tc>
          <w:tcPr>
            <w:tcW w:w="68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22"/>
                <w:szCs w:val="22"/>
                <w:color w:val="auto"/>
              </w:rPr>
              <w:t>9th Floor</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gridSpan w:val="3"/>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68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22"/>
                <w:szCs w:val="22"/>
                <w:color w:val="auto"/>
              </w:rPr>
              <w:t>NEW YORK</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10006</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40" w:type="dxa"/>
            <w:vAlign w:val="bottom"/>
          </w:tcPr>
          <w:p>
            <w:pPr>
              <w:ind w:left="20"/>
              <w:spacing w:after="0"/>
              <w:rPr>
                <w:sz w:val="20"/>
                <w:szCs w:val="20"/>
                <w:color w:val="auto"/>
              </w:rPr>
            </w:pPr>
            <w:r>
              <w:rPr>
                <w:rFonts w:ascii="Arial" w:cs="Arial" w:eastAsia="Arial" w:hAnsi="Arial"/>
                <w:sz w:val="22"/>
                <w:szCs w:val="22"/>
                <w:color w:val="auto"/>
                <w:w w:val="90"/>
              </w:rPr>
              <w:t>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Walpuck</w:t>
            </w:r>
          </w:p>
        </w:tc>
        <w:tc>
          <w:tcPr>
            <w:tcW w:w="6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John</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gridSpan w:val="3"/>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55 Broadway</w:t>
            </w:r>
          </w:p>
        </w:tc>
        <w:tc>
          <w:tcPr>
            <w:tcW w:w="68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22"/>
                <w:szCs w:val="22"/>
                <w:color w:val="auto"/>
              </w:rPr>
              <w:t>9th Floor</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gridSpan w:val="3"/>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68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22"/>
                <w:szCs w:val="22"/>
                <w:color w:val="auto"/>
              </w:rPr>
              <w:t>NEW YORK</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10006</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40" w:type="dxa"/>
            <w:vAlign w:val="bottom"/>
          </w:tcPr>
          <w:p>
            <w:pPr>
              <w:ind w:left="20"/>
              <w:spacing w:after="0"/>
              <w:rPr>
                <w:sz w:val="20"/>
                <w:szCs w:val="20"/>
                <w:color w:val="auto"/>
              </w:rPr>
            </w:pPr>
            <w:r>
              <w:rPr>
                <w:rFonts w:ascii="Arial" w:cs="Arial" w:eastAsia="Arial" w:hAnsi="Arial"/>
                <w:sz w:val="22"/>
                <w:szCs w:val="22"/>
                <w:color w:val="auto"/>
                <w:w w:val="90"/>
              </w:rPr>
              <w:t>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Price</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rPr>
              <w:t>Paul</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55 Broadway</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w w:val="89"/>
              </w:rPr>
              <w:t>9th Floor</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140" w:type="dxa"/>
            <w:vAlign w:val="bottom"/>
          </w:tcPr>
          <w:p>
            <w:pPr>
              <w:ind w:left="6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Machiels</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rPr>
              <w:t>Alec</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55 Broadway</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w w:val="89"/>
              </w:rPr>
              <w:t>9th Floor</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140" w:type="dxa"/>
            <w:vAlign w:val="bottom"/>
          </w:tcPr>
          <w:p>
            <w:pPr>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Lillemoe</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rPr>
              <w:t>Kent</w:t>
            </w:r>
          </w:p>
        </w:tc>
        <w:tc>
          <w:tcPr>
            <w:tcW w:w="214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55 Broadway</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w w:val="89"/>
              </w:rPr>
              <w:t>9th Floor</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140" w:type="dxa"/>
            <w:vAlign w:val="bottom"/>
          </w:tcPr>
          <w:p>
            <w:pPr>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Harris</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rPr>
              <w:t>Donald</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55 Broadway</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w w:val="89"/>
              </w:rPr>
              <w:t>9th Floor</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140" w:type="dxa"/>
            <w:vAlign w:val="bottom"/>
          </w:tcPr>
          <w:p>
            <w:pPr>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Bell</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rPr>
              <w:t>David</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14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55 Broadway</w:t>
            </w:r>
          </w:p>
        </w:tc>
        <w:tc>
          <w:tcPr>
            <w:tcW w:w="176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22"/>
                <w:szCs w:val="22"/>
                <w:color w:val="auto"/>
                <w:w w:val="89"/>
              </w:rPr>
              <w:t>9th Floor</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140" w:type="dxa"/>
            <w:vAlign w:val="bottom"/>
          </w:tcPr>
          <w:p>
            <w:pPr>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1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60" w:type="dxa"/>
            <w:vAlign w:val="bottom"/>
          </w:tcPr>
          <w:p>
            <w:pPr>
              <w:spacing w:after="0"/>
              <w:rPr>
                <w:sz w:val="24"/>
                <w:szCs w:val="24"/>
                <w:color w:val="auto"/>
              </w:rPr>
            </w:pPr>
          </w:p>
        </w:tc>
        <w:tc>
          <w:tcPr>
            <w:tcW w:w="3240" w:type="dxa"/>
            <w:vAlign w:val="bottom"/>
            <w:gridSpan w:val="2"/>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gridSpan w:val="2"/>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11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3240" w:type="dxa"/>
            <w:vAlign w:val="bottom"/>
            <w:gridSpan w:val="2"/>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7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2014-08-20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40"/>
        <w:spacing w:after="0"/>
        <w:rPr>
          <w:sz w:val="20"/>
          <w:szCs w:val="20"/>
          <w:color w:val="auto"/>
        </w:rPr>
      </w:pPr>
      <w:r>
        <w:rPr>
          <w:rFonts w:ascii="Arial" w:cs="Arial" w:eastAsia="Arial" w:hAnsi="Arial"/>
          <w:sz w:val="21"/>
          <w:szCs w:val="21"/>
          <w:color w:val="auto"/>
        </w:rPr>
        <w:t>X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Pooled Investment Fund Interests</w:t>
      </w:r>
    </w:p>
    <w:p>
      <w:pPr>
        <w:spacing w:after="0" w:line="78" w:lineRule="exact"/>
        <w:rPr>
          <w:sz w:val="20"/>
          <w:szCs w:val="20"/>
          <w:color w:val="auto"/>
        </w:rPr>
      </w:pPr>
    </w:p>
    <w:p>
      <w:pPr>
        <w:sectPr>
          <w:pgSz w:w="11900" w:h="16838" w:orient="portrait"/>
          <w:cols w:equalWidth="0" w:num="2">
            <w:col w:w="5200" w:space="720"/>
            <w:col w:w="5500"/>
          </w:cols>
          <w:pgMar w:left="240" w:top="118" w:right="239" w:bottom="0" w:gutter="0" w:footer="0" w:header="0"/>
        </w:sectPr>
      </w:pPr>
    </w:p>
    <w:p>
      <w:pPr>
        <w:ind w:left="260"/>
        <w:spacing w:after="0"/>
        <w:rPr>
          <w:sz w:val="20"/>
          <w:szCs w:val="20"/>
          <w:color w:val="auto"/>
        </w:rPr>
      </w:pPr>
      <w:r>
        <w:rPr>
          <w:rFonts w:ascii="Arial" w:cs="Arial" w:eastAsia="Arial" w:hAnsi="Arial"/>
          <w:sz w:val="19"/>
          <w:szCs w:val="19"/>
          <w:color w:val="auto"/>
        </w:rPr>
        <w:t>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Tenant-in-Common Securities</w:t>
      </w:r>
    </w:p>
    <w:p>
      <w:pPr>
        <w:spacing w:after="0" w:line="79" w:lineRule="exact"/>
        <w:rPr>
          <w:sz w:val="20"/>
          <w:szCs w:val="20"/>
          <w:color w:val="auto"/>
        </w:rPr>
      </w:pPr>
    </w:p>
    <w:p>
      <w:pPr>
        <w:sectPr>
          <w:pgSz w:w="11900" w:h="16838" w:orient="portrait"/>
          <w:cols w:equalWidth="0" w:num="2">
            <w:col w:w="5200" w:space="720"/>
            <w:col w:w="5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Mineral Property Securities</w:t>
      </w:r>
    </w:p>
    <w:p>
      <w:pPr>
        <w:spacing w:after="0" w:line="69" w:lineRule="exact"/>
        <w:rPr>
          <w:sz w:val="20"/>
          <w:szCs w:val="20"/>
          <w:color w:val="auto"/>
        </w:rPr>
      </w:pPr>
    </w:p>
    <w:p>
      <w:pPr>
        <w:sectPr>
          <w:pgSz w:w="11900" w:h="16838" w:orient="portrait"/>
          <w:cols w:equalWidth="0" w:num="2">
            <w:col w:w="5480" w:space="440"/>
            <w:col w:w="5500"/>
          </w:cols>
          <w:pgMar w:left="240" w:top="118" w:right="239" w:bottom="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completion of the offering was a condition precedent to the closing of the merger between the issuer's wholly owned subsidiary and Creative Realities, LLC.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1000"/>
              <w:spacing w:after="0"/>
              <w:rPr>
                <w:sz w:val="20"/>
                <w:szCs w:val="20"/>
                <w:color w:val="auto"/>
              </w:rPr>
            </w:pPr>
            <w:r>
              <w:rPr>
                <w:rFonts w:ascii="Arial" w:cs="Arial" w:eastAsia="Arial" w:hAnsi="Arial"/>
                <w:sz w:val="22"/>
                <w:szCs w:val="22"/>
                <w:color w:val="auto"/>
              </w:rPr>
              <w:t>Recipient CRD Number  None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Merriman Capital, Inc.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960"/>
              <w:spacing w:after="0"/>
              <w:rPr>
                <w:sz w:val="20"/>
                <w:szCs w:val="20"/>
                <w:color w:val="auto"/>
              </w:rPr>
            </w:pPr>
            <w:r>
              <w:rPr>
                <w:rFonts w:ascii="Arial" w:cs="Arial" w:eastAsia="Arial" w:hAnsi="Arial"/>
                <w:sz w:val="22"/>
                <w:szCs w:val="22"/>
                <w:color w:val="auto"/>
              </w:rPr>
              <w:t>18296</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None</w:t>
            </w:r>
          </w:p>
        </w:tc>
        <w:tc>
          <w:tcPr>
            <w:tcW w:w="200" w:type="dxa"/>
            <w:vAlign w:val="bottom"/>
          </w:tcPr>
          <w:p>
            <w:pPr>
              <w:spacing w:after="0"/>
              <w:rPr>
                <w:sz w:val="24"/>
                <w:szCs w:val="24"/>
                <w:color w:val="auto"/>
              </w:rPr>
            </w:pPr>
          </w:p>
        </w:tc>
        <w:tc>
          <w:tcPr>
            <w:tcW w:w="4980" w:type="dxa"/>
            <w:vAlign w:val="bottom"/>
          </w:tcPr>
          <w:p>
            <w:pPr>
              <w:ind w:left="100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Merriman Capital, Inc.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960"/>
              <w:spacing w:after="0"/>
              <w:rPr>
                <w:sz w:val="20"/>
                <w:szCs w:val="20"/>
                <w:color w:val="auto"/>
              </w:rPr>
            </w:pPr>
            <w:r>
              <w:rPr>
                <w:rFonts w:ascii="Arial" w:cs="Arial" w:eastAsia="Arial" w:hAnsi="Arial"/>
                <w:sz w:val="22"/>
                <w:szCs w:val="22"/>
                <w:color w:val="auto"/>
              </w:rPr>
              <w:t>18296</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86"/>
              </w:rPr>
              <w:t>Street Address 1</w:t>
            </w:r>
          </w:p>
        </w:tc>
        <w:tc>
          <w:tcPr>
            <w:tcW w:w="20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135 East 57th Street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960"/>
              <w:spacing w:after="0"/>
              <w:rPr>
                <w:sz w:val="20"/>
                <w:szCs w:val="20"/>
                <w:color w:val="auto"/>
              </w:rPr>
            </w:pPr>
            <w:r>
              <w:rPr>
                <w:rFonts w:ascii="Arial" w:cs="Arial" w:eastAsia="Arial" w:hAnsi="Arial"/>
                <w:sz w:val="22"/>
                <w:szCs w:val="22"/>
                <w:color w:val="auto"/>
              </w:rPr>
              <w:t>24th Floor</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960"/>
              <w:spacing w:after="0"/>
              <w:rPr>
                <w:sz w:val="20"/>
                <w:szCs w:val="20"/>
                <w:color w:val="auto"/>
              </w:rPr>
            </w:pPr>
            <w:r>
              <w:rPr>
                <w:rFonts w:ascii="Arial" w:cs="Arial" w:eastAsia="Arial" w:hAnsi="Arial"/>
                <w:sz w:val="22"/>
                <w:szCs w:val="22"/>
                <w:color w:val="auto"/>
              </w:rPr>
              <w:t>NEW YORK</w:t>
            </w:r>
          </w:p>
        </w:tc>
        <w:tc>
          <w:tcPr>
            <w:tcW w:w="2200" w:type="dxa"/>
            <w:vAlign w:val="bottom"/>
          </w:tcPr>
          <w:p>
            <w:pPr>
              <w:ind w:left="72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9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ARKANSAS</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PENNSYLVANIA</w:t>
            </w:r>
          </w:p>
        </w:tc>
        <w:tc>
          <w:tcPr>
            <w:tcW w:w="6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98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$5,190,000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9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$5,190,000 USD</w:t>
            </w:r>
          </w:p>
        </w:tc>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9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-2668270</wp:posOffset>
            </wp:positionV>
            <wp:extent cx="59690" cy="1500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15005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-2668270</wp:posOffset>
            </wp:positionV>
            <wp:extent cx="7272020" cy="161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161163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Series A Convertible Preferred Stock and Warrants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420"/>
          </w:cols>
          <w:pgMar w:left="240" w:top="118" w:right="239" w:bottom="0" w:gutter="0" w:footer="0" w:header="0"/>
          <w:type w:val="continuous"/>
        </w:sectPr>
      </w:pPr>
    </w:p>
    <w:bookmarkStart w:id="4" w:name="page5"/>
    <w:bookmarkEnd w:id="4"/>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$328,299</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CREATIVE REALITIES, INC.</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John Walpuck</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John Walpuck</w:t>
            </w:r>
          </w:p>
        </w:tc>
        <w:tc>
          <w:tcPr>
            <w:tcW w:w="2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2014-10-28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0" Type="http://schemas.openxmlformats.org/officeDocument/2006/relationships/hyperlink" Target="http://www.sec.gov/cgi-bin/browse-edgar?action=getcompany&amp;CIK=0001356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2020-02-25T06:29:06Z</dcterms:created>
  <dcterms:modified xsi:type="dcterms:W3CDTF">2020-02-25T06:29:06Z</dcterms:modified>
</cp:coreProperties>
</file>