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4000" w:right="940" w:hanging="3128"/>
        <w:spacing w:after="0" w:line="503" w:lineRule="auto"/>
        <w:tabs>
          <w:tab w:leader="none" w:pos="119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2023</w:t>
      </w: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420" w:right="92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151765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195"/>
        </w:trPr>
        <w:tc>
          <w:tcPr>
            <w:tcW w:w="55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9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24"/>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color w:val="auto"/>
                <w:w w:val="90"/>
              </w:rPr>
              <w:t>Zip Code</w:t>
            </w:r>
          </w:p>
        </w:tc>
      </w:tr>
      <w:tr>
        <w:trPr>
          <w:trHeight w:val="418"/>
        </w:trPr>
        <w:tc>
          <w:tcPr>
            <w:tcW w:w="4940" w:type="dxa"/>
            <w:vAlign w:val="bottom"/>
          </w:tcPr>
          <w:p>
            <w:pPr>
              <w:spacing w:after="0"/>
              <w:rPr>
                <w:sz w:val="24"/>
                <w:szCs w:val="24"/>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9"/>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4"/>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19"/>
                <w:szCs w:val="19"/>
                <w:color w:val="auto"/>
              </w:rPr>
            </w:pP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ind w:left="3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32"/>
        </w:trPr>
        <w:tc>
          <w:tcPr>
            <w:tcW w:w="46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330"/>
              <w:spacing w:after="0" w:line="195" w:lineRule="exact"/>
              <w:rPr>
                <w:sz w:val="20"/>
                <w:szCs w:val="20"/>
                <w:color w:val="auto"/>
              </w:rPr>
            </w:pPr>
            <w:r>
              <w:rPr>
                <w:rFonts w:ascii="Arial" w:cs="Arial" w:eastAsia="Arial" w:hAnsi="Arial"/>
                <w:sz w:val="18"/>
                <w:szCs w:val="18"/>
                <w:color w:val="auto"/>
                <w:w w:val="95"/>
              </w:rPr>
              <w:t>CREX</w:t>
            </w:r>
          </w:p>
        </w:tc>
        <w:tc>
          <w:tcPr>
            <w:tcW w:w="100" w:type="dxa"/>
            <w:vAlign w:val="bottom"/>
          </w:tcPr>
          <w:p>
            <w:pPr>
              <w:spacing w:after="0"/>
              <w:rPr>
                <w:sz w:val="16"/>
                <w:szCs w:val="16"/>
                <w:color w:val="auto"/>
              </w:rPr>
            </w:pPr>
          </w:p>
        </w:tc>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68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Warrants to purchase Common Stock</w:t>
            </w:r>
          </w:p>
        </w:tc>
        <w:tc>
          <w:tcPr>
            <w:tcW w:w="2300" w:type="dxa"/>
            <w:vAlign w:val="bottom"/>
          </w:tcPr>
          <w:p>
            <w:pPr>
              <w:jc w:val="center"/>
              <w:ind w:right="330"/>
              <w:spacing w:after="0"/>
              <w:rPr>
                <w:sz w:val="20"/>
                <w:szCs w:val="20"/>
                <w:color w:val="auto"/>
              </w:rPr>
            </w:pPr>
            <w:r>
              <w:rPr>
                <w:rFonts w:ascii="Arial" w:cs="Arial" w:eastAsia="Arial" w:hAnsi="Arial"/>
                <w:sz w:val="18"/>
                <w:szCs w:val="18"/>
                <w:color w:val="auto"/>
                <w:w w:val="95"/>
              </w:rPr>
              <w:t>CREXW</w:t>
            </w:r>
          </w:p>
        </w:tc>
        <w:tc>
          <w:tcPr>
            <w:tcW w:w="1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8"/>
              </w:rPr>
              <w:t>Large accelerated</w:t>
            </w:r>
          </w:p>
        </w:tc>
        <w:tc>
          <w:tcPr>
            <w:tcW w:w="22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76" w:lineRule="exact"/>
              <w:rPr>
                <w:sz w:val="20"/>
                <w:szCs w:val="20"/>
                <w:color w:val="auto"/>
              </w:rPr>
            </w:pPr>
            <w:r>
              <w:rPr>
                <w:rFonts w:ascii="Arial" w:cs="Arial" w:eastAsia="Arial" w:hAnsi="Arial"/>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4, 2023, the registrant had 7,409,027 shares of common stock outstanding.</w:t>
      </w:r>
    </w:p>
    <w:p>
      <w:pPr>
        <w:sectPr>
          <w:pgSz w:w="11900" w:h="16838" w:orient="portrait"/>
          <w:cols w:equalWidth="0" w:num="1">
            <w:col w:w="11240"/>
          </w:cols>
          <w:pgMar w:left="320" w:top="1120"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rPr>
              <w:t>PART 1.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9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900" w:type="dxa"/>
            <w:vAlign w:val="bottom"/>
          </w:tcPr>
          <w:p>
            <w:pPr>
              <w:jc w:val="center"/>
              <w:ind w:left="3270"/>
              <w:spacing w:after="0"/>
              <w:rPr>
                <w:sz w:val="20"/>
                <w:szCs w:val="20"/>
                <w:color w:val="auto"/>
              </w:rPr>
            </w:pPr>
            <w:r>
              <w:rPr>
                <w:rFonts w:ascii="Arial" w:cs="Arial" w:eastAsia="Arial" w:hAnsi="Arial"/>
                <w:sz w:val="18"/>
                <w:szCs w:val="18"/>
                <w:b w:val="1"/>
                <w:bCs w:val="1"/>
                <w:color w:val="auto"/>
              </w:rPr>
              <w:t>CREATIVE REALITIES,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Work-in-process and inventories,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4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Short-term portion of Secured Promissory 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Short-term portion of related party Consolidation Term Loan, net of $747 and $745 discount, respectively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Short-term related party Term Loan (2022)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Long-term Secured Promissory 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Acquisition Term Loan, net of $1,139 and $1,484 discount, respectively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Long-term related party Consolidation Term Loan, net of $469 and $840 discount, respectively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Contingent acquisition consideration, at fair value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$0.01 par value, 66,666 shares authorized; 7,409 and 7,266 shares issued and outstanding,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75,916</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(50,409)</w:t>
            </w:r>
          </w:p>
        </w:tc>
      </w:tr>
      <w:tr>
        <w:trPr>
          <w:trHeight w:val="210"/>
        </w:trPr>
        <w:tc>
          <w:tcPr>
            <w:tcW w:w="7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tcBorders>
              <w:top w:val="single" w:sz="8" w:color="CCEEFF"/>
            </w:tcBorders>
          </w:tcPr>
          <w:p>
            <w:pPr>
              <w:spacing w:after="0"/>
              <w:rPr>
                <w:sz w:val="18"/>
                <w:szCs w:val="18"/>
                <w:color w:val="auto"/>
              </w:rPr>
            </w:pPr>
          </w:p>
        </w:tc>
      </w:tr>
      <w:tr>
        <w:trPr>
          <w:trHeight w:val="24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For the 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34"/>
        </w:trPr>
        <w:tc>
          <w:tcPr>
            <w:tcW w:w="5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5,667</w:t>
            </w:r>
          </w:p>
        </w:tc>
        <w:tc>
          <w:tcPr>
            <w:tcW w:w="14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Total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Hardware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Total cost of sales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Interest expense, including amortization of debt discount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(1,590)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Change in fair value of equity guarantee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waiver consent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Loss on warrant amendment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0"/>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Net (loss) income before income taxes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(2,337)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0"/>
        </w:trPr>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common share</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127"/>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0.17</w:t>
            </w:r>
          </w:p>
        </w:tc>
        <w:tc>
          <w:tcPr>
            <w:tcW w:w="2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(0.33)</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7,234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7,379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6,060</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6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(loss) income</w:t>
            </w:r>
          </w:p>
        </w:tc>
        <w:tc>
          <w:tcPr>
            <w:tcW w:w="17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(2,425)</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Amortization of stock-based compensation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waiver consent</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Loss on warrant amendment</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on change in fair value of warrants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change in fair value of warrants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Loss on change in fair value of contingent consideration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(4,035)</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Work-in-process and inventories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0"/>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7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(17,186)</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labor for software development</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(2,328)</w:t>
            </w:r>
          </w:p>
        </w:tc>
      </w:tr>
      <w:tr>
        <w:trPr>
          <w:trHeight w:val="20"/>
        </w:trPr>
        <w:tc>
          <w:tcPr>
            <w:tcW w:w="7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(19,546)</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Principal payments on finance leases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in PIPE, net of offering expenses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Proceeds from sale &amp; exercise of pre-funded warrants in PIPE, net of offering expenses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Acquisition Loan, net of offering expenses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Repayment of Term Loan (2022)</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Secured Promissory Note</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r>
      <w:tr>
        <w:trPr>
          <w:trHeight w:val="20"/>
        </w:trPr>
        <w:tc>
          <w:tcPr>
            <w:tcW w:w="7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2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7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r>
      <w:tr>
        <w:trPr>
          <w:trHeight w:val="25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as of March 31,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Stock-based compensation issued to vendors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6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in</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20" w:type="dxa"/>
            <w:vAlign w:val="bottom"/>
          </w:tcPr>
          <w:p>
            <w:pPr>
              <w:jc w:val="right"/>
              <w:spacing w:after="0"/>
              <w:rPr>
                <w:sz w:val="20"/>
                <w:szCs w:val="20"/>
                <w:color w:val="auto"/>
              </w:rPr>
            </w:pPr>
            <w:r>
              <w:rPr>
                <w:rFonts w:ascii="Arial" w:cs="Arial" w:eastAsia="Arial" w:hAnsi="Arial"/>
                <w:sz w:val="18"/>
                <w:szCs w:val="18"/>
                <w:color w:val="auto"/>
              </w:rPr>
              <w:t>7,394,407</w:t>
            </w:r>
          </w:p>
        </w:tc>
        <w:tc>
          <w:tcPr>
            <w:tcW w:w="11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76,417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(51,409)</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14,620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9"/>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7,409,027</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-719455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-445135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80" w:space="720"/>
            <w:col w:w="6640"/>
          </w:cols>
          <w:pgMar w:left="320" w:top="82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in</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Six Months Ended June 30, 2023</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7,266,382</w:t>
            </w:r>
          </w:p>
        </w:tc>
        <w:tc>
          <w:tcPr>
            <w:tcW w:w="11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75,916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(50,409)</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Shares issued to vendors as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28,554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pursuant to the Retention Bonus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62,475</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7,409,027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in</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Three Months Ended June 30, 2022</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7,225,012</w:t>
            </w:r>
          </w:p>
        </w:tc>
        <w:tc>
          <w:tcPr>
            <w:tcW w:w="11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(49,783)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Warrant amendment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Balance as of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7,247,955</w:t>
            </w:r>
          </w:p>
        </w:tc>
        <w:tc>
          <w:tcPr>
            <w:tcW w:w="22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74,886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(48,521)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vMerge w:val="restart"/>
          </w:tcPr>
          <w:p>
            <w:pPr>
              <w:jc w:val="right"/>
              <w:ind w:right="358"/>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Borders>
              <w:bottom w:val="single" w:sz="8" w:color="auto"/>
            </w:tcBorders>
            <w:gridSpan w:val="4"/>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paid in</w:t>
            </w: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Six Months Ended June 30, 2022</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4,002,843</w:t>
            </w:r>
          </w:p>
        </w:tc>
        <w:tc>
          <w:tcPr>
            <w:tcW w:w="1040" w:type="dxa"/>
            <w:vAlign w:val="bottom"/>
            <w:gridSpan w:val="2"/>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(52,254)</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vendors as compensation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w w:val="92"/>
              </w:rPr>
              <w:t>Shares issued and warrants exercised in private investment in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public entity ("PIPE")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2,388,835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in Reflect Systems, Inc. Merger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Warrant repricing events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amendment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7,247,955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Unless the context otherwise indicates, references in these Notes to the accompanying Condensed Consolidated Financial Statements to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w:t>
      </w:r>
      <w:r>
        <w:rPr>
          <w:rFonts w:ascii="Arial" w:cs="Arial" w:eastAsia="Arial" w:hAnsi="Arial"/>
          <w:sz w:val="18"/>
          <w:szCs w:val="18"/>
          <w:color w:val="auto"/>
        </w:rPr>
        <w:t>’</w:t>
      </w:r>
      <w:r>
        <w:rPr>
          <w:rFonts w:ascii="Arial" w:cs="Arial" w:eastAsia="Arial" w:hAnsi="Arial"/>
          <w:sz w:val="18"/>
          <w:szCs w:val="18"/>
          <w:i w:val="1"/>
          <w:iCs w:val="1"/>
          <w:color w:val="auto"/>
        </w:rPr>
        <w:t>s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main operations are conducted directly through Creative Realities, Inc., and under our wholly owned subsidiaries Allure Global Solutions, Inc. ("Allure), a Georgia corporation, Creative Realities Canada, Inc., a Canadian corporation, and Reflect Systems, Inc. ("Reflect"), a Delaware corporation.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23, 2023, the Company filed Articles of Amendment with the Secretary of State of the State of Minnesota to effectuate, effective March 27, 2023, a 1-for-3 reverse stock split of the shares of the Company's common stock, par value $0.01 per share. All share and per share information (including share and per share information related to share-based compensation) has been retroactively adjusted to reflect the reverse stock split within this Quarterly Report on Form 10-Q.</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reductions in the number of shares of common stock issuable upon exercising or vesting of equity awards in proportion to the reverse stock split and proportionate increases in exercise price or share-based performance criteria, if any, applicable to such awards. Similarly, the number of shares of common stock issuable upon exercise of outstanding warrants were reduced in proportion to the reverse stock split, and the exercise prices of outstanding warrants were proportionately increased.</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accordance with Accounting Standards Update (“ASU”) No. 2014-15, </w:t>
      </w:r>
      <w:r>
        <w:rPr>
          <w:rFonts w:ascii="Arial" w:cs="Arial" w:eastAsia="Arial" w:hAnsi="Arial"/>
          <w:sz w:val="18"/>
          <w:szCs w:val="18"/>
          <w:i w:val="1"/>
          <w:iCs w:val="1"/>
          <w:color w:val="auto"/>
        </w:rPr>
        <w:t>Disclosure of Uncertainties about an Entity</w:t>
      </w:r>
      <w:r>
        <w:rPr>
          <w:rFonts w:ascii="Arial" w:cs="Arial" w:eastAsia="Arial" w:hAnsi="Arial"/>
          <w:sz w:val="18"/>
          <w:szCs w:val="18"/>
          <w:color w:val="auto"/>
        </w:rPr>
        <w:t>’</w:t>
      </w:r>
      <w:r>
        <w:rPr>
          <w:rFonts w:ascii="Arial" w:cs="Arial" w:eastAsia="Arial" w:hAnsi="Arial"/>
          <w:sz w:val="18"/>
          <w:szCs w:val="18"/>
          <w:i w:val="1"/>
          <w:iCs w:val="1"/>
          <w:color w:val="auto"/>
        </w:rPr>
        <w:t>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 (Subtopic 205-40) (</w:t>
      </w:r>
      <w:r>
        <w:rPr>
          <w:rFonts w:ascii="Arial" w:cs="Arial" w:eastAsia="Arial" w:hAnsi="Arial"/>
          <w:sz w:val="18"/>
          <w:szCs w:val="18"/>
          <w:color w:val="auto"/>
        </w:rPr>
        <w:t>“</w:t>
      </w:r>
      <w:r>
        <w:rPr>
          <w:rFonts w:ascii="Arial" w:cs="Arial" w:eastAsia="Arial" w:hAnsi="Arial"/>
          <w:sz w:val="18"/>
          <w:szCs w:val="18"/>
          <w:i w:val="1"/>
          <w:iCs w:val="1"/>
          <w:color w:val="auto"/>
        </w:rPr>
        <w:t>ASU 205-40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the Company has evaluated whether there are certain conditions and events, considered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At June 30, 2023, the Company has an accumulated deficit of $52,834, negative working capital of $6,071, including current debt obligations of $4,197, and cash of $3,264. For the six months ended June 30, 2023, the Company incurred an operating loss of $790 and generated positive net cash flows from operations of $6,344. In addition, pursuant to the Second Amended and Restated Credit and Security Agreement (the "Credit Agreement") made between the Company and Slipstream Communications ("Slipstream") the Company is required to make monthly repayments of principal on the Consolidation Term Loan beginning on September 1, 2023 and on the first day of each month thereafter until the Maturity Date on February 17, 2025. The monthly principal payment beginning on September 1, 2023 is approximately $399, or total principal repayments for the twelve months subsequent to the reporting date of these Condensed Consolidated Financial Statements of $4,389. As a result of the principal debt service payments required to be paid on account of the Consolidation Term Loan, the Company does not currently have cash on hand or committed available liquidity to repay all of its outstanding debt due within one year after the date that these financial statements are issued. These conditions and events raise substantial doubt about the Company's ability to continue as a going concern under the technical framework within ASU 205-40.</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response to these conditions, management plans to either refinance or recapitalize the debt. However, these plans have not been finalized and are not completely within the Company's control, and therefore cannot be deemed probable under ASU 205-40. We have been unable to obtain a continuing support letter from Slipstream beyond the period ending May 31, 2024. Obtaining a continuing support letter from Slipstream beyond one year of the date our financial statements were issued was a factor that previously alleviated the substantial doubt about our ability to continue as a going concern. As a result, the Company has concluded that management's plans do not alleviate substantial doubt about the Company's ability to continue as a going concern.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2022, included in the Company’s Annual Report on Form 10-K filed with the Securities and Exchange Commission on March 30, 2023.</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Recently Issued and Adopted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Credit Losses. In June 2016, the Financial Accounting Standards Board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w:t>
      </w:r>
      <w:r>
        <w:rPr>
          <w:rFonts w:ascii="Arial" w:cs="Arial" w:eastAsia="Arial" w:hAnsi="Arial"/>
          <w:sz w:val="18"/>
          <w:szCs w:val="18"/>
          <w:color w:val="auto"/>
        </w:rPr>
        <w:t>, which requires entities to estimate expected lifetime credit losses on financial assets and provide expanded disclosures. The ASU replaced the</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loss methodology with one that reflects expected credit losses and requires consideration of a broader range of reasonable and supportable information to inform credit loss estimates. We adopted ASU No. 2016-13 on January 1, 2023. The adoption of this guidance did not have a material impact on the Company's Condensed Consolidated Financial Statements, as the Company's primary financial assets are its trade accounts receivable, which are short-term financings under industry standard credit and trade terms.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Debt. In August 2020, the FASB issued Accounting Standards Update No.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470-20) and Derivatives and Hedging</w:t>
      </w:r>
      <w:r>
        <w:rPr>
          <w:rFonts w:ascii="Arial" w:cs="Arial" w:eastAsia="Arial" w:hAnsi="Arial"/>
          <w:sz w:val="18"/>
          <w:szCs w:val="18"/>
          <w:color w:val="auto"/>
        </w:rPr>
        <w:t>—</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s Own Equity (ASU 2020-06)</w:t>
      </w:r>
      <w:r>
        <w:rPr>
          <w:rFonts w:ascii="Arial" w:cs="Arial" w:eastAsia="Arial" w:hAnsi="Arial"/>
          <w:sz w:val="18"/>
          <w:szCs w:val="18"/>
          <w:color w:val="auto"/>
        </w:rPr>
        <w:t>, which simplifies the accounting for convertible instruments by reducing the number of accounting models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do not intend to early adopt this standard, nor do we expect the adoption of this guidance to have a material impact on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3. 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Allowance for Credit Losses</w:t>
      </w:r>
    </w:p>
    <w:p>
      <w:pPr>
        <w:spacing w:after="0" w:line="23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activity for its allowance for credit losses from December 31, 2022 to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5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Amounts accrued</w:t>
            </w:r>
          </w:p>
        </w:tc>
        <w:tc>
          <w:tcPr>
            <w:tcW w:w="5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charged against the allowance</w:t>
            </w:r>
          </w:p>
        </w:tc>
        <w:tc>
          <w:tcPr>
            <w:tcW w:w="5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5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340" w:type="dxa"/>
            <w:vAlign w:val="bottom"/>
            <w:vMerge w:val="restart"/>
          </w:tcPr>
          <w:p>
            <w:pPr>
              <w:jc w:val="right"/>
              <w:ind w:right="3930"/>
              <w:spacing w:after="0"/>
              <w:rPr>
                <w:sz w:val="20"/>
                <w:szCs w:val="20"/>
                <w:color w:val="auto"/>
              </w:rPr>
            </w:pPr>
            <w:r>
              <w:rPr>
                <w:rFonts w:ascii="Arial" w:cs="Arial" w:eastAsia="Arial" w:hAnsi="Arial"/>
                <w:sz w:val="18"/>
                <w:szCs w:val="18"/>
                <w:color w:val="auto"/>
              </w:rPr>
              <w:t>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4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5. Inventories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net realizable value, determined by the first-in, first-out (FIFO) method, and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4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w:t>
            </w:r>
          </w:p>
        </w:tc>
        <w:tc>
          <w:tcPr>
            <w:tcW w:w="29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Work-in-process</w:t>
            </w:r>
          </w:p>
        </w:tc>
        <w:tc>
          <w:tcPr>
            <w:tcW w:w="29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r>
      <w:tr>
        <w:trPr>
          <w:trHeight w:val="24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9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reserve for obsolete inventory at June 30, 2023 and December 31, 2022 was $1,895 and $1,777, respectively, of which $1,707 related to Safe Space Solutions. The Company is no longer actively promoting the sale of our Safe Space Solutions or purchasing inventory to support such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Impairment of Long-Lived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annually as of September 30 in accordance with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Under ASC 360, impairment losses are recorded whenever events or changes in circumstances indicate the carrying value of an asset may not be recoverable.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Basic and Diluted (Loss)/Earnings per Common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(loss)/earnings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reserved for outstanding stock options, including stock options with performance restricted vesting, and warrants totaling approximately 7,391,651 and 7,490,962 at June 30, 2023 and 2022, respectively, were excluded from the computation of (loss)/earnings per share as the strike price on the options and warrants were higher than the Company's market price and therefore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Income Taxes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June 30, 2023 and December 31,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9. Goodwill and Intangible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follow the provisions of ASC 350, Goodwill and Other Intangible Assets.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Definite-lived intangible assets are amortized straight-line in accordance with their identified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 Use of Estimates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11. Business Combinations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of the fair value of the warrant liability contains valuation inputs which are based on observable inputs (other than Level 1 prices) and are considered Level 2 estimates. The liability warrants were converted to equity warrants effective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and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24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Installation Services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Services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Managed Services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Media 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Services</w:t>
            </w: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Hardware and Services</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4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 are classified as “Managed Services” within our disaggregated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sells support services which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Media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Media revenues are derived from selling (i) sponsorship packages, including mobile takeover or physical presence, or (ii) advertising space to customers on digital displays or other outdoor structures, each within physical venues. We generally do not own the physical structures on which we display advertising for our customers but instead sell advertising or sponsorship opportunities on behalf of our media network owners to our brand customers. Media revenue services are recognized either on a straight-line basis over the available hours of advertising during the contracted period, or at the time of an event in the case of sponsorships.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media revenue contracts with customers range from four weeks to three years and billing commences at the beginning of the contract term, with payment generally due within ninety (90) days of billing. For the majority of our contracts, transaction prices are explicitly stated. Any contracts with transaction prices that contain multiple performance obligations are allocated primarily based on a relative standalone selling price basis. Any deferred revenues primarily consist of revenues paid in advance of being earned.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 contract-by-contract basis, we evaluate whether we should be considered the principal (i.e., report revenues on a gross basis) or an agent (i.e., report revenues on a net basis). We are considered the principal in our arrangements and report revenues on a gross basis, wherein the amounts billed to customers are recorded as revenues and amounts paid to network owners are recorded as expenses. We are considered the principal because we control the advertising space before and after the contract term, are primarily responsible to our customers, and have discretion in pricing. For revenues generated through the use of a subcontracted advertising agency, commissions are calculated based on a stated percentage of gross advertising revenue and reported in the Consolidated Statement of Operations within Sales and Marketing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12, 2021, the Company and Reflect, entered into an Agreement and Plan of Merger (as amended on February 8, 2022 and February 11, 2023, the “Merger Agreement") pursuant to which a direct, wholly owned subsidiary of Creative Realities, CRI Acquisition Corporation, or “Merger Sub,” would merge with and into Reflect, with Reflect surviving the merger and becoming our wholly owned subsidiary, which transaction is referred to herein as the “Merger.” On February 17, 2022, the parties consummated the Merger (the "Closing").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terms and conditions of the Merger Agreement, at the Closing, Reflect stockholders as of the effective time of the Merger collectively received from the Company, in the aggregate, the following Merger consideration: (i) $16,166 in cash, (ii) 777,778 shares of common stock of Creative Realities (valued based on an issuance price of $6 per share) (the “CREX Shares”), (iii) the Secured Promissory Note (as described below), and</w:t>
      </w:r>
    </w:p>
    <w:p>
      <w:pPr>
        <w:spacing w:after="0" w:line="2" w:lineRule="exact"/>
        <w:rPr>
          <w:sz w:val="20"/>
          <w:szCs w:val="20"/>
          <w:color w:val="auto"/>
        </w:rPr>
      </w:pPr>
    </w:p>
    <w:p>
      <w:pPr>
        <w:jc w:val="both"/>
        <w:ind w:firstLine="8"/>
        <w:spacing w:after="0" w:line="269" w:lineRule="auto"/>
        <w:tabs>
          <w:tab w:leader="none" w:pos="341" w:val="left"/>
        </w:tabs>
        <w:numPr>
          <w:ilvl w:val="0"/>
          <w:numId w:val="3"/>
        </w:numPr>
        <w:rPr>
          <w:rFonts w:ascii="Arial" w:cs="Arial" w:eastAsia="Arial" w:hAnsi="Arial"/>
          <w:sz w:val="17"/>
          <w:szCs w:val="17"/>
          <w:color w:val="auto"/>
        </w:rPr>
      </w:pPr>
      <w:r>
        <w:rPr>
          <w:rFonts w:ascii="Arial" w:cs="Arial" w:eastAsia="Arial" w:hAnsi="Arial"/>
          <w:sz w:val="17"/>
          <w:szCs w:val="17"/>
          <w:color w:val="auto"/>
        </w:rPr>
        <w:t>supplemental cash payments (the “Guaranteed Consideration”), if any, payable on or after February 17, 2025 (subject to the Extension Option described below, the “Guarantee Date”), in an amount by which the value of the CREX Shares on such anniversary is less than $19.20 per share, or if certain customers of Reflect collectively achieve over 85,000 billable devices online at any time on or before December 31, 2022, is less than $21.60 per share (such applicable amount, the “Guaranteed Price”), multiplied by the amount of CREX Shares held by the Reflect stockholders on the Guarantee Date (subject to the Extension Option described below). At or before December 31, 2022, the condition of certain customers of Reflect collectively to achieve over 85,000 billable devices online was not met. Accordingly, the contingent cash payment amount was reduced at December 31, 2022 from $21.60 per share to $19.20 per share, a reduction of $2.40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If the Extension Threshold Price is less than 80% of the Guaranteed Price, then the Guaranteed Price will be increased by $3.00 per share.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 The Retention Bonus Plan is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was paid on February 17, 2023 (the one-year anniversary of Closing) and 25% will be paid on February 17, 2024 (the two-year anniversary of the Closing). In connection with the closing of the Merger, the future cash payments due on the one-year and two-year anniversaries of the Closing were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was issued on February 17, 2023 (the one-year anniversary of Closing) and the remaining 25% of the value of such shares will be issued on February 17, 2024 (the two-year anniversary of the Closing). The shares issued on the Closing were valued at $6.00 per share. The shares issued on the one-year anniversary were valued at $2.22 based on the value of shares issuable divided by the trailing 10-day volume weighted average price ("VWAP") of the shares as of February 17, 2023 as reported on the Nasdaq Capital Market. The Company issued 62,475 shares to key members of Reflect's management team pursuant to the Retention Bonus Plan. Certain participants made an election to have stock withheld to cover applicable withholding taxes. In such cases, the Company reduced the stock award issued to the employee and settled the employees tax liability by remitting cash to the applicable taxing authorities. The shares to be issued on the two-year anniversary will be determined based on the value of shares issuable divided by the trailing 10-day VWAP of the shares as of February 17, 2024 as reported on the Nasdaq Capital Market.</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9540" w:type="dxa"/>
            <w:vAlign w:val="bottom"/>
          </w:tcPr>
          <w:p>
            <w:pPr>
              <w:ind w:left="340"/>
              <w:spacing w:after="0"/>
              <w:rPr>
                <w:sz w:val="20"/>
                <w:szCs w:val="20"/>
                <w:color w:val="auto"/>
              </w:rPr>
            </w:pPr>
            <w:r>
              <w:rPr>
                <w:rFonts w:ascii="Arial" w:cs="Arial" w:eastAsia="Arial" w:hAnsi="Arial"/>
                <w:sz w:val="18"/>
                <w:szCs w:val="18"/>
                <w:i w:val="1"/>
                <w:iCs w:val="1"/>
                <w:color w:val="auto"/>
              </w:rPr>
              <w:t>Purchase price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color w:val="auto"/>
              </w:rPr>
              <w:t>The preliminary purchase price of Reflect consisted of the following items: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95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Consideration</w:t>
            </w:r>
          </w:p>
        </w:tc>
        <w:tc>
          <w:tcPr>
            <w:tcW w:w="200" w:type="dxa"/>
            <w:vAlign w:val="bottom"/>
          </w:tcPr>
          <w:p>
            <w:pPr>
              <w:spacing w:after="0"/>
              <w:rPr>
                <w:sz w:val="24"/>
                <w:szCs w:val="24"/>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for Reflect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 consideration for Retention Bonus Plan</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Reflect stockholders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Common stock issued to Retention Bonus Plan</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Earnout liability</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10,862</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(6)</w:t>
            </w: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2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Vendor deposit with the Company</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(7)</w:t>
            </w:r>
          </w:p>
        </w:tc>
      </w:tr>
      <w:tr>
        <w:trPr>
          <w:trHeight w:val="216"/>
        </w:trPr>
        <w:tc>
          <w:tcPr>
            <w:tcW w:w="9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(8)</w:t>
            </w:r>
          </w:p>
        </w:tc>
      </w:tr>
      <w:tr>
        <w:trPr>
          <w:trHeight w:val="209"/>
        </w:trPr>
        <w:tc>
          <w:tcPr>
            <w:tcW w:w="9540" w:type="dxa"/>
            <w:vAlign w:val="bottom"/>
          </w:tcPr>
          <w:p>
            <w:pPr>
              <w:spacing w:after="0"/>
              <w:rPr>
                <w:sz w:val="20"/>
                <w:szCs w:val="20"/>
                <w:color w:val="auto"/>
              </w:rPr>
            </w:pPr>
            <w:r>
              <w:rPr>
                <w:rFonts w:ascii="Arial" w:cs="Arial" w:eastAsia="Arial" w:hAnsi="Arial"/>
                <w:sz w:val="18"/>
                <w:szCs w:val="18"/>
                <w:color w:val="auto"/>
              </w:rPr>
              <w:t>Net consideration transferred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34,730</w:t>
            </w:r>
          </w:p>
        </w:tc>
        <w:tc>
          <w:tcPr>
            <w:tcW w:w="200" w:type="dxa"/>
            <w:vAlign w:val="bottom"/>
          </w:tcPr>
          <w:p>
            <w:pPr>
              <w:spacing w:after="0"/>
              <w:rPr>
                <w:sz w:val="18"/>
                <w:szCs w:val="18"/>
                <w:color w:val="auto"/>
              </w:rPr>
            </w:pP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utilized to fund the Retention Bonus Plan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in exchange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to fund initial issuances under the Retention Bonus Plan per Merger Agreement.</w:t>
      </w:r>
    </w:p>
    <w:p>
      <w:pPr>
        <w:spacing w:after="0" w:line="225"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Secured Promissory Note accrued interest at 0.59% (the applicable federal rate at the time of issuance of the Secured Promissory Note) and required the Company and Reflect to collectively pay equal monthly principal installments of $104 on the fifteenth (15th) day of each month, commencing on March 15, 2022. On February 11, 2023, the Company and the Stockholders’ Representative executed an amendment (the “Note Amendment”) to the Secured Promissory Note. The Note Amendment eliminated the balloon payment, extending the maturity date for a one-year period, to February 17, 2024. During the extended period, the Company will continue to make monthly principal payments of $104, and the annual interest rate on the outstanding principal increased from 0.59% to 4.60%, which will accrue and is payable in full on the new maturity date.</w:t>
      </w:r>
    </w:p>
    <w:p>
      <w:pPr>
        <w:spacing w:after="0" w:line="16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estimate of the fair value of the Guaranteed Consideration as of the Merger, which, if any, is payable on or after February 17, 2025 (subject to the Extension Option), in an amount by which the value of the CREX Shares on such anniversary is less than $19.20 per share, multiplied by the amount of CREX Shares held by the Reflect stockholders on the Guarantee Date (subject to the Extension Option), subject to the terms of the Merger Agreement.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Merger, Reflect had engaged the Company on a project and paid the Company a deposit of $818. These amounts reduced consideration paid by the Company in accordance with ASC 805.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Reflect cash balance acquired at Closing.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$37 and $428 of direct transaction costs for the three and six months ended June 30, 2022, respectively. These costs are included in deal and transaction expense in the accompanying Condensed Consolidated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color w:val="auto"/>
        </w:rPr>
        <w:t>The Company accounted for the Merger using the acquisition method of accounting. The final allocation of the purchase price is based on the fair value of assets acquired and liabilities assumed as of February 17, 2022, which included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9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&amp; other current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 of use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Definite-lived trade names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Definite-lived Developed technology</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Definite-lived Customer relationships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Definite-lived Noncompete agreements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operating leases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0"/>
        </w:trPr>
        <w:tc>
          <w:tcPr>
            <w:tcW w:w="95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Net consideration transferred</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34,730</w:t>
            </w:r>
          </w:p>
        </w:tc>
        <w:tc>
          <w:tcPr>
            <w:tcW w:w="10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engaged a third-party valuation specialist to assist in the identification and calculation of the fair value of those separately identifiable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completed its valuation procedures by asset utilizing the following approaches: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 amortizing the identifiable intangible assets on a straight-line basis over the weighted average lives ranging from 2 to 10 years as outlined in the table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valuation and amortization period of identifiable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Valuation</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100" w:type="dxa"/>
            <w:vAlign w:val="bottom"/>
          </w:tcPr>
          <w:p>
            <w:pPr>
              <w:spacing w:after="0"/>
              <w:rPr>
                <w:sz w:val="20"/>
                <w:szCs w:val="20"/>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Identifiable definite-lived intangible assets: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38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412"/>
        </w:trPr>
        <w:tc>
          <w:tcPr>
            <w:tcW w:w="4340" w:type="dxa"/>
            <w:vAlign w:val="bottom"/>
          </w:tcPr>
          <w:p>
            <w:pPr>
              <w:spacing w:after="0"/>
              <w:rPr>
                <w:sz w:val="24"/>
                <w:szCs w:val="24"/>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The Company estimated the preliminary fair value of the acquired property and equipment using a combination of the cost and market approaches, depending on the component. The fair value of such property and equipment is $96.</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excess of the purchase price over the fair value of the tangible net assets and identifiable intangible assets acquired was recorded as goodwill.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4"/>
          </w:tcPr>
          <w:p>
            <w:pPr>
              <w:spacing w:after="0"/>
              <w:rPr>
                <w:sz w:val="20"/>
                <w:szCs w:val="20"/>
                <w:color w:val="auto"/>
              </w:rPr>
            </w:pPr>
            <w:r>
              <w:rPr>
                <w:rFonts w:ascii="Arial" w:cs="Arial" w:eastAsia="Arial" w:hAnsi="Arial"/>
                <w:sz w:val="18"/>
                <w:szCs w:val="18"/>
                <w:b w:val="1"/>
                <w:bCs w:val="1"/>
                <w:color w:val="auto"/>
              </w:rPr>
              <w:t>NOTE 6: SUPPLEMENTAL CASH FLOW STATEMENT INFORMATION</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Supplemental non-cash investing activities</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2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Capitalized software in accounts payable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Arial" w:cs="Arial" w:eastAsia="Arial" w:hAnsi="Arial"/>
                <w:sz w:val="18"/>
                <w:szCs w:val="18"/>
                <w:color w:val="auto"/>
              </w:rPr>
              <w:t>Property and equipment in accounts payable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non-cash financing activities</w:t>
            </w:r>
          </w:p>
        </w:tc>
        <w:tc>
          <w:tcPr>
            <w:tcW w:w="362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Arial" w:cs="Arial" w:eastAsia="Arial" w:hAnsi="Arial"/>
                <w:sz w:val="18"/>
                <w:szCs w:val="18"/>
                <w:color w:val="auto"/>
              </w:rPr>
              <w:t>Conversion of liability warrant to equity warrants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Supplemental disclosure information for cash flow</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4"/>
          </w:tcPr>
          <w:p>
            <w:pPr>
              <w:spacing w:after="0"/>
              <w:rPr>
                <w:sz w:val="20"/>
                <w:szCs w:val="20"/>
                <w:color w:val="auto"/>
              </w:rPr>
            </w:pPr>
            <w:r>
              <w:rPr>
                <w:rFonts w:ascii="Arial" w:cs="Arial" w:eastAsia="Arial" w:hAnsi="Arial"/>
                <w:sz w:val="18"/>
                <w:szCs w:val="18"/>
                <w:color w:val="auto"/>
              </w:rPr>
              <w:t>Income taxes, net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116"/>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Purchased and developed software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In-Process internally developed software platform</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Non-compete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11,399</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 of amortizable intangible assets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58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jc w:val="both"/>
        <w:ind w:firstLine="648"/>
        <w:spacing w:after="0" w:line="342" w:lineRule="auto"/>
        <w:rPr>
          <w:sz w:val="20"/>
          <w:szCs w:val="20"/>
          <w:color w:val="auto"/>
        </w:rPr>
      </w:pPr>
      <w:r>
        <w:rPr>
          <w:rFonts w:ascii="Arial" w:cs="Arial" w:eastAsia="Arial" w:hAnsi="Arial"/>
          <w:sz w:val="16"/>
          <w:szCs w:val="16"/>
          <w:color w:val="auto"/>
        </w:rPr>
        <w:t>For the three months ended June 30, 2023 and 2022, amortization of intangible assets charged to operations was $755 and $431, respectively. For the six months ended June 30, 2023 and 2022 amortization of intangible assets charged to operations was $1,508 and $1,111,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net assets acquired. Goodwill is subject to an impairment review at a reporting unit level,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exceeds its carrying value, and accordingly, the goodwill associated with the reporting unit is not considered to be impaired at September 30, 2022.</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December 31, 2022, we concluded the decline in our market value represented an interim indicator of potential impairment. Based on a quantitative assessment of our fair value performed at December 31, 2022, using the same approach as our annual impairment performed at September 30, described above, we concluded that the carrying value of our goodwill did not exceed the reporting unit fair value. No indicators of impairment were identified as of June 30, 2023. The Company recognizes that any differences between our actual and projected future results, or changes in our projected future results, could potentially have a material impact on our assessment of goodwill impairment. The Company will continue to monitor the actual performance of its operations against expectations and assess further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June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5"/>
              </w:rPr>
              <w:t>Issuance</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Maturity</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34"/>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Principal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r>
      <w:tr>
        <w:trPr>
          <w:trHeight w:val="210"/>
        </w:trPr>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5"/>
                <w:szCs w:val="15"/>
                <w:color w:val="auto"/>
              </w:rPr>
              <w:t>8.0% interest</w:t>
            </w:r>
            <w:r>
              <w:rPr>
                <w:rFonts w:ascii="Arial" w:cs="Arial" w:eastAsia="Arial" w:hAnsi="Arial"/>
                <w:sz w:val="24"/>
                <w:szCs w:val="24"/>
                <w:color w:val="auto"/>
                <w:vertAlign w:val="superscript"/>
              </w:rPr>
              <w:t>(1)</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2/17/2024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4.6% interest(2)</w:t>
            </w:r>
          </w:p>
        </w:tc>
      </w:tr>
      <w:tr>
        <w:trPr>
          <w:trHeight w:val="216"/>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898,165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10.0% interest</w:t>
            </w:r>
            <w:r>
              <w:rPr>
                <w:rFonts w:ascii="Arial" w:cs="Arial" w:eastAsia="Arial" w:hAnsi="Arial"/>
                <w:sz w:val="25"/>
                <w:szCs w:val="25"/>
                <w:color w:val="auto"/>
                <w:w w:val="99"/>
                <w:vertAlign w:val="superscript"/>
              </w:rPr>
              <w:t>(3)</w:t>
            </w: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rPr>
              <w:t>D</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10/31/2022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9/1/2023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9"/>
              </w:rPr>
              <w:t>12.5% interest</w:t>
            </w:r>
            <w:r>
              <w:rPr>
                <w:rFonts w:ascii="Arial" w:cs="Arial" w:eastAsia="Arial" w:hAnsi="Arial"/>
                <w:sz w:val="25"/>
                <w:szCs w:val="25"/>
                <w:color w:val="auto"/>
                <w:w w:val="99"/>
                <w:vertAlign w:val="superscript"/>
              </w:rPr>
              <w:t>(4)</w:t>
            </w:r>
          </w:p>
        </w:tc>
      </w:tr>
      <w:tr>
        <w:trPr>
          <w:trHeight w:val="241"/>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Arial" w:cs="Arial" w:eastAsia="Arial" w:hAnsi="Arial"/>
                <w:sz w:val="18"/>
                <w:szCs w:val="18"/>
                <w:color w:val="auto"/>
                <w:w w:val="90"/>
              </w:rPr>
              <w:t>Debt discount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(2,355)</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9"/>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(4,197)</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50"/>
        </w:trPr>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5"/>
              </w:rPr>
              <w:t>Issuance</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Maturity</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34"/>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Principal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r>
      <w:tr>
        <w:trPr>
          <w:trHeight w:val="210"/>
        </w:trPr>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5"/>
                <w:szCs w:val="15"/>
                <w:color w:val="auto"/>
              </w:rPr>
              <w:t>8.0% interest</w:t>
            </w:r>
            <w:r>
              <w:rPr>
                <w:rFonts w:ascii="Arial" w:cs="Arial" w:eastAsia="Arial" w:hAnsi="Arial"/>
                <w:sz w:val="24"/>
                <w:szCs w:val="24"/>
                <w:color w:val="auto"/>
                <w:vertAlign w:val="superscript"/>
              </w:rPr>
              <w:t>(1)</w:t>
            </w:r>
          </w:p>
        </w:tc>
      </w:tr>
      <w:tr>
        <w:trPr>
          <w:trHeight w:val="229"/>
        </w:trPr>
        <w:tc>
          <w:tcPr>
            <w:tcW w:w="12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2/17/2024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30" w:lineRule="exact"/>
              <w:rPr>
                <w:sz w:val="20"/>
                <w:szCs w:val="20"/>
                <w:color w:val="auto"/>
              </w:rPr>
            </w:pPr>
            <w:r>
              <w:rPr>
                <w:rFonts w:ascii="Arial" w:cs="Arial" w:eastAsia="Arial" w:hAnsi="Arial"/>
                <w:sz w:val="16"/>
                <w:szCs w:val="16"/>
                <w:color w:val="auto"/>
                <w:w w:val="98"/>
              </w:rPr>
              <w:t>0.59% interest</w:t>
            </w:r>
            <w:r>
              <w:rPr>
                <w:rFonts w:ascii="Arial" w:cs="Arial" w:eastAsia="Arial" w:hAnsi="Arial"/>
                <w:sz w:val="26"/>
                <w:szCs w:val="26"/>
                <w:color w:val="auto"/>
                <w:w w:val="98"/>
                <w:vertAlign w:val="superscript"/>
              </w:rPr>
              <w:t>(2)</w:t>
            </w:r>
          </w:p>
        </w:tc>
      </w:tr>
      <w:tr>
        <w:trPr>
          <w:trHeight w:val="216"/>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898,165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10.0% interest</w:t>
            </w:r>
            <w:r>
              <w:rPr>
                <w:rFonts w:ascii="Arial" w:cs="Arial" w:eastAsia="Arial" w:hAnsi="Arial"/>
                <w:sz w:val="25"/>
                <w:szCs w:val="25"/>
                <w:color w:val="auto"/>
                <w:w w:val="99"/>
                <w:vertAlign w:val="superscript"/>
              </w:rPr>
              <w:t>(3)</w:t>
            </w: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rPr>
              <w:t>D</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10/31/2022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9/1/2023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9"/>
              </w:rPr>
              <w:t>12.5% interest</w:t>
            </w:r>
            <w:r>
              <w:rPr>
                <w:rFonts w:ascii="Arial" w:cs="Arial" w:eastAsia="Arial" w:hAnsi="Arial"/>
                <w:sz w:val="25"/>
                <w:szCs w:val="25"/>
                <w:color w:val="auto"/>
                <w:w w:val="99"/>
                <w:vertAlign w:val="superscript"/>
              </w:rPr>
              <w:t>(4)</w:t>
            </w:r>
          </w:p>
        </w:tc>
      </w:tr>
      <w:tr>
        <w:trPr>
          <w:trHeight w:val="241"/>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Arial" w:cs="Arial" w:eastAsia="Arial" w:hAnsi="Arial"/>
                <w:sz w:val="18"/>
                <w:szCs w:val="18"/>
                <w:color w:val="auto"/>
                <w:w w:val="90"/>
              </w:rPr>
              <w:t>Debt discount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(3,069)</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9"/>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(4,499)</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9"/>
        </w:trPr>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Acquisition Term Loan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Consolidation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Term Loan (2022) with related party</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 cash interest per annum through maturity at February 15, 2025.</w:t>
      </w:r>
    </w:p>
    <w:p>
      <w:pPr>
        <w:spacing w:after="0" w:line="23" w:lineRule="exact"/>
        <w:rPr>
          <w:rFonts w:ascii="Arial" w:cs="Arial" w:eastAsia="Arial" w:hAnsi="Arial"/>
          <w:sz w:val="18"/>
          <w:szCs w:val="18"/>
          <w:color w:val="auto"/>
        </w:rPr>
      </w:pPr>
    </w:p>
    <w:p>
      <w:pPr>
        <w:ind w:left="340" w:right="12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Annual interest rate on the outstanding principal increased from 0.59% to 4.60% per annum effective February 17, 2023 through maturity at February 17, 2024. Annual interest rate was 0.59% cash interest per annum (the applicable federal rate) through February 17, 2023.</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cash interest per annum through maturity date at February 15, 2025.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12.5% cash interest per annum through maturity at September 1, 2023</w:t>
      </w:r>
      <w:r>
        <w:rPr>
          <w:rFonts w:ascii="Arial" w:cs="Arial" w:eastAsia="Arial" w:hAnsi="Arial"/>
          <w:sz w:val="18"/>
          <w:szCs w:val="18"/>
          <w:i w:val="1"/>
          <w:i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in connection with the Closing, the Company issued to RSI Exit Corporation (“Stockholders’ Representative”), the representative of Reflect stockholders, a $2,500 Note and Security Agreement (the “Secured Promissory Note”).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Secured Promissory Note accrued interest at 0.59% per annum (the applicable federal rate on the date of issuance of the Secured Promissory Note) and required the Company and Reflect to collectively pay equal monthly principal installments of $104 on the fifteenth (15th) day of each month, commencing on March 15, 2022. Any remaining or unpaid principal was due and payable on February 17, 2023. All payments under the Secured Promissory Note are paid to the escrow agent in the Merger Agreement to be placed into the escrow account to secure the Reflect stockholders’ indemnification obligations until released on February 17, 2023 (the one-year anniversary of the Closing), at which time any remaining proceeds not subject to a pending indemnification claim would be paid to the exchange agent for payment to the Reflect stockholders pursuant to the Merger Agreement.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11, 2023, the Company and the Stockholders’ Representative executed an amendment (the “Note Amendment”) to the Secured Promissory Note. The Note Amendment eliminates the balloon payment, extending the maturity date for a one-year period, to February 17, 2024. During the extended period, the Company will continue to make monthly principal payments of $104, and the annual interest rate on the outstanding principal increased from 0.59% to 4.60%, which will accrue and is payable in full on the new maturity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17, 2022, the Company and its subsidiaries (collectively, the “Borrowers”) refinanced their debt facilities with Slipstream, pursuant to a Second Amended and Restated Credit and Security Agreement (the “Credit Agreement”). The Borrowers include Reflect, which became a wholly owned subsidiary of the Company as a result of the Closing on February 17, 2022. The debt facilities continue to be fully secured by all assets of the Borrowers.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first day of each month, commencing March 1, 2022 through February 1, 2025, the Borrowers will make interest-only payments on the Consolidation Term Loan.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The Company assessed the combination of the pre-existing senior secured term loan and secured convertible loan 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determined the transaction should be accounted for as an extinguishment, in part as the Consolidation Term Loan eliminated a substantive conversion feature. In aggregate the Company recorded a loss on extinguishment of $295 during the six month period ending June 30, 2022, primarily associated with the write-off of pre-existing debt discounts.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refinancing the existing debt with Slipstream, the Company issued to Slipstream a $10,000, 36-month senior secured term loan (the “Acquisition Term Loan”) resulting in $10,000 in gross proceeds, or $9,950 in net proceeds. The Acquisition Term Loan matures on February 17, 2025 (the “Maturity Date”) and has an interest rate of 8.0%, with 50.0% warrant coverage (or 833,334 warrants). On the first day of each month, commencing March 1, 2022 through February 1, 2025, the Borrowers will make interest-only payments on the Acquisition Term Loan. No principal payments on the Acquisition Term Loan are payable until the Maturity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jc w:val="both"/>
        <w:ind w:firstLine="648"/>
        <w:spacing w:after="0" w:line="289" w:lineRule="auto"/>
        <w:rPr>
          <w:sz w:val="20"/>
          <w:szCs w:val="20"/>
          <w:color w:val="auto"/>
        </w:rPr>
      </w:pPr>
      <w:r>
        <w:rPr>
          <w:rFonts w:ascii="Arial" w:cs="Arial" w:eastAsia="Arial" w:hAnsi="Arial"/>
          <w:sz w:val="16"/>
          <w:szCs w:val="16"/>
          <w:color w:val="auto"/>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was not exercisable until August 17, 2022. The warrants were assessed in accordance with ASC 470 and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$358 and $714 for the three and six months ended June 30, 2023, respectively. The Company has deemed straight-line amortization to be materially consistent with the effective interest method.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June 30, 2022, the Company amended the terms of the Lender Warrant to remove the holder’s option to exercise such warrant on a cashless basis utilizing the VWAP of the Company’s common stock on the trading day immediately preceding the date of a notice of cashless exercise in certain circumstances, and remove the condition to exercising such warrant that the Company’s shareholders approve the exercise thereof (which had already been obtained). The amendments to the Lender Warrant also extend the term of such warrants for an additional one year, such that the Lender Warrant will expire on February 17, 2028. The foregoing amendments to the Lender Warrant caused such warrants to be accounted for as equity instruments in the Company’s Consolidated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31, 2022, the Borrowers and Slipstream amended the Credit Agreement to provide the Borrowers with a $2,000 term loan ("Term Loan (2022)"), the net proceeds of which were used by the Company to accelerate an active software development project with potential to expand SaaS revenues associated with an existing customer. The Term Loan (2022) has an annual interest rate of 12.5% and matures on September 1, 2023. Commencing on February 1, 2023, the Borrowers will make monthly installment payments of approximately $270 until the maturity date, consisting of principal and interest sufficient to fully amortize the Term Loan (2022) through the maturity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2, 2019, the Company filed suit in Jefferson Circuit Court, Kentucky, against a supplier of the Company’s wholly owned subsidiary, Allure, for breach of contract, breach of warranty, and negligence with respect to equipment installations performed by such supplier for an Allure customer. 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On March 10, 2023, the Company, the supplier and the Allure customer reached a Settlement Agreement and Release of Claims ("Settlement Agreement"). Pursuant to the Settlement Agreement, the Company is obligated to pay $733; however, its insurer agreed to pay $700 of that amount. Thus, the Company paid $33 of the settlement amount in April 2023.</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2023, we reported tax liability of $45 and $88, respectively. As of June 30, 2023, the net deferred tax liabilities totaled $75 after valuation allowance, compared to net tax liabilities of $28 at December 31,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NOTE 11: WARRANTS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00" w:type="dxa"/>
            <w:vAlign w:val="bottom"/>
            <w:gridSpan w:val="2"/>
          </w:tcPr>
          <w:p>
            <w:pPr>
              <w:ind w:left="660"/>
              <w:spacing w:after="0"/>
              <w:rPr>
                <w:sz w:val="20"/>
                <w:szCs w:val="20"/>
                <w:color w:val="auto"/>
              </w:rPr>
            </w:pPr>
            <w:r>
              <w:rPr>
                <w:rFonts w:ascii="Arial" w:cs="Arial" w:eastAsia="Arial" w:hAnsi="Arial"/>
                <w:sz w:val="18"/>
                <w:szCs w:val="18"/>
                <w:color w:val="auto"/>
              </w:rPr>
              <w:t>A summary of outstanding warrants is included below:</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Exercise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r>
      <w:tr>
        <w:trPr>
          <w:trHeight w:val="209"/>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5,824,027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Warrants expired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(68,508)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February 3, 2022, the Company entered into a Securities Purchase Agreement with a purchaser (the “Purchaser”), pursuant to which the Company agreed to issue and sell to the Purchaser, in a private placement priced at-the-market under Nasdaq rules, (i) 438,334 shares (the “Shares”) of the Company’s common stock, par value $0.01 per share (the “Common Stock”) and accompanying warrants to purchase an aggregate of 438,334 shares of Common Stock, and (ii) pre-funded warrants to purchase up to an aggregate of 1,950,502 shares of Common Stock (the “Pre-Funded Warrants”) and accompanying warrants to purchase an aggregate of 1,950,502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$4.605, and each Pre-Funded Warrant and accompanying warrants to purchase Common Stock were sold together at a combined price of $4.6047, for gross proceeds of approximately $11,000, before deducting placement agent fees and estimated offering expenses payable by the Company. During the six months ended June 30, 2022,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Warrants and concluded they do not meet the criteria to be classified within stockholders’ equity. The Common Stock Warrants include provisions which could result in a different settlement value for the Common Stock Warrants depending on the registration status of the underlying shares. Because these conditions were not an input into the pricing of a fixed-for-fixed option on the Company’s ordinary shares, the Common Stock Warrants are not considered to be indexed to the Company’s own stock. The Company recorded these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warrants, resulting in a fair value of $3.2781 per warrant. At June 30, 2022, the Company reassessed the fair value of these warrants via Black Scholes valuation methodology and determined that the fair value of these warrants was $1.2057 per warrant, resulting in the Company recording a gain on the fair value of these warrants of $1,287 and $4,950 in the Condensed Consolidated Statement of Operations for the three and six months ended June 30, 2022.</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February 17, 2022, in connection with the Credit Agreement with Slipstream, the Company issued to Slipstream 1,731,499 warrants with an exercise price of $6.00 per share which expire five years from the date of issuance (the “Lender Warrant”). These warrants are not exercisable until 180 days after the issuance date. The common shares underlying these warrants have not yet been registered for resale under the Securities Act of 1933, which provides Slipstream with an option for cashless exercise once the warrant becomes exercisable until such time as such registration occurs. The Lender Warrants expire five years from the date of issuance. The Company evaluated the Lender Warrant and concluded that it does not meet the criteria to be classified within stockholders’ equity. The Lender Warrant includes provisions which could result in a different settlement value, for the Lender Warrant depending on the registration status of the underlying shares. Because these conditions are not an input into the pricing of a fixed-for-fixed option on the Company’s ordinary shares, the Lender Warrant is not considered to be indexed to the Company’s own stock. The Company recorded these warrants as liabilities on the consolidated balance sheets at fair value, with subsequent changes in their respective fair values recognized in the Condensed Consolidated Statements of Operations at each reporting date. At the date of issuance, the Company performed a Black-Scholes valuation of the warrants, resulting in a fair value of $2.4387 per warrant. In recording the warrant liability, the Company recorded an increase in debt discount in the Condensed Consolidated Balance Sheet associated with the issuance of the warrants of $4,223, which is being amortized through interest expense in the Condensed Consolidated Statement of Operations over the life of the Acquisition Term Loan and Consolidation Term Loans. At June 30, 2022, the Company reassessed the fair value of these warrants via Black Scholes valuation methodology and determined that the fair value of these warrants was $1.1097 per warrant, resulting in the Company recording a gain on the fair value of these warrants of $894 and $2,302 in the Condensed Consolidated Statement of Operations for the three and six months ended June 30,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3" w:name="page24"/>
    <w:bookmarkEnd w:id="23"/>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466,667 shares of Company common stock in an at-the-market offering under Nasdaq rules. The number of shares of Company common stock subject to the Purchaser Warrant is equal to the waiver fee ($175) divided by $0.375 per share. The exercise price of the Purchaser Warrant is $4.23 per share, and the Purchaser Warrant is not exercisable until August 17, 2022. The Purchaser Warrant expires five years from the date of issuance. The Company evaluated the Purchaser Warrant and concluded that it does not meet the criteria to be classified within stockholders’ equity. The Purchaser Warrant includes provisions which could result in a different settlement value, for the Purchaser Warrant depending on the registration status of the underlying shares. Because these conditions were not an input into the pricing of a fixed-for-fixed option on the Company’s ordinary shares, the Purchaser Warrant is not considered to be indexed to the Company’s own stock. The Company recorded these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Purchaser Warrant, resulting in a fair value of $2.5968 per warrant. In recording the warrant liability, the Company recorded an expense in the Condensed Consolidated Statement of Operations associated with the issuance of the Purchaser Warrant of $1,211. At June 30, 2022, the Company reassessed the fair value of the Purchase Warrant via Black Scholes valuation methodology and determined that the fair value of the Purchaser Warrant was $1.2051 per warrant, resulting in the Company recording a gain on the fair value of the Purchaser Warrant of $252 and $650 in the Condensed Consolidated Statement of Operations for the three and six months ended June 30, 2022.</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Common Stock Warrant (2,388,836 warrants), Lender Warrant (1,731,499 warrants) and Purchaser Warrant (466,667 warrants). The amendments to such warrants removes the holder’s option to determine the value of such warrants utilizing the VWAP of the Company’s common stock on the trading day immediately preceding the date of a notice in a cashless exercise, and removes the condition to exercising such warrants that the Company’s shareholders approve the exercise thereof (which had already been obtained). The amendments to the warrants also extend the term of such warrants for an additional one year, such that the Common Stock Warrant will expire on February 3, 2028, and the Lender Warrant and Purchaser Warrant will expire on February 17, 2028.</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amendments to the warrants resulted in such warrants to be accounted for as equity instruments on the Company’s Condensed Consolidated Financial Statements as of June 30, 2022. As such, the Company reclassified the warrant liability from noncurrent liabilities to additional paid-in-capital as of June 30, 2022. These amounts are reflected as additional paid-in-capital in the Condensed Consolidated Balance Sheet as of December 31,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NOTE 12: STOCK-BASED COMPENSATION</w:t>
            </w:r>
          </w:p>
        </w:tc>
        <w:tc>
          <w:tcPr>
            <w:tcW w:w="960" w:type="dxa"/>
            <w:vAlign w:val="bottom"/>
            <w:gridSpan w:val="6"/>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620" w:type="dxa"/>
            <w:vAlign w:val="bottom"/>
            <w:gridSpan w:val="9"/>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Time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$4.01 - $8.00</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566,673</w:t>
            </w: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82"/>
              </w:rPr>
              <w:t>538,340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jc w:val="right"/>
              <w:ind w:right="57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96,125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96,125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r>
      <w:tr>
        <w:trPr>
          <w:trHeight w:val="249"/>
        </w:trPr>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662,798</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82"/>
              </w:rPr>
              <w:t>634,465</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9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Performance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$4.01 - $8.00</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86"/>
              </w:rPr>
              <w:t>240,000</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240,000</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w w:val="86"/>
              </w:rPr>
              <w:t>240,000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Market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26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Exercise</w:t>
            </w:r>
          </w:p>
        </w:tc>
        <w:tc>
          <w:tcPr>
            <w:tcW w:w="20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26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Exercisable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90"/>
              </w:rPr>
              <w:t>$0.01 - $4.00</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733,334</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733,334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39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460"/>
              <w:spacing w:after="0"/>
              <w:rPr>
                <w:sz w:val="20"/>
                <w:szCs w:val="20"/>
                <w:color w:val="auto"/>
              </w:rPr>
            </w:pPr>
            <w:r>
              <w:rPr>
                <w:rFonts w:ascii="Arial" w:cs="Arial" w:eastAsia="Arial" w:hAnsi="Arial"/>
                <w:sz w:val="18"/>
                <w:szCs w:val="18"/>
                <w:b w:val="1"/>
                <w:bCs w:val="1"/>
                <w:i w:val="1"/>
                <w:iCs w:val="1"/>
                <w:color w:val="auto"/>
              </w:rPr>
              <w:t>Performance Vesting</w:t>
            </w:r>
          </w:p>
        </w:tc>
      </w:tr>
      <w:tr>
        <w:trPr>
          <w:trHeight w:val="230"/>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ind w:left="360"/>
              <w:spacing w:after="0"/>
              <w:rPr>
                <w:sz w:val="20"/>
                <w:szCs w:val="20"/>
                <w:color w:val="auto"/>
              </w:rPr>
            </w:pPr>
            <w:r>
              <w:rPr>
                <w:rFonts w:ascii="Arial" w:cs="Arial" w:eastAsia="Arial" w:hAnsi="Arial"/>
                <w:sz w:val="18"/>
                <w:szCs w:val="18"/>
                <w:b w:val="1"/>
                <w:bCs w:val="1"/>
                <w:i w:val="1"/>
                <w:iCs w:val="1"/>
                <w:color w:val="auto"/>
              </w:rPr>
              <w:t>Market Vesting Options</w:t>
            </w:r>
          </w:p>
        </w:tc>
        <w:tc>
          <w:tcPr>
            <w:tcW w:w="2480" w:type="dxa"/>
            <w:vAlign w:val="bottom"/>
            <w:gridSpan w:val="6"/>
          </w:tcPr>
          <w:p>
            <w:pPr>
              <w:jc w:val="right"/>
              <w:ind w:right="370"/>
              <w:spacing w:after="0"/>
              <w:rPr>
                <w:sz w:val="20"/>
                <w:szCs w:val="20"/>
                <w:color w:val="auto"/>
              </w:rPr>
            </w:pPr>
            <w:r>
              <w:rPr>
                <w:rFonts w:ascii="Arial" w:cs="Arial" w:eastAsia="Arial" w:hAnsi="Arial"/>
                <w:sz w:val="18"/>
                <w:szCs w:val="18"/>
                <w:b w:val="1"/>
                <w:bCs w:val="1"/>
                <w:i w:val="1"/>
                <w:iCs w:val="1"/>
                <w:color w:val="auto"/>
              </w:rPr>
              <w:t>Time Vesting Options</w:t>
            </w:r>
          </w:p>
        </w:tc>
        <w:tc>
          <w:tcPr>
            <w:tcW w:w="200" w:type="dxa"/>
            <w:vAlign w:val="bottom"/>
          </w:tcPr>
          <w:p>
            <w:pPr>
              <w:spacing w:after="0"/>
              <w:rPr>
                <w:sz w:val="20"/>
                <w:szCs w:val="20"/>
                <w:color w:val="auto"/>
              </w:rPr>
            </w:pPr>
          </w:p>
        </w:tc>
        <w:tc>
          <w:tcPr>
            <w:tcW w:w="1540" w:type="dxa"/>
            <w:vAlign w:val="bottom"/>
            <w:gridSpan w:val="3"/>
          </w:tcPr>
          <w:p>
            <w:pPr>
              <w:ind w:left="960"/>
              <w:spacing w:after="0"/>
              <w:rPr>
                <w:sz w:val="20"/>
                <w:szCs w:val="20"/>
                <w:color w:val="auto"/>
              </w:rPr>
            </w:pPr>
            <w:r>
              <w:rPr>
                <w:rFonts w:ascii="Arial" w:cs="Arial" w:eastAsia="Arial" w:hAnsi="Arial"/>
                <w:sz w:val="18"/>
                <w:szCs w:val="18"/>
                <w:b w:val="1"/>
                <w:bCs w:val="1"/>
                <w:i w:val="1"/>
                <w:iCs w:val="1"/>
                <w:color w:val="auto"/>
                <w:w w:val="82"/>
              </w:rPr>
              <w:t>Options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ind w:left="1060"/>
              <w:spacing w:after="0"/>
              <w:rPr>
                <w:sz w:val="20"/>
                <w:szCs w:val="20"/>
                <w:color w:val="auto"/>
              </w:rPr>
            </w:pPr>
            <w:r>
              <w:rPr>
                <w:rFonts w:ascii="Arial" w:cs="Arial" w:eastAsia="Arial" w:hAnsi="Arial"/>
                <w:sz w:val="18"/>
                <w:szCs w:val="18"/>
                <w:b w:val="1"/>
                <w:bCs w:val="1"/>
                <w:color w:val="auto"/>
              </w:rPr>
              <w:t>Date/Activity</w:t>
            </w:r>
          </w:p>
        </w:tc>
        <w:tc>
          <w:tcPr>
            <w:tcW w:w="13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633,334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662,910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86"/>
              </w:rPr>
              <w:t>240,000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Balance, June 30, 2023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733,334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662,798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w w:val="86"/>
              </w:rPr>
              <w:t>240,000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6.53 years as of June 30, 2023.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to Performance Options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June 1, 2020, Rick Mills, CEO, and Will Logan, CFO, were issued ten-year options to purchase 160,000 and 80,000 shares of common stock (the “Performance Options”), respectively, which vest in equal installments over a three-year period (2020-2022), subject to satisfying the Company revenue targets and EBITDA (earnings before interest, taxes, depreciation and amortization) targets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15, 2022, the Board approved of an amendment to the Performance Options to provide that the revenue target for the calendar year 2022 set forth therein ($38,000) was eliminated, and the remaining shares that are available for vesting under the Performance Options (106,667 unvested shares for Mr. Mills and 53,334 for Mr. Logan) (including the unvested portions of shares based on the satisfaction of the revenue targets for 2020 and 2021 by virtue of the catch-up provisions in the Performance Options) will fully vest upon the achievement of an updated EBITDA target for calendar year 2022 of $3,600.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Performance Options state that the calculation of EBITDA set forth in the Performance Options shall be calculated in a form consistent with the Company’s 2022 approved budget, which</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any impact on EBITDA of:</w:t>
      </w:r>
    </w:p>
    <w:p>
      <w:pPr>
        <w:spacing w:after="0" w:line="252" w:lineRule="exact"/>
        <w:rPr>
          <w:rFonts w:ascii="Arial" w:cs="Arial" w:eastAsia="Arial" w:hAnsi="Arial"/>
          <w:sz w:val="18"/>
          <w:szCs w:val="18"/>
          <w:color w:val="auto"/>
        </w:rPr>
      </w:pPr>
    </w:p>
    <w:p>
      <w:pPr>
        <w:ind w:left="660" w:right="220" w:firstLine="644"/>
        <w:spacing w:after="0" w:line="277" w:lineRule="auto"/>
        <w:tabs>
          <w:tab w:leader="none" w:pos="15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accounting treatment (including any “mark-to-market accounting”) of the Company’s warrants or the Guaranteed Consideration (as defined in the Merger Agreement),</w:t>
      </w:r>
    </w:p>
    <w:p>
      <w:pPr>
        <w:spacing w:after="0" w:line="170" w:lineRule="exact"/>
        <w:rPr>
          <w:rFonts w:ascii="Arial" w:cs="Arial" w:eastAsia="Arial" w:hAnsi="Arial"/>
          <w:sz w:val="18"/>
          <w:szCs w:val="18"/>
          <w:color w:val="auto"/>
        </w:rPr>
      </w:pPr>
    </w:p>
    <w:p>
      <w:pPr>
        <w:ind w:left="660" w:right="740" w:firstLine="644"/>
        <w:spacing w:after="0" w:line="277" w:lineRule="auto"/>
        <w:tabs>
          <w:tab w:leader="none" w:pos="1563"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non-recurring transaction expenses associated with the Merger and the capital raising financing activities of the Company to effectuate the Merger, and</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write-down or write-off of any Company inventory of Safe Space Solutions products.</w:t>
      </w:r>
    </w:p>
    <w:p>
      <w:pPr>
        <w:spacing w:after="0" w:line="239" w:lineRule="exact"/>
        <w:rPr>
          <w:sz w:val="20"/>
          <w:szCs w:val="20"/>
          <w:color w:val="auto"/>
        </w:rPr>
      </w:pPr>
    </w:p>
    <w:p>
      <w:pPr>
        <w:jc w:val="both"/>
        <w:ind w:firstLine="656"/>
        <w:spacing w:after="0" w:line="263" w:lineRule="auto"/>
        <w:tabs>
          <w:tab w:leader="none" w:pos="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below) (collectively, the “EBITDA Calculations”).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unvested portion of the Performance Options as of December 31, 2022 vested in full effective March 30, 2023 upon confirmation by the Board of Directors of achievement of the performance metrics for the year ended December 31, 2022.</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exercise price of the foregoing options is $7.59 per share, the closing price of the Company’s common stock on the date of issuance (as adjusted by the Company's 1-for-3 reverse stock split in March 2023). The options were issued from the 2014 Stock Incentive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auto"/>
        </w:rPr>
        <w:t>Issuance of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15, 2022, Messrs. Mills and Logan received ten-year options to purchase 333,334 and 200,000 shares of common stock, respectively (the “New Options”). The New Options are eligible to vest at any time on or prior to February 17, 2025 if the trailing 10-trading day VWAP of the Company’s common stock, as reported on the Nasdaq Capital Market, exceeds the share price targets below, subject to such executive serving the Company as a director, officer, employee or consultant at such time: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 Price Target</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Guaranteed</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$6.00</w:t>
            </w: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$9.00</w:t>
            </w:r>
          </w:p>
        </w:tc>
        <w:tc>
          <w:tcPr>
            <w:tcW w:w="2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2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$15.00</w:t>
            </w: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$18.00</w:t>
            </w:r>
          </w:p>
        </w:tc>
        <w:tc>
          <w:tcPr>
            <w:tcW w:w="2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Mills Shares Vested</w:t>
            </w: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Logan Shares 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Percentage of Shares Vested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“Guaranteed Price” has the meaning ascribed to such term in the Merger Agreement, which currently means $19.20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exercise price of the New Options is $3.00 per share, which exceeded the closing price of the Company’s common stock on the date of issuance (as adjusted by the Company's 1-for-3 reverse stock split in March 2023). The New Options are issued from the Company’s 2014 Stock Incentive Plan, as amended. An additional 100,000 options with identical market vesting restrictions were issued to non-executives.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options on the grant date varied between $0.63 and $1.11 per award as determined using the Monte Carlo model. These values were calculated using the following weighted 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60" w:type="dxa"/>
            <w:vAlign w:val="bottom"/>
          </w:tcPr>
          <w:p>
            <w:pPr>
              <w:jc w:val="right"/>
              <w:ind w:right="70"/>
              <w:spacing w:after="0"/>
              <w:rPr>
                <w:sz w:val="20"/>
                <w:szCs w:val="20"/>
                <w:color w:val="auto"/>
              </w:rPr>
            </w:pPr>
            <w:r>
              <w:rPr>
                <w:rFonts w:ascii="Arial" w:cs="Arial" w:eastAsia="Arial" w:hAnsi="Arial"/>
                <w:sz w:val="18"/>
                <w:szCs w:val="18"/>
                <w:color w:val="auto"/>
              </w:rPr>
              <w:t>2.68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2023, the Company evaluated the probability of achieving the share price targets in each tranche based, in part, on work performed by the Company’s third party valuation specialist in conjunction with evaluating the equity guarantee contingent liability. As a result of that evaluation of probability, during the three and six month period ending June 30, 2023 the Company recorded $4 and $7 of compensation expense, respectively. These awards have not yet vested and are subject to actual share price performance through February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573,334 shares for purchase by the Company’s employees and under the Amended and Restated 2006 Non-Employee Director Stock Option Plan the Company reserved 233,334 shares for purchase by the Company’s employees. There are 3,890 options outstanding under the 2006 Equity Incentive Plan.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Following a 1-for-3 reverse stock split, the shares authorized for issuance under the Company's 2014 Stock Incentive Plan was reduced to 2,000,000. There are 1,632,242 options outstanding under the 2014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Compensation expense recognized for the issuance of stock options to employees for the three and six months ended June 30, 2023 of $152 and $377, respectively, was included in general and administrative expense in the Condensed Consolidated Financial Statements. Compensation expense recognized for the issuance of stock options to employees for the three and six months ended June 30, 2022 of $398 and $948, respectively, was included in general and administrative expense in the Condensed Consolidated Financial Statements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2023, there was $498 of total unrecognized compensation expense related to unvested share-based awards with performance vesting criteria for employees. Compensation expense related to performance vesting options will be recognized if it becomes probable that the Company will achieve the identified performance metrics.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Compensation expense recognized for the issuance of stock options to our Board of Directors, for the three and six month period ended June 30, 2023 of $43 and $86, was included in general and administrative expense in the Condensed Consolidated Financial Statements. Compensation expense recognized for the issuance of stock options to our Board of Directors, for the three and six month period ended June 30, 2022 of $356 and $895, was included in general and administrative expenses in the Condensed Consolidated Financial Statements.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2023, there was approximately $65 of total unrecognized compensation expense related to unvested share-based awards with time vesting criteria for non-employee directors. Generally, expense related to the time vesting options will be recognized over the next year and will be adjusted for any future forfeitures as they occur.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engages certain consultants to perform services in exchange for Company common stock. Shares issued for services were calculated based on the ten (10) day VWAP for the last ten (10) days during the month of service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2023, the Company issued shares issuable in exchange for services in the amount of $30 and $55, respectively. During the three and six months ended June 30, 2022, the Company issued shares issuable in exchange for services in the amount of $45 and $70,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customers that in the aggregate accounted for 28.3% of accounts receivable at June 30, 2023 and three customers that in the aggregate accounted for 49.2% of accounts receivable at December 31,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three customers that in the aggregate accounted for 33.5% of revenue for the three months ended June 30, 2023, compared to two customers that in the aggregate accounted for 37.5% of revenue for the three months ended June 30,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customers that in the aggregate accounted for 29.7% of revenue for the six months ended June 30, 2023, compared to three customers that in the aggregate accounted for 54.3% of revenue for the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one vendor that in the aggregate accounted for 36.1% of outstanding accounts payable at June 30, 2023, and one vendor that accounted for 30.1% of outstanding accounts payable at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2022 as filed with the Securities and Exchange Commission on March 30, 2023.</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Creative Realities, Inc. (“Creative Realities,” “we,” “us,” or the “Company”) transforms environments through digital solutions by providing innovative digital signage solutions for key market segments and use cases, including: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Entertainment and Sports 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Restaurants, including quick-serve restaurants (“QSR”)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Stores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Automotive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and Healthcare Facilities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Mixed Use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Communications, Employee Experience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out of Home (DOOH) Advertising Networks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brand awareness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customer support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employee productivity and satisfaction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 and profitability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guest experience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customer/guest engagement</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Through a combination of organically grown platforms and a series of strategic acquisitions, including our acquisition of Reflect in February 2022, the Company assists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left="4"/>
        <w:spacing w:after="0"/>
        <w:rPr>
          <w:sz w:val="20"/>
          <w:szCs w:val="20"/>
          <w:color w:val="auto"/>
        </w:rPr>
      </w:pPr>
      <w:r>
        <w:rPr>
          <w:rFonts w:ascii="Arial" w:cs="Arial" w:eastAsia="Arial" w:hAnsi="Arial"/>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is one of only a few companies in the industry capable of providing the full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required to implement and run an effective digital signage network. We leverage a ‘single vendor’ approach, providing clients with a one-stop-shop for sourcing digital signage solutions from design through day two services.</w:t>
      </w:r>
    </w:p>
    <w:p>
      <w:pPr>
        <w:spacing w:after="0" w:line="175" w:lineRule="exact"/>
        <w:rPr>
          <w:rFonts w:ascii="Arial" w:cs="Arial" w:eastAsia="Arial" w:hAnsi="Arial"/>
          <w:sz w:val="18"/>
          <w:szCs w:val="18"/>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w:t>
      </w:r>
      <w:r>
        <w:rPr>
          <w:rFonts w:ascii="Arial" w:cs="Arial" w:eastAsia="Arial" w:hAnsi="Arial"/>
          <w:sz w:val="18"/>
          <w:szCs w:val="18"/>
          <w:b w:val="1"/>
          <w:bCs w:val="1"/>
          <w:color w:val="auto"/>
        </w:rPr>
        <w:t xml:space="preserve"> </w:t>
      </w:r>
      <w:r>
        <w:rPr>
          <w:rFonts w:ascii="Arial" w:cs="Arial" w:eastAsia="Arial" w:hAnsi="Arial"/>
          <w:sz w:val="18"/>
          <w:szCs w:val="18"/>
          <w:color w:val="auto"/>
        </w:rPr>
        <w:t>field 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repurposing existing content for digital signage experiences or creating new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activity for which the Company has won several design awards in recent years. In each instance, our services can be essential in helping clients develop an effective content program.</w:t>
      </w:r>
    </w:p>
    <w:p>
      <w:pPr>
        <w:spacing w:after="0" w:line="175"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9" w:lineRule="exact"/>
        <w:rPr>
          <w:rFonts w:ascii="Arial" w:cs="Arial" w:eastAsia="Arial" w:hAnsi="Arial"/>
          <w:sz w:val="18"/>
          <w:szCs w:val="18"/>
          <w:color w:val="auto"/>
        </w:rPr>
      </w:pPr>
    </w:p>
    <w:p>
      <w:pPr>
        <w:jc w:val="both"/>
        <w:ind w:left="324" w:hanging="324"/>
        <w:spacing w:after="0" w:line="289" w:lineRule="auto"/>
        <w:tabs>
          <w:tab w:leader="none" w:pos="3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Media sales </w:t>
      </w:r>
      <w:r>
        <w:rPr>
          <w:rFonts w:ascii="Arial" w:cs="Arial" w:eastAsia="Arial" w:hAnsi="Arial"/>
          <w:sz w:val="17"/>
          <w:szCs w:val="17"/>
          <w:color w:val="auto"/>
        </w:rPr>
        <w:t>– Few, if any other digital signage solution providers, can offer their clients media sales as a service. We have in-house</w:t>
      </w:r>
      <w:r>
        <w:rPr>
          <w:rFonts w:ascii="Arial" w:cs="Arial" w:eastAsia="Arial" w:hAnsi="Arial"/>
          <w:sz w:val="17"/>
          <w:szCs w:val="17"/>
          <w:b w:val="1"/>
          <w:bCs w:val="1"/>
          <w:color w:val="auto"/>
        </w:rPr>
        <w:t xml:space="preserve"> </w:t>
      </w:r>
      <w:r>
        <w:rPr>
          <w:rFonts w:ascii="Arial" w:cs="Arial" w:eastAsia="Arial" w:hAnsi="Arial"/>
          <w:sz w:val="17"/>
          <w:szCs w:val="17"/>
          <w:color w:val="auto"/>
        </w:rPr>
        <w:t>media 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157" w:lineRule="exact"/>
        <w:rPr>
          <w:rFonts w:ascii="Arial" w:cs="Arial" w:eastAsia="Arial" w:hAnsi="Arial"/>
          <w:sz w:val="17"/>
          <w:szCs w:val="17"/>
          <w:color w:val="auto"/>
        </w:rPr>
      </w:pPr>
    </w:p>
    <w:p>
      <w:pPr>
        <w:jc w:val="both"/>
        <w:ind w:left="324" w:hanging="324"/>
        <w:spacing w:after="0" w:line="258"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Market sector expertise </w:t>
      </w:r>
      <w:r>
        <w:rPr>
          <w:rFonts w:ascii="Arial" w:cs="Arial" w:eastAsia="Arial" w:hAnsi="Arial"/>
          <w:sz w:val="18"/>
          <w:szCs w:val="18"/>
          <w:color w:val="auto"/>
        </w:rPr>
        <w:t>– Creative Realities has in-house experts in key market segments such as automotive, retail, quick-serve</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restaurants (QSR),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p>
      <w:pPr>
        <w:spacing w:after="0" w:line="183" w:lineRule="exact"/>
        <w:rPr>
          <w:rFonts w:ascii="Arial" w:cs="Arial" w:eastAsia="Arial" w:hAnsi="Arial"/>
          <w:sz w:val="18"/>
          <w:szCs w:val="18"/>
          <w:color w:val="auto"/>
        </w:rPr>
      </w:pPr>
    </w:p>
    <w:p>
      <w:pPr>
        <w:ind w:left="324" w:hanging="324"/>
        <w:spacing w:after="0" w:line="312" w:lineRule="auto"/>
        <w:tabs>
          <w:tab w:leader="none" w:pos="3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Logistics </w:t>
      </w:r>
      <w:r>
        <w:rPr>
          <w:rFonts w:ascii="Arial" w:cs="Arial" w:eastAsia="Arial" w:hAnsi="Arial"/>
          <w:sz w:val="17"/>
          <w:szCs w:val="17"/>
          <w:color w:val="auto"/>
        </w:rPr>
        <w:t>– Implementing a large digital signage project can be a logistics nightmare that can stall an initiative even before deployment.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Our expertise in logistics improves deployment efficiency, reduces delays and problems, and saves customers time and money.</w:t>
      </w:r>
    </w:p>
    <w:p>
      <w:pPr>
        <w:spacing w:after="0" w:line="139" w:lineRule="exact"/>
        <w:rPr>
          <w:rFonts w:ascii="Arial" w:cs="Arial" w:eastAsia="Arial" w:hAnsi="Arial"/>
          <w:sz w:val="17"/>
          <w:szCs w:val="17"/>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w:t>
      </w:r>
      <w:r>
        <w:rPr>
          <w:rFonts w:ascii="Arial" w:cs="Arial" w:eastAsia="Arial" w:hAnsi="Arial"/>
          <w:sz w:val="18"/>
          <w:szCs w:val="18"/>
          <w:b w:val="1"/>
          <w:bCs w:val="1"/>
          <w:color w:val="auto"/>
        </w:rPr>
        <w:t xml:space="preserve"> </w:t>
      </w:r>
      <w:r>
        <w:rPr>
          <w:rFonts w:ascii="Arial" w:cs="Arial" w:eastAsia="Arial" w:hAnsi="Arial"/>
          <w:sz w:val="18"/>
          <w:szCs w:val="18"/>
          <w:color w:val="auto"/>
        </w:rPr>
        <w:t>and 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63" w:lineRule="exact"/>
        <w:rPr>
          <w:rFonts w:ascii="Arial" w:cs="Arial" w:eastAsia="Arial" w:hAnsi="Arial"/>
          <w:sz w:val="17"/>
          <w:szCs w:val="17"/>
          <w:color w:val="auto"/>
        </w:rPr>
      </w:pPr>
    </w:p>
    <w:p>
      <w:pPr>
        <w:ind w:left="980" w:right="2360" w:hanging="324"/>
        <w:spacing w:after="0" w:line="53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Arial" w:cs="Arial" w:eastAsia="Arial" w:hAnsi="Arial"/>
          <w:sz w:val="18"/>
          <w:szCs w:val="18"/>
          <w:color w:val="auto"/>
        </w:rPr>
      </w:pPr>
      <w:r>
        <w:rPr>
          <w:rFonts w:ascii="Arial" w:cs="Arial" w:eastAsia="Arial" w:hAnsi="Arial"/>
          <w:sz w:val="18"/>
          <w:szCs w:val="18"/>
          <w:color w:val="auto"/>
        </w:rPr>
        <w:t>o Hardware installation o Content development o Content scheduling</w:t>
      </w:r>
    </w:p>
    <w:p>
      <w:pPr>
        <w:ind w:left="980" w:right="6820"/>
        <w:spacing w:after="0" w:line="532" w:lineRule="auto"/>
        <w:rPr>
          <w:rFonts w:ascii="Arial" w:cs="Arial" w:eastAsia="Arial" w:hAnsi="Arial"/>
          <w:sz w:val="18"/>
          <w:szCs w:val="18"/>
          <w:color w:val="auto"/>
        </w:rPr>
      </w:pPr>
      <w:r>
        <w:rPr>
          <w:rFonts w:ascii="Arial" w:cs="Arial" w:eastAsia="Arial" w:hAnsi="Arial"/>
          <w:sz w:val="18"/>
          <w:szCs w:val="18"/>
          <w:color w:val="auto"/>
        </w:rPr>
        <w:t>o Post-deployment network and field support o Media sales</w:t>
      </w:r>
    </w:p>
    <w:p>
      <w:pPr>
        <w:ind w:left="980" w:right="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6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75"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 devices, while still maintaining centralized programming control</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 million ads daily</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 applications</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 mobile device</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 sector, which integrates with dozens of key data services including dealer inventory at the VIN level</w:t>
      </w:r>
    </w:p>
    <w:p>
      <w:pPr>
        <w:spacing w:after="0" w:line="162" w:lineRule="exact"/>
        <w:rPr>
          <w:sz w:val="20"/>
          <w:szCs w:val="20"/>
          <w:color w:val="auto"/>
        </w:rPr>
      </w:pPr>
    </w:p>
    <w:p>
      <w:pPr>
        <w:ind w:left="1300" w:hanging="320"/>
        <w:spacing w:after="0" w:line="28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OSx+</w:t>
      </w:r>
      <w:r>
        <w:rPr>
          <w:rFonts w:ascii="Arial" w:cs="Arial" w:eastAsia="Arial" w:hAnsi="Arial"/>
          <w:sz w:val="18"/>
          <w:szCs w:val="18"/>
          <w:color w:val="auto"/>
        </w:rPr>
        <w:t>, a digital VIN-level checklist used to assist in the tracking and delivery of new vehicles in the transportation sector,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measurable lift in customer satisfaction scores and connected vehicle enrollments and subscription activations.</w:t>
      </w:r>
    </w:p>
    <w:p>
      <w:pPr>
        <w:spacing w:after="0" w:line="166"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23, 2023, the Company filed Articles of Amendment with the Secretary of State of the State of Minnesota to effectuate, effective March 27, 2023, a 1-for-3 stock split of the shares of the Company's common stock, par value $0.01 per share.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Rejection of unsolicited offer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2, 2023, we received an unsolicited proposal from Pegasus Capital Advisors, L.P., on behalf of itself and certain of its affiliates, including Slipstream (collectively, “Pegasus”), to acquire all of the outstanding shares of common stock of the Company that are not owned by Pegasus for a purchase price of $0.83 per share (or, as a result of our recent reverse stock split, $2.49 per share) in cash. Pegasus is the beneficial owner of our common stock owned of record by Slipstream. The Special Committee of the Company’s Board of Directors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 2023, we received a subsequent unsolicited proposal from Pegasus to acquire all of the outstanding shares of common stock of the Company that are not owned by Pegasus for a purchase price of $2.85 per share in cash.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spacing w:after="0" w:line="188"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8"/>
          <w:szCs w:val="18"/>
          <w:color w:val="auto"/>
        </w:rPr>
        <w:t xml:space="preserve">Please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to the Company’s Condensed Consolidated Financial Statements contained in this Report for a description of recent developments of the Company that occurred during, and subsequent to, the three and six months ended June 30,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share and per-share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8"/>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30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Deal and transaction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amendment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settlement of obligations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Arial" w:cs="Arial" w:eastAsia="Arial" w:hAnsi="Arial"/>
                <w:sz w:val="18"/>
                <w:szCs w:val="18"/>
                <w:color w:val="auto"/>
              </w:rPr>
              <w:t>Total other income/(expenses)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(1,965)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were $9,196, representing a decrease of $1,727, or 16%, as compared to the same period in 2022. Hardware revenues were $3,437 for the three month period ended June 30, 2023, a decrease of $2,230, or 39%, as compared to the prior year. Hardware revenues generated during the three month period ended June 30, 2022 were driven by two customers which refreshed their digital hardware throughout their entire geographic footprint. These refresh activities are cyclical in nature and no current customer executed a similar large scale refresh during the three months ended June 30, 2023. Those refresh activities represented $2,418 in incremental hardware revenue during the three months ended June 30, 2022. Services and other revenues were $5,759 for the three month period ended June 30, 2023, an increase of $503, or 10%, driven primarily by increases in installation services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decreased by $364, or 8% during the three months ended June 30, 2023 as compared to the same period in 2022 driven by an increase in installation services revenue.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margin increased to 47% during the three months ended June 30, 2023, from 43% in the same period in 2022 driven by (1) favorable revenue mix during the three months ended June 30, 2023 as managed services, which includes higher margin SaaS and other services revenues, increased to 42% of total revenue as compared to 35% of total revenues in the three months ended June 30, 2022, and (2) margin expansion in hardware, partially offset by reduced revenue in the current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$82, or 7%, driven primarily by the Company’s enhanced investments into sales and marketing activities. Following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third-party sales agents - the salaries and commissions of which are included within Sales and Marketing Expense within the Condensed Consolidated Statement of Operations. We expect the sales and marketing expenses of the Company for the three months ended June 30, 2023 to adequately reflect normal spend in these areas in future reporting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decreased by $41, or 10%, for the three month period ended June 30, 2023 as compared to the same period in 2022 driven primarily by an elevated level of capitalized activity during the current quarter associated with a customer-facing opportunity.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were effectively flat, increasing $33, or 1%. Compared to the three months ended June 30, 2022, the Company experienced decreases of (1) $203 in stock compensation expense as outstanding performance awards were fully expensed as of December 31, 2022, and (2) reductions in certain expenses following completion of integration activities/projects completed during 2022 following the Merger (including but not limited to consolidation of CMS tools, cloud hosting environments, IT tools) that materialized through the balance of 2022. These decreases were offset by increases of $278 in increased personnel costs as a result of higher headcount following the Merger and scaled up operations in response to an increase in customer acquisitions.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Depreciation and amortization expenses increased $329, or 70%, in the three months ended June 30, 2023 compared to the same period in 2022, driven by incremental amortization expense generated from the addition of $17,160 in amortizing intangible assets on February 17, 2022, as a result of the Merger, and a measurement period adjustment recorded during the three months ended June 30, 2022 which artificially reduced the total depreciation and amortization expense. The Company current expects depreciation and amortization expense to be approximately $800 per quarter for the remainder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three month period ended June 30, 2022, the Company recorded a gain of $2,433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Warrant Amendment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had already been obtained). The amendments to the warrants extended the term of such warrants for an additional one year. As a result of the extension in term provided in exchange for the amendment, the Company reassessed the fair value of those warrants, resulting in the Company recording a loss on the fair value of these warrants of $345. The foregoing amendments to the warrants resulted in such warrants to be accounted for as equity instruments on the Company’s Condensed Consolidated Financial Statements as of June 30,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the Six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Ended June 30,</w:t>
            </w:r>
          </w:p>
        </w:tc>
        <w:tc>
          <w:tcPr>
            <w:tcW w:w="30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(3,373)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Deal and transaction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debt waiver consent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Loss on warrant amendment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settlement of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2600%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Arial" w:cs="Arial" w:eastAsia="Arial" w:hAnsi="Arial"/>
                <w:sz w:val="18"/>
                <w:szCs w:val="18"/>
                <w:color w:val="auto"/>
              </w:rPr>
              <w:t>Net (loss) income before income taxes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(6,157)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(2,425)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(6,189)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Sales were $19,140, representing a decrease of $2,540, or 12%, as compared to the same period in 2022. Hardware revenues were $7,759 for the six month period ended June 30, 2023 as compared to $12,126 for the six month period ended June 30, 2022, a decrease of $4,367, or 36%. Hardware revenues generated during the six month period ended June 30, 2023 were driven by two customers which refreshed their digital hardware throughout their entire geographic footprint . These refresh activities are cyclical in nature and no current customer executed a similar large scale refresh during the six months ended June 30, 2023. Those refresh activities represented $4,418 in incremental hardware revenue during the six months ended June 30, 2022.</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Services and other revenues were $11,381 for the six month period ended June 30, 2023, an increase of $1,827, or 19%, driven by growth in managed services revenue. Managed services revenue, which includes both SaaS and help desk technical subscription services, as well as non-contracted recurring content management services, were $7,907 in the six months ended June 30, 2023 as compared to $6,535 in the same period in 2022, driven by expansion in the Company's SaaS revenue and the inclusion of Reflect revenue for a full six months in the current year as compared to approximately four and one half months during the six months ended June 30, 2022 as a result of the Merger closing on February 17, 2022. This represents a year-over-year growth rate of 21% in our higher margin, primarily subscription-based, managed services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by $833, or 10% during the six months ended June 30, 2023 as compared to the same period in 2022 driven by improvements in hardware gross margins as a result of a significant deployment with gross margin of approximately 25%.</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margin increased to 49% during the six months ended June 30, 2023, from 39% in the same period in 2022 driven by (1) favorable revenue mix as managed services revenue, which includes higher margin SaaS and other services revenues, increased to 41% of total revenue for the six months ended June 30, 2023 as compared to 30% of total revenues in the six months ended June 30, 2022 and (2) margin expansion in hardware partially offset by reduced revenue in the current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Sales and marketing expenses generally include the salaries, taxes, and benefits of our sales and marketing personnel, as well as trade show activities, travel, and other related sales and marketing costs. Sales and marketing expenses increased by $511, or 28%, driven primarily by (1) the acquisition of Reflect via the Merger on February 17, 2022, and (2) the Company’s enhanced investments into sales and marketing activities. Following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 party sales agents - the salaries and commissions of which are included within Sales and Marketing Expense within the Condensed Consolidated Statement of Operations. We expect the sales and marketing expenses of the Company for the six months ended June 30, 2023 to adequately reflect the normal spend in these areas in future reporting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increased by $84, or 13%, for the six month period ended June 30, 2023 as compared to the same period in 2022 driven primarily by incremental headcount added via completion of the Merger on February 17, 2022. Through the Merger, we acquired a fully staffed, experienced software development team and elected to keep that team in-tact, particularly given current competitive employment market conditions with respect to talented software engineers. We integrated the development teams which has enhanced speed to market on new feature and functionality development activities. We expect a continued elevated level of expenditure and capitalized activity through the third quarter of 2023 associated with a customer-facing opportunity, followed by a return to spending levels consistent with the Company’s results for the second quarter of 2022, which adequately reflect the pace for spend in these areas in future reporting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General and administrative expenses were effectively flat, increasing $71, or 1%. As compared to the six months ended June 30, 2022, the Company experienced decreases of (1) $456 in stock compensation expense as outstanding performance awards were fully expensed as of December 31, 2022, and (2) reductions in certain expenses following completion of integration activities/projects completed during 2022 following the Reflect Merger (including but not limited to consolidation of CMS tools, cloud hosting environments, IT tools) that materialized through the balance of 2022. These decreases were partially offset by increases of (1) $313 in increased personnel costs as the Company scaled up operations in response to an increase in customer acquisitions, (2) $133 in legal expenses associated with the Company's establishment of a Special Committee of the Board of Directors to consider and respond to an unsolicited proposal of a Company shareholder to acquire certain outstanding shares of common stock of the Company, as well as settlement of two open litigation matters during the period, and (3) other operating costs, each primarily associated with the consolidation of Reflect for six months in 2023, as compared to reporting consolidation of Reflect for only 134 days during the six months ended June 30, 2022 as a result of completion of the Reflect Merger on February 17,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amortization expenses increased $401, or 34%, in the six months ended June 30, 2023 compared to the same period in 2022, driven primarily by incremental amortization expense generated from the addition of $17,160 in amortizing intangible assets on February 17, 2022, as a result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 Loss on warrant amendment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six month period ended June 30,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had already been obtained). The amendments to the warrants extended the term of such warrants for an additional one year (collectively, the "Warrant Amendment"). The foregoing amendments to the warrants resulted in such warrants to be accounted for as equity instruments in the Company’s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equity 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contingent consideration arrangements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waiver consent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six months ended June 30, 2022, in connection with obtaining a waiver of certain restrictions in investment documents between an investor and the Company in order to consummate the financing contemplated by the Company's credit agreement with Slipstream, the Company paid consideration to such investor in the form of the Purchaser Warrant to purchase 466,667 shares of Company common stock in an at-the-market offering under Nasdaq rules. The number of shares of Company common stock subject to the Purchaser Warrant was equal to the waiver fee ($175) divided by $0.375 per share. The exercise price of the Purchaser Warrant is $4.23 per share, and the Purchaser Warrant became exercisable on August 17, 2022. The Purchaser Warrant expires six years from the date of issuance following execution of the Warrant Amendment. At the date of issuance, the Company performed a Black-Scholes valuation of the Purchaser Warrant, resulting in a fair value of $2.5968 per warrant. In recording the warrant liability, the Company recorded an expense in the Condensed Consolidated Statement of Operations associated with the issuance of the Purchaser Warrant of $1,212 for the six months ended June 30, 20222. No such transactions occurred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the six months ended June 30, 2022, the Company refinanced its debt facilities with Slipstream. The Company assessed the combination of the pre-existing senior secured term loan and secured convertible loan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 No such transactions occurred in the current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w w:val="99"/>
              </w:rPr>
              <w:t>Summary Unaudited Quarterly Financial Information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gridSpan w:val="16"/>
          </w:tcPr>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Quarters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June 30</w:t>
            </w:r>
          </w:p>
        </w:tc>
        <w:tc>
          <w:tcPr>
            <w:tcW w:w="160" w:type="dxa"/>
            <w:vAlign w:val="bottom"/>
          </w:tcPr>
          <w:p>
            <w:pPr>
              <w:spacing w:after="0"/>
              <w:rPr>
                <w:sz w:val="16"/>
                <w:szCs w:val="16"/>
                <w:color w:val="auto"/>
              </w:rPr>
            </w:pPr>
          </w:p>
        </w:tc>
        <w:tc>
          <w:tcPr>
            <w:tcW w:w="11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7"/>
              </w:rPr>
              <w:t>March 31</w:t>
            </w:r>
          </w:p>
        </w:tc>
        <w:tc>
          <w:tcPr>
            <w:tcW w:w="100" w:type="dxa"/>
            <w:vAlign w:val="bottom"/>
          </w:tcPr>
          <w:p>
            <w:pPr>
              <w:spacing w:after="0"/>
              <w:rPr>
                <w:sz w:val="16"/>
                <w:szCs w:val="16"/>
                <w:color w:val="auto"/>
              </w:rPr>
            </w:pPr>
          </w:p>
        </w:tc>
        <w:tc>
          <w:tcPr>
            <w:tcW w:w="12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December 31</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1"/>
              </w:rPr>
              <w:t>September 30</w:t>
            </w:r>
          </w:p>
        </w:tc>
        <w:tc>
          <w:tcPr>
            <w:tcW w:w="180" w:type="dxa"/>
            <w:vAlign w:val="bottom"/>
          </w:tcPr>
          <w:p>
            <w:pPr>
              <w:spacing w:after="0"/>
              <w:rPr>
                <w:sz w:val="16"/>
                <w:szCs w:val="16"/>
                <w:color w:val="auto"/>
              </w:rPr>
            </w:pPr>
          </w:p>
        </w:tc>
        <w:tc>
          <w:tcPr>
            <w:tcW w:w="96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tcPr>
          <w:p>
            <w:pPr>
              <w:spacing w:after="0"/>
              <w:rPr>
                <w:sz w:val="16"/>
                <w:szCs w:val="16"/>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Other interest,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Depreciation of property &amp; 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EBITDA</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Gain on fair value of warrant liability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(2,433)</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settlement of obligations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Loss on warrant amendment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fair value of equity guarantee</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Disposal of Safe Space Solutions 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Other (income)/expense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discussion of liquidity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cash provided by operating activities during the six months ended June 30, 2023 was $6,344 compared to net cash used in operating activities of $63 for the same period in 2022. Cash provided by operating activities in the six month period ending June 30, 2023, was driven by a reduction in accounts receivable, inventory and prepaid assets of $1,458, $1,119 and $1,035, respectively. In addition, deferred revenue and customer deposits increased $1,604 and $1,507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investing activities during the six months ended June 30, 2023 was $2,203 compared to $19,546 during the same period in 2022. The use of cash in the prior year was driven by completion of the Merger. We currently do not have any material commitments for capital expenditures as of June 30, 2023; however, we anticipate continued elevated capital expenditures in excess of historical trends through third quarter of 2023 as we complete the modernization and internationalization of our automotive platform in an effort to capture incremental SaaS-based revenue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financing activities during the six months ended June 30, 2023 was $2,510 compared to net cash provided by financing activities of $19,566 for the same period in 2022. The change is the result of the Company’s completion of equity and debt financing in the first quarter of 2022 to facilitate the Merger, which provided net cash of $10,109 and $9,868, respectively. Net cash used in financing activities during the six month period ended June 30, 2023, primarily represents repayments made on the Secured Promissory Note and Term Loan (2022) of $623 and $1,881,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2023, we did not engage in any off-balance sheet arrangements set forth in Item 303(a)(4)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June 30, 2023,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30, 2023 and subsequent filings made with the SEC. Such risks and uncertainties have the potential to affect our business, financial condition, results of operations, cash flow, strategies or prospects in a material and adverse manner. In addition, below is an additional risk factor for which you should be aware:</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extend the maturity or replace our existing financing agreements in the future, our plans to operate our business may be adversely affected and we could be required to curtail our activities significantly and/or cease operating.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August 4, 2023, our largest shareholder and investor, Slipstream Communications LLC (“Slipstream”) is the holder of 96% of our outstanding debt instruments, including three term loans, and has beneficial ownership of approximately 38% of our common stock (on an as-converted, fully diluted basis including conversion of outstanding warrants, and assuming no other convertible securities, options and warrants are converted or exercised by other parties). Historically, we have been able to obtain a continuing support letter from Slipstream, a factor that has previously alleviated the substantial doubt about our ability to continue as a going concern.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Second Amended and Restated Credit and Security Agreement (the "Credit Agreement") made between the Company and Slipstream Communications ("Slipstream") the Company is required to make monthly repayments of principal on the Consolidation Term Loan beginning on September 1, 2023 and on the first day of each month thereafter until the Maturity Date on February 17, 2025. The monthly principal payment beginning on September 1, 2023 is approximately $399, or total principal repayments for the twelve months subsequent to the reporting date of these Condensed Consolidated Financial Statements of $4,389. As a result of the principal debt service payments required to be paid on account of the Consolidation Term Loan, the Company does not currently have cash on hand or committed available liquidity to repay all of its outstanding debt due within one year after the date that these financial statements are issued. These conditions and events raise substantial doubt about the Company's ability to continue as a going concern under the technical framework within ASU 205-40.</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response to these conditions, management plans to either refinance or recapitalize the debt should the Company not produce sufficient cash flows to continue to make repayments of principal. However, these plans have not been finalized and are not completely within the Company's control, and therefore cannot be deemed probable under ASU 205-40. We have been unable to obtain a continuing support letter from Slipstream beyond the period ending May 31, 2024. Obtaining a continuing support letter from Slipstream beyond one year of our report date was a factor that previously alleviated the substantial doubt about our ability to continue as a going concern. As a result, the Company has concluded that management's plans do not alleviate substantial doubt about the Company's ability to continue as a going concern.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extend the maturity or replace our existing financing agreements in the future, our plans to operate our business may be adversely affected and we could be required to curtail our activities significantly and/or cease operating.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4, 2023, the Company issued a press release announcing its financial condition and results of operations for the three and six months ended June 30, 2023.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19"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740" w:type="dxa"/>
            <w:vAlign w:val="bottom"/>
            <w:tcBorders>
              <w:top w:val="single" w:sz="8" w:color="auto"/>
              <w:bottom w:val="single" w:sz="8" w:color="0000EE"/>
            </w:tcBorders>
            <w:gridSpan w:val="5"/>
          </w:tcPr>
          <w:p>
            <w:pPr>
              <w:spacing w:after="0" w:line="169" w:lineRule="exact"/>
              <w:rPr>
                <w:sz w:val="20"/>
                <w:szCs w:val="20"/>
                <w:color w:val="auto"/>
              </w:rPr>
            </w:pPr>
            <w:r>
              <w:rPr>
                <w:rFonts w:ascii="Arial" w:cs="Arial" w:eastAsia="Arial" w:hAnsi="Arial"/>
                <w:sz w:val="18"/>
                <w:szCs w:val="18"/>
                <w:color w:val="0000EE"/>
                <w:w w:val="91"/>
              </w:rPr>
              <w:t>Chief Executive Officer Certification pursuant to Exchange Act Rule 13a-14(a).</w:t>
            </w:r>
          </w:p>
        </w:tc>
        <w:tc>
          <w:tcPr>
            <w:tcW w:w="4240" w:type="dxa"/>
            <w:vAlign w:val="bottom"/>
            <w:tcBorders>
              <w:top w:val="single" w:sz="8" w:color="auto"/>
            </w:tcBorders>
          </w:tcPr>
          <w:p>
            <w:pPr>
              <w:spacing w:after="0"/>
              <w:rPr>
                <w:sz w:val="14"/>
                <w:szCs w:val="14"/>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EE"/>
              </w:rPr>
              <w:t>Chief Financial Officer Certification pursuant to Exchange Act Rule 13a-14(a).</w:t>
            </w: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7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8"/>
              </w:rPr>
              <w:t>Chief Executive Officer Certification pursuant to 18 U.S.C. Section 1350.</w:t>
            </w:r>
          </w:p>
        </w:tc>
        <w:tc>
          <w:tcPr>
            <w:tcW w:w="4300" w:type="dxa"/>
            <w:vAlign w:val="bottom"/>
            <w:gridSpan w:val="2"/>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Chief Financial Officer Certification pursuant to 18 U.S.C. Section 1350.</w:t>
            </w:r>
          </w:p>
        </w:tc>
        <w:tc>
          <w:tcPr>
            <w:tcW w:w="40" w:type="dxa"/>
            <w:vAlign w:val="bottom"/>
            <w:tcBorders>
              <w:top w:val="single" w:sz="8" w:color="0000EE"/>
            </w:tcBorders>
          </w:tcPr>
          <w:p>
            <w:pPr>
              <w:spacing w:after="0"/>
              <w:rPr>
                <w:sz w:val="24"/>
                <w:szCs w:val="24"/>
                <w:color w:val="auto"/>
              </w:rPr>
            </w:pPr>
          </w:p>
        </w:tc>
        <w:tc>
          <w:tcPr>
            <w:tcW w:w="4680" w:type="dxa"/>
            <w:vAlign w:val="bottom"/>
            <w:gridSpan w:val="3"/>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EE"/>
              </w:rPr>
              <w:t>Press Release dated August 4, 2023</w:t>
            </w: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Inline XBRL Instance Document</w:t>
            </w:r>
          </w:p>
        </w:tc>
        <w:tc>
          <w:tcPr>
            <w:tcW w:w="7440" w:type="dxa"/>
            <w:vAlign w:val="bottom"/>
            <w:gridSpan w:val="5"/>
          </w:tcPr>
          <w:p>
            <w:pPr>
              <w:spacing w:after="0"/>
              <w:rPr>
                <w:sz w:val="24"/>
                <w:szCs w:val="24"/>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1240" w:hanging="1232"/>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640"/>
              <w:spacing w:after="0"/>
              <w:rPr>
                <w:sz w:val="20"/>
                <w:szCs w:val="20"/>
                <w:color w:val="auto"/>
              </w:rPr>
            </w:pPr>
            <w:r>
              <w:rPr>
                <w:rFonts w:ascii="Arial" w:cs="Arial" w:eastAsia="Arial" w:hAnsi="Arial"/>
                <w:sz w:val="18"/>
                <w:szCs w:val="18"/>
                <w:color w:val="auto"/>
              </w:rPr>
              <w:t>Creative Realities,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4, 2023</w:t>
            </w:r>
          </w:p>
        </w:tc>
        <w:tc>
          <w:tcPr>
            <w:tcW w:w="3200" w:type="dxa"/>
            <w:vAlign w:val="bottom"/>
          </w:tcPr>
          <w:p>
            <w:pPr>
              <w:ind w:left="26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r>
      <w:tr>
        <w:trPr>
          <w:trHeight w:val="195"/>
        </w:trPr>
        <w:tc>
          <w:tcPr>
            <w:tcW w:w="3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Richard Mills</w:t>
            </w:r>
          </w:p>
        </w:tc>
      </w:tr>
      <w:tr>
        <w:trPr>
          <w:trHeight w:val="230"/>
        </w:trPr>
        <w:tc>
          <w:tcPr>
            <w:tcW w:w="3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540" w:type="dxa"/>
            <w:vAlign w:val="bottom"/>
          </w:tcPr>
          <w:p>
            <w:pPr>
              <w:spacing w:after="0"/>
              <w:rPr>
                <w:sz w:val="24"/>
                <w:szCs w:val="24"/>
                <w:color w:val="auto"/>
              </w:rPr>
            </w:pPr>
          </w:p>
        </w:tc>
        <w:tc>
          <w:tcPr>
            <w:tcW w:w="3200" w:type="dxa"/>
            <w:vAlign w:val="bottom"/>
          </w:tcPr>
          <w:p>
            <w:pPr>
              <w:ind w:left="26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195"/>
        </w:trPr>
        <w:tc>
          <w:tcPr>
            <w:tcW w:w="3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Will Logan</w:t>
            </w:r>
          </w:p>
        </w:tc>
      </w:tr>
      <w:tr>
        <w:trPr>
          <w:trHeight w:val="230"/>
        </w:trPr>
        <w:tc>
          <w:tcPr>
            <w:tcW w:w="3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540" w:type="dxa"/>
            <w:vAlign w:val="bottom"/>
          </w:tcPr>
          <w:p>
            <w:pPr>
              <w:spacing w:after="0"/>
              <w:rPr>
                <w:sz w:val="24"/>
                <w:szCs w:val="24"/>
                <w:color w:val="auto"/>
              </w:rPr>
            </w:pPr>
          </w:p>
        </w:tc>
        <w:tc>
          <w:tcPr>
            <w:tcW w:w="3200" w:type="dxa"/>
            <w:vAlign w:val="bottom"/>
          </w:tcPr>
          <w:p>
            <w:pPr>
              <w:jc w:val="right"/>
              <w:ind w:right="930"/>
              <w:spacing w:after="0"/>
              <w:rPr>
                <w:sz w:val="20"/>
                <w:szCs w:val="20"/>
                <w:color w:val="auto"/>
              </w:rPr>
            </w:pPr>
            <w:r>
              <w:rPr>
                <w:rFonts w:ascii="Arial" w:cs="Arial" w:eastAsia="Arial" w:hAnsi="Arial"/>
                <w:sz w:val="18"/>
                <w:szCs w:val="18"/>
                <w:color w:val="auto"/>
              </w:rPr>
              <w:t>42</w:t>
            </w:r>
          </w:p>
        </w:tc>
        <w:tc>
          <w:tcPr>
            <w:tcW w:w="450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six months ended June 30, 2023,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40" w:hanging="326"/>
        <w:spacing w:after="0" w:line="308" w:lineRule="auto"/>
        <w:tabs>
          <w:tab w:leader="none" w:pos="6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hanging="326"/>
        <w:spacing w:after="0" w:line="277"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hanging="326"/>
        <w:spacing w:after="0" w:line="277"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Richard Mills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six months ended June 30, 2023,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40" w:hanging="326"/>
        <w:spacing w:after="0" w:line="308" w:lineRule="auto"/>
        <w:tabs>
          <w:tab w:leader="none" w:pos="6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hanging="326"/>
        <w:spacing w:after="0" w:line="27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hanging="326"/>
        <w:spacing w:after="0" w:line="27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195"/>
        </w:trPr>
        <w:tc>
          <w:tcPr>
            <w:tcW w:w="5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Will Logan</w:t>
            </w:r>
          </w:p>
        </w:tc>
      </w:tr>
      <w:tr>
        <w:trPr>
          <w:trHeight w:val="230"/>
        </w:trPr>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six months ended June 30, 2023,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99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Richard Mills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six months ended June 30, 2023,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14605</wp:posOffset>
            </wp:positionV>
            <wp:extent cx="30600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Will Logan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Creative Realities Reports 2</w:t>
      </w:r>
      <w:r>
        <w:rPr>
          <w:rFonts w:ascii="Arial" w:cs="Arial" w:eastAsia="Arial" w:hAnsi="Arial"/>
          <w:sz w:val="17"/>
          <w:szCs w:val="17"/>
          <w:b w:val="1"/>
          <w:bCs w:val="1"/>
          <w:color w:val="auto"/>
        </w:rPr>
        <w:t>nd</w:t>
      </w:r>
      <w:r>
        <w:rPr>
          <w:rFonts w:ascii="Arial" w:cs="Arial" w:eastAsia="Arial" w:hAnsi="Arial"/>
          <w:sz w:val="22"/>
          <w:szCs w:val="22"/>
          <w:b w:val="1"/>
          <w:bCs w:val="1"/>
          <w:color w:val="auto"/>
        </w:rPr>
        <w:t xml:space="preserve"> Quarter 2023 Results</w:t>
      </w:r>
    </w:p>
    <w:p>
      <w:pPr>
        <w:spacing w:after="0" w:line="219" w:lineRule="exact"/>
        <w:rPr>
          <w:sz w:val="20"/>
          <w:szCs w:val="20"/>
          <w:color w:val="auto"/>
        </w:rPr>
      </w:pPr>
    </w:p>
    <w:p>
      <w:pPr>
        <w:ind w:left="1960" w:hanging="33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2Q 2023 Revenue of $9.2 million</w:t>
      </w:r>
    </w:p>
    <w:p>
      <w:pPr>
        <w:spacing w:after="0" w:line="23" w:lineRule="exact"/>
        <w:rPr>
          <w:rFonts w:ascii="Arial" w:cs="Arial" w:eastAsia="Arial" w:hAnsi="Arial"/>
          <w:sz w:val="18"/>
          <w:szCs w:val="18"/>
          <w:color w:val="auto"/>
        </w:rPr>
      </w:pPr>
    </w:p>
    <w:p>
      <w:pPr>
        <w:ind w:left="1960" w:hanging="33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Record Annual Recurring Revenue run-rate now ~$15.2 million</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2Q Gross Profit of $4.3 million (46.7%)</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1H 2023 Record Gross Profit of $9.4 million (49.0%)</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Reiterates Projected Backlog Revenue exceeds $110 million</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LOUISVILLE, KY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4, 2023 </w:t>
      </w:r>
      <w:r>
        <w:rPr>
          <w:rFonts w:ascii="Arial" w:cs="Arial" w:eastAsia="Arial" w:hAnsi="Arial"/>
          <w:sz w:val="18"/>
          <w:szCs w:val="18"/>
          <w:color w:val="auto"/>
        </w:rPr>
        <w:t>– Creative Realities, Inc. (“Creative Realities,” “CRI,” or the “Company”) (NASDAQ: CREX, CREXW),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digital signage and media solutions, announced its financial results for the three and six months ended June 30, 2023.</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Rick Mills, Chief Executive Officer, commented “I am pleased to report second quarter 2023 revenue of $9.2 million, with $4.3 million in gross profit, which equates to a second quarter gross profit margin of 46.7% – a 406 basis-point improvement over the second quarter of last year – continuing the improved year-over-year trend in our margins that was evident in the first quarter. This brings the Company’s gross profit to a record $9.4 million for the first six months of the year at a record gross profit margin for the first half of any year of 49.0%, the latter of which is an approximately 960 basis-point improvement over 2022.”</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Mills continued, “We continue to focus on critical path actions to grow both our customer base and, importantly, our annual SaaS subscription revenue contracts, or ARR, the latter of which now exceeds a $15.2 million run-rate. CRI continues to win in the marketplace, having now successfully converted approximately 69% of our RFP opportunities over the past 12 months. Our new customer acquisition momentum, combined with continued growth in our ARR, has strengthened our expectations for the near and long-term prospects of this business. We are actively competing in a significant number of new customer engagements for which an award of business is currently pending.</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quarter has met our expectations. We have had a shift in the revenue ramp associated with the Bowling deployment due to unexpected supply chain delays for certain route/switch equipment, which was being procured and delivered by a third-party, that have since been alleviated in full. We expect that these delays could ultimately impact our full year revenue results, however we believe the revenues from this project have not vanished but have instead experienced a shift in timing. The associated revenues will be realized, and we continue to project a step-function change in run-rate revenue on a go-forward basis beginning in the third quarter, with an increasing effect in subsequent quarters thereafter for the foreseeable future. The Company expects to generate between $60 million and $80 million in revenue for the next twelve-month period beginning in third quarter 2023, but expects that generating an $80 million run-rate may take an additional quarter or two as we catch up on the third-party supply chain delays that were recently resolved,” Mr. Mills added.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“Importantly, we also project ongoing improvements in profitability associated with both scale and new deployments, the latter of which drive SaaS and other downstream recurring and services revenue at significantly more favorable margins. We are demonstrating the improvements in profitability already and, as we realize our backlog of $110 million, EBITDA and free cash flow will follow. These effects are running in parallel with accelerated debt service as we simultaneously reduce debt and grow profit into an optimal leverage ratio.”</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Mills encouraged investors to attend the Company’s earnings release call, “In addition to providing additional context to our second quarter earnings, we will convey several important announcements and updates relating to new customer acquisitions and the scaling of our CMS platforms.”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backlog is primarily related to projected network deployments and project work, which upon execution will result in additional ARR. The Company’s backlog calculation is comprised of the full rollout of projects that have been communicated to us by our current customers under contract, and includes all revenues to be received by the Company by deploying all of our products and services necessary to service such stated projects, including projected revenues that are not currently subject to binding purchase orders or firm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u w:val="single" w:color="auto"/>
          <w:color w:val="auto"/>
        </w:rPr>
        <w:t>2Q 2023 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current year and prior year represent references to the three months ended June 30, 2023 and 2022,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Highlights: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in-line with previously communicated expectations for second quarter 2023, between $9 - $10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gross margin percentage to 46.7% in the current year from 42.7% in the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Annualized Recurring Revenue to forward run-rate of ~$15.2 million.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in the current year were $9,196, representing a decrease of $1,727, or 16%, as compared to prior year. Hardware revenues were $3,437 in the current year, a decrease of $2,230, or 39%, as compared to the prior year. Hardware revenues generated in the prior year were driven by two customers which refreshed their digital hardware throughout their entire geographic footprint. These refresh activities are cyclical in nature and no current customer executed a similar large-scale refresh during the current year. Those refresh activities represented $2,418 in incremental hardware revenue during the prior year.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Services and other revenues in the current year were $5,759, an increase of $503, or 10%, as compared to prior year driven primarily by increases in installation services revenue and growth in managed services revenue. Managed services revenue, which includes both software-as-a-service (“SaaS”), help desk technical subscription services, and other services revenues. While those managed services revenues were effectively flat at $3,835, the prior year figure included the last remaining software license contracts associated with Safe Space Solutions, which were discontinued earlier in 2023.</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Gross profit decreased by $364, or 8% in the current year as compared to prior year driven by an increase in installation services revenue.</w:t>
      </w:r>
    </w:p>
    <w:p>
      <w:pPr>
        <w:spacing w:after="0" w:line="23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margin increased to 47% during the current year, from 43% in the prior year driven by (1) favorable revenue mix during the three months ended June 30, 2023 as managed services, which includes higher margin SaaS and other services revenues, increased to 42% of total revenue in the current year as compared to 35% of total revenues in the prior year, and (2) margin expansion in hardware, partially offset by reduced revenue in the current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left="660" w:hanging="328"/>
        <w:spacing w:after="0" w:line="26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$82, or 7%, in the current year as compared to the prior year driven primarily by the Company’s enhanced investments into sales and marketing activities. Following the Company’s merger with Reflect Systems, Inc.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third-party sales agents - the salaries and commissions of which are included within Sales and Marketing Expense within the Condensed Consolidated Statement of Operations. We expect the sales and marketing expenses of the Company for the three months ended June 30, 2023 to adequately reflect normal spend in these areas in future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left="660" w:hanging="328"/>
        <w:spacing w:after="0" w:line="29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 of Operations on a straight-line basis over the economic useful life of the software feature or functionality. Research and development expenses decreased by $41, or 10%, in the current year as compared to prior year driven primarily by an elevated level of capitalized activity during the current quarter associated with a customer-facing opportunity.</w:t>
      </w:r>
    </w:p>
    <w:p>
      <w:pPr>
        <w:spacing w:after="0" w:line="161"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and administrative expenses were effectively flat, increasing $33, or 1%, in the current year as compared to prior year driven by reductions (1) of $203 in stock compensation expense as outstanding performance awards were fully expensed as of December 31, 2022, and</w:t>
      </w:r>
    </w:p>
    <w:p>
      <w:pPr>
        <w:jc w:val="both"/>
        <w:ind w:left="660" w:hanging="4"/>
        <w:spacing w:after="0" w:line="253" w:lineRule="auto"/>
        <w:tabs>
          <w:tab w:leader="none" w:pos="9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certain expenses following completion of integration activities/projects completed during 2022 following the Reflect Merger (including but not limited to consolidation of CMS tools, cloud hosting environments, IT tools) that materialized through the balance of 2022. These decreases were offset by increases of $278 in personnel costs in the current year as a result of higher headcount following the Merger and scaled up operations in response to an increase in customer acquisitions.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loss, and EBITDA:</w:t>
      </w:r>
    </w:p>
    <w:p>
      <w:pPr>
        <w:spacing w:after="0" w:line="225"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loss was $0.7 million for the current year ended as compared to breakeven in the prior year, inclusive of approximately $0.8 and $0.5 million in non-cash amortization of fixed and intangible assets in the current and prior year, respectively.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was $1.4 million for the current period as compared to net income of $1.3 million for the same period in 2022, which was driven in the prior year by a non-cash gain of $2.5 million on mark-to-market liabilities no longer included in the Company’s condensed consolidated balance sheet.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was approximately $0.3 million in the current period as compared to $0.9 million in the prior period, with Adjusted EBITDA margin percentage of 3.2% in the current period as compared to 8.3% in the prior period. See the appendix for a description of these non-GAAP financial measures and reconciliation to our net income.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GAAP-basis net income/(loss) to Adjusted EBITDA is provided in a table at the end of this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notes:</w:t>
      </w:r>
    </w:p>
    <w:p>
      <w:pPr>
        <w:spacing w:after="0" w:line="221" w:lineRule="exact"/>
        <w:rPr>
          <w:sz w:val="20"/>
          <w:szCs w:val="20"/>
          <w:color w:val="auto"/>
        </w:rPr>
      </w:pPr>
    </w:p>
    <w:p>
      <w:pPr>
        <w:jc w:val="both"/>
        <w:ind w:left="660" w:hanging="328"/>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Cash</w:t>
      </w:r>
      <w:r>
        <w:rPr>
          <w:rFonts w:ascii="Arial" w:cs="Arial" w:eastAsia="Arial" w:hAnsi="Arial"/>
          <w:sz w:val="18"/>
          <w:szCs w:val="18"/>
          <w:color w:val="auto"/>
        </w:rPr>
        <w:t>: The Company’s cash on hand as of June 30, 2023 increased to $3.3 million from $1.6 million as of December 31, 2022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on accounts receivable, annual billings associated with our SaaS-based contracts, and increases in customer deposits on future deployments, partially offset by investments in software development projects and repayment of debt.</w:t>
      </w:r>
    </w:p>
    <w:p>
      <w:pPr>
        <w:spacing w:after="0" w:line="175"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Debt</w:t>
      </w:r>
      <w:r>
        <w:rPr>
          <w:rFonts w:ascii="Arial" w:cs="Arial" w:eastAsia="Arial" w:hAnsi="Arial"/>
          <w:sz w:val="18"/>
          <w:szCs w:val="18"/>
          <w:color w:val="auto"/>
        </w:rPr>
        <w:t>: Through June 30, 2023, the Company has repaid in excess of $2.5 million in principal on debt, reducing the Company’s leverage ratio.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anticipates that starting on September 1, 2023, it will begin making principal debt payments of approximately $399. In response to these conditions, management plans to either refinance or recapitalize its debt should the Company not produce sufficient cash flows to continue to make repayments of principal.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host a conference call to review the results of the Company’s second quarter 2023, and provide additional commentary about the Company’s recent performance, on Friday, August 4, 2023 at 9:00 am Eastern Time.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Prior to the call, participants should register at </w:t>
      </w:r>
      <w:r>
        <w:rPr>
          <w:rFonts w:ascii="Arial" w:cs="Arial" w:eastAsia="Arial" w:hAnsi="Arial"/>
          <w:sz w:val="18"/>
          <w:szCs w:val="18"/>
          <w:u w:val="single" w:color="auto"/>
          <w:color w:val="auto"/>
        </w:rPr>
        <w:t>http://bit.ly/CRIearnings2023Q2</w:t>
      </w:r>
      <w:r>
        <w:rPr>
          <w:rFonts w:ascii="Arial" w:cs="Arial" w:eastAsia="Arial" w:hAnsi="Arial"/>
          <w:sz w:val="18"/>
          <w:szCs w:val="18"/>
          <w:color w:val="auto"/>
        </w:rPr>
        <w:t xml:space="preserve">. Once registered, participants can use the dial-in information provided in the registration email to listen to the Company’s prepared remarks and participate in the live question and answer session. An archived edition of the conference call will also be posted on our website at </w:t>
      </w:r>
      <w:r>
        <w:rPr>
          <w:rFonts w:ascii="Arial" w:cs="Arial" w:eastAsia="Arial" w:hAnsi="Arial"/>
          <w:sz w:val="18"/>
          <w:szCs w:val="18"/>
          <w:u w:val="single" w:color="auto"/>
          <w:color w:val="auto"/>
        </w:rPr>
        <w:t>www.cri.com</w:t>
      </w:r>
      <w:r>
        <w:rPr>
          <w:rFonts w:ascii="Arial" w:cs="Arial" w:eastAsia="Arial" w:hAnsi="Arial"/>
          <w:sz w:val="18"/>
          <w:szCs w:val="18"/>
          <w:color w:val="auto"/>
        </w:rPr>
        <w:t xml:space="preserve"> later that same day and will remain available to interested parties via the same link for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its recent acquisition of Reflect Systems, Inc. (“Reflect”), a leading provider of digital signage software platforms, the Company is poised to extend its product and service offering and accelerate growth in SaaS revenue. While Reflect provided a broad range of digital signage solutions, Reflect’s flagship products are the market-leading ReflectView digital signage platform and Reflect AdLogic ad management platform. ReflectView is the industry’s most comprehensive, scalable, enterprise-grade digital signage platform, powering enterprise customer networks. Meanwhile, Reflect AdLogic has become the benchmark for digital signage powered ad networks, delivering nearly 50 million ads daily. The acquisition of Reflect also brought to the Company a media sales division with the expertise and relationships to help any digital signage venue owner develop and execute a monetization plan for their network.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further information, please refer to Creative Realities, Inc.’s filings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 including its Annual Report on Form 10-K filed with the Securities and Exchange Commission on March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2022 and in our Quarterly Report on Form 10-Q for the period ended June 30, 2023, and the Company’s subsequent filings with the U.S. Securities and Exchange Commission. Important factors, among others, that may affect actual results or outcomes include: our ability to effectively integrate Reflect’s business operations,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including those as a result of the COVID-19 pandemic.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Christina Davies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cdavies@ideagrove.com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ir@cri.com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Work-in-process and inventories,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49"/>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operating leases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Short-term portion of Secured Promissory Note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3"/>
              </w:rPr>
              <w:t>Short-term portion of related party Consolidation Term Loan, net of $747 and $745 discount, respectively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Short-term related party Term Loan (2022)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Long-term Secured Promissory Note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Long-term related party Acquisition Term Loan, net of $1,139 and $1,484 discount, respectively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Long-term related party Consolidation Term Loan, net of $469 and $840 discount,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under operating leases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Contingent acquisition consideration, at fair value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8"/>
                <w:szCs w:val="18"/>
                <w:color w:val="auto"/>
              </w:rPr>
            </w:pPr>
          </w:p>
        </w:tc>
      </w:tr>
      <w:tr>
        <w:trPr>
          <w:trHeight w:val="216"/>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Pr>
          <w:p>
            <w:pPr>
              <w:spacing w:after="0"/>
              <w:rPr>
                <w:sz w:val="18"/>
                <w:szCs w:val="18"/>
                <w:color w:val="auto"/>
              </w:rPr>
            </w:pPr>
          </w:p>
        </w:tc>
      </w:tr>
      <w:tr>
        <w:trPr>
          <w:trHeight w:val="210"/>
        </w:trPr>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66,666 shares authorized; 7,409 and 7,266 shares issued and outstanding,</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75,916</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(50,409)</w:t>
            </w:r>
          </w:p>
        </w:tc>
      </w:tr>
      <w:tr>
        <w:trPr>
          <w:trHeight w:val="210"/>
        </w:trPr>
        <w:tc>
          <w:tcPr>
            <w:tcW w:w="7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tcBorders>
              <w:top w:val="single" w:sz="8" w:color="CCEEFF"/>
            </w:tcBorders>
          </w:tcPr>
          <w:p>
            <w:pPr>
              <w:spacing w:after="0"/>
              <w:rPr>
                <w:sz w:val="18"/>
                <w:szCs w:val="18"/>
                <w:color w:val="auto"/>
              </w:rPr>
            </w:pPr>
          </w:p>
        </w:tc>
      </w:tr>
      <w:tr>
        <w:trPr>
          <w:trHeight w:val="249"/>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5"/>
        </w:trPr>
        <w:tc>
          <w:tcPr>
            <w:tcW w:w="7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For the 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34"/>
        </w:trPr>
        <w:tc>
          <w:tcPr>
            <w:tcW w:w="5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Hardware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5,667</w:t>
            </w:r>
          </w:p>
        </w:tc>
        <w:tc>
          <w:tcPr>
            <w:tcW w:w="14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Hardware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cost of sales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Deal and transaction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 including amortization of debt discount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(1,590)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on debt waiver consent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 on warrant amendment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Gain/(loss) on settlement of obligations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(loss) income before income taxes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(2,337)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0"/>
        </w:trPr>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common share</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5960" w:type="dxa"/>
            <w:vAlign w:val="bottom"/>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127"/>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0.17</w:t>
            </w:r>
          </w:p>
        </w:tc>
        <w:tc>
          <w:tcPr>
            <w:tcW w:w="2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(0.33)</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7,234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7,379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596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6,060</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5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(loss) income</w:t>
            </w:r>
          </w:p>
        </w:tc>
        <w:tc>
          <w:tcPr>
            <w:tcW w:w="18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(2,425)</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Amortization of stock-based compensation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Loss on debt waiver consent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Loss on warrant amendment</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on change in fair value of warrants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Bad debt expense</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warrants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Loss on change in fair value of contingent consideration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Work-in-process and inventories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0"/>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acquired</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labor for software development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(2,328)</w:t>
            </w:r>
          </w:p>
        </w:tc>
      </w:tr>
      <w:tr>
        <w:trPr>
          <w:trHeight w:val="20"/>
        </w:trPr>
        <w:tc>
          <w:tcPr>
            <w:tcW w:w="7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(19,546)</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Principal payments on finance leases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in PIPE, net of offering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Proceeds from sale &amp; exercise of pre-funded warrants in PIPE, net of offering expenses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Acquisition Loan, net of offering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Repayment of Term Loan (2022)</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Secured Promissory Note</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r>
      <w:tr>
        <w:trPr>
          <w:trHeight w:val="20"/>
        </w:trPr>
        <w:tc>
          <w:tcPr>
            <w:tcW w:w="7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8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4"/>
        </w:trPr>
        <w:tc>
          <w:tcPr>
            <w:tcW w:w="7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Quarters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June 30</w:t>
            </w:r>
          </w:p>
        </w:tc>
        <w:tc>
          <w:tcPr>
            <w:tcW w:w="160" w:type="dxa"/>
            <w:vAlign w:val="bottom"/>
          </w:tcPr>
          <w:p>
            <w:pPr>
              <w:spacing w:after="0"/>
              <w:rPr>
                <w:sz w:val="16"/>
                <w:szCs w:val="16"/>
                <w:color w:val="auto"/>
              </w:rPr>
            </w:pPr>
          </w:p>
        </w:tc>
        <w:tc>
          <w:tcPr>
            <w:tcW w:w="11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7"/>
              </w:rPr>
              <w:t>March 31</w:t>
            </w:r>
          </w:p>
        </w:tc>
        <w:tc>
          <w:tcPr>
            <w:tcW w:w="100" w:type="dxa"/>
            <w:vAlign w:val="bottom"/>
          </w:tcPr>
          <w:p>
            <w:pPr>
              <w:spacing w:after="0"/>
              <w:rPr>
                <w:sz w:val="16"/>
                <w:szCs w:val="16"/>
                <w:color w:val="auto"/>
              </w:rPr>
            </w:pPr>
          </w:p>
        </w:tc>
        <w:tc>
          <w:tcPr>
            <w:tcW w:w="12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December 31</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1"/>
              </w:rPr>
              <w:t>September 30</w:t>
            </w:r>
          </w:p>
        </w:tc>
        <w:tc>
          <w:tcPr>
            <w:tcW w:w="180" w:type="dxa"/>
            <w:vAlign w:val="bottom"/>
          </w:tcPr>
          <w:p>
            <w:pPr>
              <w:spacing w:after="0"/>
              <w:rPr>
                <w:sz w:val="16"/>
                <w:szCs w:val="16"/>
                <w:color w:val="auto"/>
              </w:rPr>
            </w:pPr>
          </w:p>
        </w:tc>
        <w:tc>
          <w:tcPr>
            <w:tcW w:w="96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tcPr>
          <w:p>
            <w:pPr>
              <w:spacing w:after="0"/>
              <w:rPr>
                <w:sz w:val="16"/>
                <w:szCs w:val="16"/>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interest,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employee share-based awards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Depreciation of property &amp; 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EBITDA</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Gain on fair value of warrant liability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(2,433)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obligations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on warrant amendment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(Gain)/loss on fair value of equity guarantee</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Disposal of Safe Space Solutions 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Deal and transaction expenses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 Director grants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4"/>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Letter"/>
      <w:start w:val="9"/>
    </w:lvl>
    <w:lvl w:ilvl="1">
      <w:lvlJc w:val="left"/>
      <w:lvlText w:val="(%2)"/>
      <w:numFmt w:val="lowerLetter"/>
      <w:start w:val="1"/>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o"/>
      <w:numFmt w:val="bullet"/>
      <w:start w:val="1"/>
    </w:lvl>
  </w:abstractNum>
  <w:abstractNum w:abstractNumId="13">
    <w:nsid w:val="257130A3"/>
    <w:multiLevelType w:val="hybridMultilevel"/>
    <w:lvl w:ilvl="0">
      <w:lvlJc w:val="left"/>
      <w:lvlText w:val="%1"/>
      <w:numFmt w:val="decimal"/>
      <w:start w:val="104"/>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decimal"/>
      <w:start w:val="1"/>
    </w:lvl>
    <w:lvl w:ilvl="1">
      <w:lvlJc w:val="left"/>
      <w:lvlText w:val="%2)"/>
      <w:numFmt w:val="lowerLetter"/>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lvl w:ilvl="1">
      <w:lvlJc w:val="left"/>
      <w:lvlText w:val="(%2)"/>
      <w:numFmt w:val="decimal"/>
      <w:start w:val="2"/>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2023-08-04T07:37:47Z</dcterms:created>
  <dcterms:modified xsi:type="dcterms:W3CDTF">2023-08-04T07:37:47Z</dcterms:modified>
</cp:coreProperties>
</file>