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ex20260630_10q.htm"/>
      <w:bookmarkStart w:id="1" w:name="kscrex2026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 to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001-33169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28" w:type="dxa"/>
          <w:right w:w="0" w:type="dxa"/>
        </w:tblCellMar>
      </w:tblPr>
      <w:tblGrid>
        <w:gridCol w:w="4295"/>
        <w:gridCol w:w="60"/>
        <w:gridCol w:w="1460"/>
      </w:tblGrid>
      <w:tr>
        <w:trPr/>
        <w:tc>
          <w:tcPr>
            <w:tcW w:w="42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Minnesota</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41-1967918</w:t>
            </w:r>
          </w:p>
        </w:tc>
      </w:tr>
      <w:tr>
        <w:trPr/>
        <w:tc>
          <w:tcPr>
            <w:tcW w:w="42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4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r>
      <w:tr>
        <w:trPr/>
        <w:tc>
          <w:tcPr>
            <w:tcW w:w="42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13100 Magisterial Drive, Suite 201, Louisville KY </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40223</w:t>
            </w:r>
          </w:p>
        </w:tc>
      </w:tr>
      <w:tr>
        <w:trPr/>
        <w:tc>
          <w:tcPr>
            <w:tcW w:w="42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(502) 791-8800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bl>
      <w:tblPr>
        <w:tblW w:w="7920" w:type="dxa"/>
        <w:jc w:val="left"/>
        <w:tblInd w:w="0" w:type="dxa"/>
        <w:tblLayout w:type="fixed"/>
        <w:tblCellMar>
          <w:top w:w="0" w:type="dxa"/>
          <w:left w:w="0" w:type="dxa"/>
          <w:bottom w:w="28" w:type="dxa"/>
          <w:right w:w="0" w:type="dxa"/>
        </w:tblCellMar>
      </w:tblPr>
      <w:tblGrid>
        <w:gridCol w:w="3395"/>
        <w:gridCol w:w="60"/>
        <w:gridCol w:w="1610"/>
        <w:gridCol w:w="60"/>
        <w:gridCol w:w="2795"/>
      </w:tblGrid>
      <w:tr>
        <w:trPr/>
        <w:tc>
          <w:tcPr>
            <w:tcW w:w="33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79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each exchange on which</w:t>
            </w:r>
            <w:r>
              <w:rPr>
                <w:rFonts w:ascii="Times New Roman" w:hAnsi="Times New Roman"/>
                <w:caps w:val="false"/>
                <w:smallCaps w:val="false"/>
                <w:sz w:val="20"/>
              </w:rPr>
              <w:br/>
            </w:r>
            <w:r>
              <w:rPr>
                <w:rFonts w:ascii="Times New Roman" w:hAnsi="Times New Roman"/>
                <w:b/>
                <w:caps w:val="false"/>
                <w:smallCaps w:val="false"/>
                <w:sz w:val="20"/>
              </w:rPr>
              <w:t>registered</w:t>
            </w:r>
          </w:p>
        </w:tc>
      </w:tr>
      <w:tr>
        <w:trPr/>
        <w:tc>
          <w:tcPr>
            <w:tcW w:w="3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CREX</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Securities registered pursuant to Section 12(g) of the Act: </w:t>
      </w: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2045"/>
        <w:gridCol w:w="60"/>
        <w:gridCol w:w="2450"/>
      </w:tblGrid>
      <w:tr>
        <w:trPr/>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APPLICABLE ONLY TO CORPORATE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August 11, 2026, the registrant had 13,526,506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645"/>
        <w:gridCol w:w="60"/>
        <w:gridCol w:w="440"/>
      </w:tblGrid>
      <w:tr>
        <w:trPr/>
        <w:tc>
          <w:tcPr>
            <w:tcW w:w="97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05" w:type="dxa"/>
            <w:gridSpan w:val="2"/>
            <w:tcBorders/>
            <w:vAlign w:val="center"/>
          </w:tcPr>
          <w:p>
            <w:pPr>
              <w:pStyle w:val="TableContents"/>
              <w:bidi w:val="0"/>
              <w:spacing w:before="0" w:after="0"/>
              <w:ind w:left="0" w:right="0" w:hanging="0"/>
              <w:jc w:val="left"/>
              <w:rPr/>
            </w:pPr>
            <w:hyperlink w:anchor="p1">
              <w:r>
                <w:rPr>
                  <w:rStyle w:val="InternetLink"/>
                  <w:rFonts w:ascii="Times New Roman" w:hAnsi="Times New Roman"/>
                  <w:b/>
                  <w:caps w:val="false"/>
                  <w:smallCaps w:val="false"/>
                  <w:sz w:val="20"/>
                </w:rPr>
                <w:t xml:space="preserve">PART I </w:t>
              </w:r>
            </w:hyperlink>
            <w:hyperlink w:anchor="p1">
              <w:r>
                <w:rPr>
                  <w:rStyle w:val="InternetLink"/>
                  <w:rFonts w:ascii="Times New Roman" w:hAnsi="Times New Roman"/>
                  <w:caps w:val="false"/>
                  <w:smallCaps w:val="false"/>
                  <w:sz w:val="20"/>
                </w:rPr>
                <w:t>– </w:t>
              </w:r>
            </w:hyperlink>
            <w:hyperlink w:anchor="p1">
              <w:r>
                <w:rPr>
                  <w:rStyle w:val="InternetLink"/>
                  <w:rFonts w:ascii="Times New Roman" w:hAnsi="Times New Roman"/>
                  <w:b/>
                  <w:caps w:val="false"/>
                  <w:smallCaps w:val="false"/>
                  <w:sz w:val="20"/>
                </w:rPr>
                <w:t>FINANCIAL INFORMATION</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7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w:anchor="item1">
              <w:r>
                <w:rPr>
                  <w:rStyle w:val="InternetLink"/>
                  <w:rFonts w:ascii="Times New Roman" w:hAnsi="Times New Roman"/>
                  <w:caps w:val="false"/>
                  <w:smallCaps w:val="false"/>
                  <w:sz w:val="20"/>
                </w:rPr>
                <w:t>Item 1. Financial Statements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tem1">
              <w:r>
                <w:rPr>
                  <w:rStyle w:val="InternetLink"/>
                  <w:rFonts w:ascii="Times New Roman" w:hAnsi="Times New Roman"/>
                  <w:b/>
                  <w:caps w:val="false"/>
                  <w:smallCaps w:val="false"/>
                  <w:sz w:val="20"/>
                </w:rPr>
                <w:t>1</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260" w:right="0" w:hanging="0"/>
              <w:jc w:val="left"/>
              <w:rPr/>
            </w:pPr>
            <w:hyperlink w:anchor="bs">
              <w:r>
                <w:rPr>
                  <w:rStyle w:val="InternetLink"/>
                  <w:rFonts w:ascii="Times New Roman" w:hAnsi="Times New Roman"/>
                  <w:caps w:val="false"/>
                  <w:smallCaps w:val="false"/>
                  <w:sz w:val="20"/>
                </w:rPr>
                <w:t>Condensed Consolidated Balance Sheets as of June 30, 2026 (unaudited) and December 31, 2025</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b/>
                  <w:caps w:val="false"/>
                  <w:smallCaps w:val="false"/>
                  <w:sz w:val="20"/>
                </w:rPr>
                <w:t>1</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260" w:right="0" w:hanging="0"/>
              <w:jc w:val="left"/>
              <w:rPr/>
            </w:pPr>
            <w:hyperlink w:anchor="stops">
              <w:r>
                <w:rPr>
                  <w:rStyle w:val="InternetLink"/>
                  <w:rFonts w:ascii="Times New Roman" w:hAnsi="Times New Roman"/>
                  <w:caps w:val="false"/>
                  <w:smallCaps w:val="false"/>
                  <w:sz w:val="20"/>
                </w:rPr>
                <w:t>Unaudited Condensed Consolidated Statements of Operations for the Three and Six Months Ended June 30, 2026 and 2025</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tops">
              <w:r>
                <w:rPr>
                  <w:rStyle w:val="InternetLink"/>
                  <w:rFonts w:ascii="Times New Roman" w:hAnsi="Times New Roman"/>
                  <w:b/>
                  <w:caps w:val="false"/>
                  <w:smallCaps w:val="false"/>
                  <w:sz w:val="20"/>
                </w:rPr>
                <w:t>2</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260" w:right="0" w:hanging="0"/>
              <w:jc w:val="left"/>
              <w:rPr/>
            </w:pPr>
            <w:hyperlink w:anchor="comp_loss">
              <w:r>
                <w:rPr>
                  <w:rStyle w:val="InternetLink"/>
                  <w:rFonts w:ascii="Times New Roman" w:hAnsi="Times New Roman"/>
                  <w:caps w:val="false"/>
                  <w:smallCaps w:val="false"/>
                  <w:sz w:val="20"/>
                </w:rPr>
                <w:t>Unaudited Condensed Consolidated Statements of Comprehensive (Loss) Income for the Three and Six Months Ended June 30, 2026 and 2025</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comp_loss">
              <w:r>
                <w:rPr>
                  <w:rStyle w:val="InternetLink"/>
                  <w:rFonts w:ascii="Times New Roman" w:hAnsi="Times New Roman"/>
                  <w:b/>
                  <w:caps w:val="false"/>
                  <w:smallCaps w:val="false"/>
                  <w:sz w:val="20"/>
                </w:rPr>
                <w:t>3</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260" w:right="0" w:hanging="0"/>
              <w:jc w:val="left"/>
              <w:rPr/>
            </w:pPr>
            <w:hyperlink w:anchor="equity">
              <w:r>
                <w:rPr>
                  <w:rStyle w:val="InternetLink"/>
                  <w:rFonts w:ascii="Times New Roman" w:hAnsi="Times New Roman"/>
                  <w:caps w:val="false"/>
                  <w:smallCaps w:val="false"/>
                  <w:sz w:val="20"/>
                </w:rPr>
                <w:t>Unaudited Condensed Consolidated Statements of Changes in Stockholders’ Equity for the Three and Six Months Ended June 30, 2026 and 2025</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b/>
                  <w:caps w:val="false"/>
                  <w:smallCaps w:val="false"/>
                  <w:sz w:val="20"/>
                </w:rPr>
                <w:t>4</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260" w:right="0" w:hanging="0"/>
              <w:jc w:val="left"/>
              <w:rPr/>
            </w:pPr>
            <w:hyperlink w:anchor="cf">
              <w:r>
                <w:rPr>
                  <w:rStyle w:val="InternetLink"/>
                  <w:rFonts w:ascii="Times New Roman" w:hAnsi="Times New Roman"/>
                  <w:caps w:val="false"/>
                  <w:smallCaps w:val="false"/>
                  <w:sz w:val="20"/>
                </w:rPr>
                <w:t>Unaudited Condensed Consolidated Statements of Cash Flows for the Six Months Ended June 30, 2026 and 2025</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b/>
                  <w:caps w:val="false"/>
                  <w:smallCaps w:val="false"/>
                  <w:sz w:val="20"/>
                </w:rPr>
                <w:t>5</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26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b/>
                  <w:caps w:val="false"/>
                  <w:smallCaps w:val="false"/>
                  <w:sz w:val="20"/>
                </w:rPr>
                <w:t>6</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w:anchor="item_2">
              <w:r>
                <w:rPr>
                  <w:rStyle w:val="InternetLink"/>
                  <w:rFonts w:ascii="Times New Roman" w:hAnsi="Times New Roman"/>
                  <w:caps w:val="false"/>
                  <w:smallCaps w:val="false"/>
                  <w:sz w:val="20"/>
                </w:rPr>
                <w:t>Item 2. Management’s Discussion and Analysis of Financial Condition and Results of Operations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tem_2">
              <w:r>
                <w:rPr>
                  <w:rStyle w:val="InternetLink"/>
                  <w:rFonts w:ascii="Times New Roman" w:hAnsi="Times New Roman"/>
                  <w:b/>
                  <w:caps w:val="false"/>
                  <w:smallCaps w:val="false"/>
                  <w:sz w:val="20"/>
                </w:rPr>
                <w:t>22</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w:anchor="item_3">
              <w:r>
                <w:rPr>
                  <w:rStyle w:val="InternetLink"/>
                  <w:rFonts w:ascii="Times New Roman" w:hAnsi="Times New Roman"/>
                  <w:caps w:val="false"/>
                  <w:smallCaps w:val="false"/>
                  <w:sz w:val="20"/>
                </w:rPr>
                <w:t>Item 3. Quantitative and Qualitative Disclosures about Market Risk</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tem_3">
              <w:r>
                <w:rPr>
                  <w:rStyle w:val="InternetLink"/>
                  <w:rFonts w:ascii="Times New Roman" w:hAnsi="Times New Roman"/>
                  <w:b/>
                  <w:caps w:val="false"/>
                  <w:smallCaps w:val="false"/>
                  <w:sz w:val="20"/>
                </w:rPr>
                <w:t>29</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rPr>
                <w:t>Item 4. Controls and Procedures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b/>
                  <w:caps w:val="false"/>
                  <w:smallCaps w:val="false"/>
                  <w:sz w:val="20"/>
                </w:rPr>
                <w:t>29</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705" w:type="dxa"/>
            <w:gridSpan w:val="2"/>
            <w:tcBorders/>
            <w:vAlign w:val="center"/>
          </w:tcPr>
          <w:p>
            <w:pPr>
              <w:pStyle w:val="TableContents"/>
              <w:bidi w:val="0"/>
              <w:spacing w:before="0" w:after="0"/>
              <w:ind w:left="160" w:right="0" w:hanging="160"/>
              <w:jc w:val="left"/>
              <w:rPr/>
            </w:pPr>
            <w:hyperlink w:anchor="p2">
              <w:r>
                <w:rPr>
                  <w:rStyle w:val="InternetLink"/>
                  <w:rFonts w:ascii="Times New Roman" w:hAnsi="Times New Roman"/>
                  <w:b/>
                  <w:caps w:val="false"/>
                  <w:smallCaps w:val="false"/>
                  <w:sz w:val="20"/>
                </w:rPr>
                <w:t xml:space="preserve">PART II </w:t>
              </w:r>
            </w:hyperlink>
            <w:hyperlink w:anchor="p2">
              <w:r>
                <w:rPr>
                  <w:rStyle w:val="InternetLink"/>
                  <w:rFonts w:ascii="Times New Roman" w:hAnsi="Times New Roman"/>
                  <w:caps w:val="false"/>
                  <w:smallCaps w:val="false"/>
                  <w:sz w:val="20"/>
                </w:rPr>
                <w:t>– </w:t>
              </w:r>
            </w:hyperlink>
            <w:hyperlink w:anchor="p2">
              <w:r>
                <w:rPr>
                  <w:rStyle w:val="InternetLink"/>
                  <w:rFonts w:ascii="Times New Roman" w:hAnsi="Times New Roman"/>
                  <w:b/>
                  <w:caps w:val="false"/>
                  <w:smallCaps w:val="false"/>
                  <w:sz w:val="20"/>
                </w:rPr>
                <w:t>OTHER INFORMATION</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7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180" w:right="0" w:hanging="180"/>
              <w:jc w:val="left"/>
              <w:rPr/>
            </w:pPr>
            <w:hyperlink w:anchor="item_1">
              <w:r>
                <w:rPr>
                  <w:rStyle w:val="InternetLink"/>
                  <w:rFonts w:ascii="Times New Roman" w:hAnsi="Times New Roman"/>
                  <w:caps w:val="false"/>
                  <w:smallCaps w:val="false"/>
                  <w:sz w:val="20"/>
                </w:rPr>
                <w:t>Item 1. Legal Proceedings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tem_1">
              <w:r>
                <w:rPr>
                  <w:rStyle w:val="InternetLink"/>
                  <w:rFonts w:ascii="Times New Roman" w:hAnsi="Times New Roman"/>
                  <w:b/>
                  <w:caps w:val="false"/>
                  <w:smallCaps w:val="false"/>
                  <w:sz w:val="20"/>
                </w:rPr>
                <w:t>30</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180" w:right="0" w:hanging="180"/>
              <w:jc w:val="left"/>
              <w:rPr/>
            </w:pPr>
            <w:hyperlink w:anchor="item1a">
              <w:r>
                <w:rPr>
                  <w:rStyle w:val="InternetLink"/>
                  <w:rFonts w:ascii="Times New Roman" w:hAnsi="Times New Roman"/>
                  <w:caps w:val="false"/>
                  <w:smallCaps w:val="false"/>
                  <w:sz w:val="20"/>
                </w:rPr>
                <w:t>Item 1A. Risk Factors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tem1a">
              <w:r>
                <w:rPr>
                  <w:rStyle w:val="InternetLink"/>
                  <w:rFonts w:ascii="Times New Roman" w:hAnsi="Times New Roman"/>
                  <w:b/>
                  <w:caps w:val="false"/>
                  <w:smallCaps w:val="false"/>
                  <w:sz w:val="20"/>
                </w:rPr>
                <w:t>30</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180" w:right="0" w:hanging="180"/>
              <w:jc w:val="left"/>
              <w:rPr/>
            </w:pPr>
            <w:hyperlink w:anchor="i2">
              <w:r>
                <w:rPr>
                  <w:rStyle w:val="InternetLink"/>
                  <w:rFonts w:ascii="Times New Roman" w:hAnsi="Times New Roman"/>
                  <w:caps w:val="false"/>
                  <w:smallCaps w:val="false"/>
                  <w:sz w:val="20"/>
                </w:rPr>
                <w:t>Item 2. Unregistered Sales of Equity Securities and Use of Proceeds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2">
              <w:r>
                <w:rPr>
                  <w:rStyle w:val="InternetLink"/>
                  <w:rFonts w:ascii="Times New Roman" w:hAnsi="Times New Roman"/>
                  <w:b/>
                  <w:caps w:val="false"/>
                  <w:smallCaps w:val="false"/>
                  <w:sz w:val="20"/>
                </w:rPr>
                <w:t>30</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180" w:right="0" w:hanging="180"/>
              <w:jc w:val="left"/>
              <w:rPr/>
            </w:pPr>
            <w:hyperlink w:anchor="i3">
              <w:r>
                <w:rPr>
                  <w:rStyle w:val="InternetLink"/>
                  <w:rFonts w:ascii="Times New Roman" w:hAnsi="Times New Roman"/>
                  <w:caps w:val="false"/>
                  <w:smallCaps w:val="false"/>
                  <w:sz w:val="20"/>
                </w:rPr>
                <w:t>Item 3. Defaults Upon Senior Securities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3">
              <w:r>
                <w:rPr>
                  <w:rStyle w:val="InternetLink"/>
                  <w:rFonts w:ascii="Times New Roman" w:hAnsi="Times New Roman"/>
                  <w:b/>
                  <w:caps w:val="false"/>
                  <w:smallCaps w:val="false"/>
                  <w:sz w:val="20"/>
                </w:rPr>
                <w:t>30</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180" w:right="0" w:hanging="180"/>
              <w:jc w:val="left"/>
              <w:rPr/>
            </w:pPr>
            <w:hyperlink w:anchor="i4">
              <w:r>
                <w:rPr>
                  <w:rStyle w:val="InternetLink"/>
                  <w:rFonts w:ascii="Times New Roman" w:hAnsi="Times New Roman"/>
                  <w:caps w:val="false"/>
                  <w:smallCaps w:val="false"/>
                  <w:sz w:val="20"/>
                </w:rPr>
                <w:t>Item 4. Mine Safety Disclosures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4">
              <w:r>
                <w:rPr>
                  <w:rStyle w:val="InternetLink"/>
                  <w:rFonts w:ascii="Times New Roman" w:hAnsi="Times New Roman"/>
                  <w:b/>
                  <w:caps w:val="false"/>
                  <w:smallCaps w:val="false"/>
                  <w:sz w:val="20"/>
                </w:rPr>
                <w:t>30</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180" w:right="0" w:hanging="180"/>
              <w:jc w:val="left"/>
              <w:rPr/>
            </w:pPr>
            <w:hyperlink w:anchor="i5">
              <w:r>
                <w:rPr>
                  <w:rStyle w:val="InternetLink"/>
                  <w:rFonts w:ascii="Times New Roman" w:hAnsi="Times New Roman"/>
                  <w:caps w:val="false"/>
                  <w:smallCaps w:val="false"/>
                  <w:sz w:val="20"/>
                </w:rPr>
                <w:t>Item 5. Other Information</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5">
              <w:r>
                <w:rPr>
                  <w:rStyle w:val="InternetLink"/>
                  <w:rFonts w:ascii="Times New Roman" w:hAnsi="Times New Roman"/>
                  <w:b/>
                  <w:caps w:val="false"/>
                  <w:smallCaps w:val="false"/>
                  <w:sz w:val="20"/>
                </w:rPr>
                <w:t>30</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180" w:right="0" w:hanging="180"/>
              <w:jc w:val="left"/>
              <w:rPr/>
            </w:pPr>
            <w:hyperlink w:anchor="ex">
              <w:r>
                <w:rPr>
                  <w:rStyle w:val="InternetLink"/>
                  <w:rFonts w:ascii="Times New Roman" w:hAnsi="Times New Roman"/>
                  <w:caps w:val="false"/>
                  <w:smallCaps w:val="false"/>
                  <w:sz w:val="20"/>
                </w:rPr>
                <w:t>Item 6. Exhibits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ex">
              <w:r>
                <w:rPr>
                  <w:rStyle w:val="InternetLink"/>
                  <w:rFonts w:ascii="Times New Roman" w:hAnsi="Times New Roman"/>
                  <w:b/>
                  <w:caps w:val="false"/>
                  <w:smallCaps w:val="false"/>
                  <w:sz w:val="20"/>
                </w:rPr>
                <w:t>31</w:t>
              </w:r>
            </w:hyperlink>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180" w:right="0" w:hanging="180"/>
              <w:jc w:val="left"/>
              <w:rPr/>
            </w:pPr>
            <w:hyperlink w:anchor="sig">
              <w:r>
                <w:rPr>
                  <w:rStyle w:val="InternetLink"/>
                  <w:rFonts w:ascii="Times New Roman" w:hAnsi="Times New Roman"/>
                  <w:b/>
                  <w:caps w:val="false"/>
                  <w:smallCaps w:val="false"/>
                  <w:sz w:val="20"/>
                </w:rPr>
                <w:t>SIGNATURES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
              <w:r>
                <w:rPr>
                  <w:rStyle w:val="InternetLink"/>
                  <w:rFonts w:ascii="Times New Roman" w:hAnsi="Times New Roman"/>
                  <w:b/>
                  <w:caps w:val="false"/>
                  <w:smallCaps w:val="false"/>
                  <w:sz w:val="20"/>
                </w:rPr>
                <w:t>32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3" w:name="p1"/>
      <w:bookmarkEnd w:id="3"/>
      <w:r>
        <w:rPr>
          <w:rFonts w:ascii="Times New Roman" w:hAnsi="Times New Roman"/>
          <w:b/>
          <w:caps w:val="false"/>
          <w:smallCaps w:val="false"/>
          <w:sz w:val="20"/>
        </w:rPr>
        <w:t xml:space="preserve">PART I </w:t>
      </w:r>
      <w:r>
        <w:rPr>
          <w:rFonts w:ascii="Times New Roman" w:hAnsi="Times New Roman"/>
          <w:caps w:val="false"/>
          <w:smallCaps w:val="false"/>
          <w:sz w:val="20"/>
        </w:rPr>
        <w:t>– </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4" w:name="item1"/>
      <w:bookmarkEnd w:id="4"/>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92"/>
        <w:gridCol w:w="60"/>
        <w:gridCol w:w="146"/>
        <w:gridCol w:w="821"/>
        <w:gridCol w:w="80"/>
        <w:gridCol w:w="60"/>
        <w:gridCol w:w="146"/>
        <w:gridCol w:w="818"/>
        <w:gridCol w:w="82"/>
      </w:tblGrid>
      <w:tr>
        <w:trPr/>
        <w:tc>
          <w:tcPr>
            <w:tcW w:w="79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2" w:type="dxa"/>
            <w:tcBorders/>
            <w:vAlign w:val="center"/>
          </w:tcPr>
          <w:p>
            <w:pPr>
              <w:pStyle w:val="TableContents"/>
              <w:bidi w:val="0"/>
              <w:spacing w:before="0" w:after="283"/>
              <w:jc w:val="left"/>
              <w:rPr/>
            </w:pPr>
            <w:r>
              <w:rPr/>
              <w:t> </w:t>
            </w:r>
          </w:p>
        </w:tc>
      </w:tr>
      <w:tr>
        <w:trPr/>
        <w:tc>
          <w:tcPr>
            <w:tcW w:w="79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vAlign w:val="center"/>
          </w:tcPr>
          <w:p>
            <w:pPr>
              <w:pStyle w:val="TableContents"/>
              <w:bidi w:val="0"/>
              <w:spacing w:before="0" w:after="283"/>
              <w:jc w:val="left"/>
              <w:rPr/>
            </w:pPr>
            <w:r>
              <w:rPr/>
              <w:t> </w:t>
            </w:r>
          </w:p>
        </w:tc>
      </w:tr>
      <w:tr>
        <w:trPr/>
        <w:tc>
          <w:tcPr>
            <w:tcW w:w="79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19,219</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7,420</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33,545</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2,937</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53,266</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35,906</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22,658</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151,040</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TEMPORARY EQUITY,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16,673</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3,837</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operating leases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finance leases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3,799</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debt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39,273</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4,940</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debt, net of deferred financing costs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34,583</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17,844</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3,541</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101,854</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Redeemable Convertible Preferred stock, $1,000 stated value, 50,000 shares authorized; 30 shares issued and outstanding as of June 30, 2026 and December 31, 2025 Liquidation preference of $31,025 and $30,232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27,688</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 66,666 shares authorized; 13,098 and 10,519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85,300</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(65,130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9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82" w:type="dxa"/>
            <w:tcBorders/>
            <w:shd w:fill="CCEEFF" w:val="clear"/>
            <w:vAlign w:val="center"/>
          </w:tcPr>
          <w:p>
            <w:pPr>
              <w:pStyle w:val="TableContents"/>
              <w:bidi w:val="0"/>
              <w:spacing w:before="0" w:after="283"/>
              <w:jc w:val="left"/>
              <w:rPr/>
            </w:pPr>
            <w:r>
              <w:rPr/>
              <w:t> </w:t>
            </w:r>
          </w:p>
        </w:tc>
      </w:tr>
      <w:tr>
        <w:trPr/>
        <w:tc>
          <w:tcPr>
            <w:tcW w:w="799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21,498</w:t>
            </w:r>
          </w:p>
        </w:tc>
        <w:tc>
          <w:tcPr>
            <w:tcW w:w="82" w:type="dxa"/>
            <w:tcBorders/>
            <w:shd w:fill="FFFFFF" w:val="clear"/>
            <w:vAlign w:val="center"/>
          </w:tcPr>
          <w:p>
            <w:pPr>
              <w:pStyle w:val="TableContents"/>
              <w:bidi w:val="0"/>
              <w:spacing w:before="0" w:after="283"/>
              <w:jc w:val="left"/>
              <w:rPr/>
            </w:pPr>
            <w:r>
              <w:rPr/>
              <w:t> </w:t>
            </w:r>
          </w:p>
        </w:tc>
      </w:tr>
      <w:tr>
        <w:trPr/>
        <w:tc>
          <w:tcPr>
            <w:tcW w:w="799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Temporary Equity,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151,040</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 w:name="stops"/>
      <w:bookmarkEnd w:id="6"/>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099" w:type="dxa"/>
        <w:jc w:val="left"/>
        <w:tblInd w:w="0" w:type="dxa"/>
        <w:tblLayout w:type="fixed"/>
        <w:tblCellMar>
          <w:top w:w="0" w:type="dxa"/>
          <w:left w:w="0" w:type="dxa"/>
          <w:bottom w:w="0" w:type="dxa"/>
          <w:right w:w="0" w:type="dxa"/>
        </w:tblCellMar>
      </w:tblPr>
      <w:tblGrid>
        <w:gridCol w:w="5075"/>
        <w:gridCol w:w="60"/>
        <w:gridCol w:w="198"/>
        <w:gridCol w:w="937"/>
        <w:gridCol w:w="127"/>
        <w:gridCol w:w="95"/>
        <w:gridCol w:w="198"/>
        <w:gridCol w:w="937"/>
        <w:gridCol w:w="80"/>
        <w:gridCol w:w="60"/>
        <w:gridCol w:w="172"/>
        <w:gridCol w:w="899"/>
        <w:gridCol w:w="110"/>
        <w:gridCol w:w="83"/>
        <w:gridCol w:w="172"/>
        <w:gridCol w:w="816"/>
        <w:gridCol w:w="80"/>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For the Three Months Ended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5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For the Six Months Ended </w:t>
            </w:r>
          </w:p>
        </w:tc>
        <w:tc>
          <w:tcPr>
            <w:tcW w:w="80"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7"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Hardware</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12,032</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10,467</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other</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14,030</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25,821</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12,297</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sales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37,853</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22,764</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Hardware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6,197</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10,116</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7,602</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other</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7,011</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13,844</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5,692</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cost of sales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13,208</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23,960</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13,294</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8,297</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13,893</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9,470</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4,921</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9,018</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17,923</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9,120</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11,042</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22,844</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11,523</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expenses (income):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debt discount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settlement of contingent consideration</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other expenses (income), net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3,251</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income before income taxes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(4,211</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A Redeemable Convertible Preferred Stock dividends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 attributable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(4,297</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 earning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(loss) earning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10,568</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10,560</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10,471</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10,568</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10,560</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comp_loss"/>
      <w:bookmarkEnd w:id="7"/>
      <w:r>
        <w:rPr>
          <w:rFonts w:ascii="Times New Roman" w:hAnsi="Times New Roman"/>
          <w:b/>
          <w:caps w:val="false"/>
          <w:smallCaps w:val="false"/>
          <w:sz w:val="20"/>
        </w:rPr>
        <w:t>CREATIVE REALITIES,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292" w:type="dxa"/>
        <w:jc w:val="left"/>
        <w:tblInd w:w="0" w:type="dxa"/>
        <w:tblLayout w:type="fixed"/>
        <w:tblCellMar>
          <w:top w:w="0" w:type="dxa"/>
          <w:left w:w="0" w:type="dxa"/>
          <w:bottom w:w="0" w:type="dxa"/>
          <w:right w:w="0" w:type="dxa"/>
        </w:tblCellMar>
      </w:tblPr>
      <w:tblGrid>
        <w:gridCol w:w="3335"/>
        <w:gridCol w:w="60"/>
        <w:gridCol w:w="210"/>
        <w:gridCol w:w="918"/>
        <w:gridCol w:w="134"/>
        <w:gridCol w:w="101"/>
        <w:gridCol w:w="210"/>
        <w:gridCol w:w="918"/>
        <w:gridCol w:w="80"/>
        <w:gridCol w:w="60"/>
        <w:gridCol w:w="181"/>
        <w:gridCol w:w="941"/>
        <w:gridCol w:w="115"/>
        <w:gridCol w:w="86"/>
        <w:gridCol w:w="181"/>
        <w:gridCol w:w="702"/>
        <w:gridCol w:w="6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1"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For the Three Months Ended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6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4"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(11,357</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comprehensive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(4,712</w:t>
            </w:r>
          </w:p>
        </w:tc>
        <w:tc>
          <w:tcPr>
            <w:tcW w:w="1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(12,884</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14"/>
        <w:gridCol w:w="60"/>
        <w:gridCol w:w="60"/>
        <w:gridCol w:w="950"/>
        <w:gridCol w:w="60"/>
        <w:gridCol w:w="60"/>
        <w:gridCol w:w="188"/>
        <w:gridCol w:w="507"/>
        <w:gridCol w:w="60"/>
        <w:gridCol w:w="60"/>
        <w:gridCol w:w="208"/>
        <w:gridCol w:w="991"/>
        <w:gridCol w:w="80"/>
        <w:gridCol w:w="60"/>
        <w:gridCol w:w="321"/>
        <w:gridCol w:w="1019"/>
        <w:gridCol w:w="80"/>
        <w:gridCol w:w="60"/>
        <w:gridCol w:w="182"/>
        <w:gridCol w:w="948"/>
        <w:gridCol w:w="80"/>
        <w:gridCol w:w="60"/>
        <w:gridCol w:w="125"/>
        <w:gridCol w:w="590"/>
        <w:gridCol w:w="82"/>
      </w:tblGrid>
      <w:tr>
        <w:trPr/>
        <w:tc>
          <w:tcPr>
            <w:tcW w:w="33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33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 Paid-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Deficit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r>
          </w:p>
        </w:tc>
        <w:tc>
          <w:tcPr>
            <w:tcW w:w="82" w:type="dxa"/>
            <w:tcBorders/>
            <w:vAlign w:val="center"/>
          </w:tcPr>
          <w:p>
            <w:pPr>
              <w:pStyle w:val="TableContents"/>
              <w:bidi w:val="0"/>
              <w:spacing w:before="0" w:after="283"/>
              <w:jc w:val="left"/>
              <w:rPr/>
            </w:pPr>
            <w:r>
              <w:rPr/>
              <w:t> </w:t>
            </w:r>
          </w:p>
        </w:tc>
      </w:tr>
      <w:tr>
        <w:trPr/>
        <w:tc>
          <w:tcPr>
            <w:tcW w:w="3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Three Months Ended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10,567,268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13,059</w:t>
            </w:r>
          </w:p>
        </w:tc>
        <w:tc>
          <w:tcPr>
            <w:tcW w:w="82" w:type="dxa"/>
            <w:tcBorders/>
            <w:shd w:fill="FFFFFF" w:val="clear"/>
            <w:vAlign w:val="center"/>
          </w:tcPr>
          <w:p>
            <w:pPr>
              <w:pStyle w:val="TableContents"/>
              <w:bidi w:val="0"/>
              <w:spacing w:before="0" w:after="283"/>
              <w:jc w:val="left"/>
              <w:rPr/>
            </w:pPr>
            <w:r>
              <w:rPr/>
              <w:t> </w:t>
            </w:r>
          </w:p>
        </w:tc>
      </w:tr>
      <w:tr>
        <w:trPr/>
        <w:tc>
          <w:tcPr>
            <w:tcW w:w="33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Redeemable Convertible Preferred Stock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2" w:type="dxa"/>
            <w:tcBorders/>
            <w:shd w:fill="FFFFFF" w:val="clear"/>
            <w:vAlign w:val="center"/>
          </w:tcPr>
          <w:p>
            <w:pPr>
              <w:pStyle w:val="TableContents"/>
              <w:bidi w:val="0"/>
              <w:spacing w:before="0" w:after="283"/>
              <w:jc w:val="left"/>
              <w:rPr/>
            </w:pPr>
            <w:r>
              <w:rPr/>
              <w:t> </w:t>
            </w:r>
          </w:p>
        </w:tc>
      </w:tr>
      <w:tr>
        <w:trPr/>
        <w:tc>
          <w:tcPr>
            <w:tcW w:w="33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cashless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Registered offering of common stock and warrants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10,784</w:t>
            </w:r>
          </w:p>
        </w:tc>
        <w:tc>
          <w:tcPr>
            <w:tcW w:w="82" w:type="dxa"/>
            <w:tcBorders/>
            <w:shd w:fill="FFFFFF" w:val="clear"/>
            <w:vAlign w:val="center"/>
          </w:tcPr>
          <w:p>
            <w:pPr>
              <w:pStyle w:val="TableContents"/>
              <w:bidi w:val="0"/>
              <w:spacing w:before="0" w:after="283"/>
              <w:jc w:val="left"/>
              <w:rPr/>
            </w:pPr>
            <w:r>
              <w:rPr/>
              <w:t> </w:t>
            </w:r>
          </w:p>
        </w:tc>
      </w:tr>
      <w:tr>
        <w:trPr/>
        <w:tc>
          <w:tcPr>
            <w:tcW w:w="33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19,160</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219"/>
        <w:gridCol w:w="60"/>
        <w:gridCol w:w="60"/>
        <w:gridCol w:w="950"/>
        <w:gridCol w:w="60"/>
        <w:gridCol w:w="60"/>
        <w:gridCol w:w="188"/>
        <w:gridCol w:w="507"/>
        <w:gridCol w:w="60"/>
        <w:gridCol w:w="60"/>
        <w:gridCol w:w="206"/>
        <w:gridCol w:w="981"/>
        <w:gridCol w:w="80"/>
        <w:gridCol w:w="60"/>
        <w:gridCol w:w="253"/>
        <w:gridCol w:w="1110"/>
        <w:gridCol w:w="80"/>
        <w:gridCol w:w="60"/>
        <w:gridCol w:w="185"/>
        <w:gridCol w:w="968"/>
        <w:gridCol w:w="80"/>
        <w:gridCol w:w="60"/>
        <w:gridCol w:w="125"/>
        <w:gridCol w:w="650"/>
        <w:gridCol w:w="83"/>
      </w:tblGrid>
      <w:tr>
        <w:trPr/>
        <w:tc>
          <w:tcPr>
            <w:tcW w:w="3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3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 Paid-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Comprehensive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Accumulated </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83" w:type="dxa"/>
            <w:tcBorders/>
            <w:vAlign w:val="center"/>
          </w:tcPr>
          <w:p>
            <w:pPr>
              <w:pStyle w:val="TableContents"/>
              <w:bidi w:val="0"/>
              <w:spacing w:before="0" w:after="283"/>
              <w:jc w:val="left"/>
              <w:rPr/>
            </w:pPr>
            <w:r>
              <w:rPr/>
              <w:t> </w:t>
            </w:r>
          </w:p>
        </w:tc>
      </w:tr>
      <w:tr>
        <w:trPr/>
        <w:tc>
          <w:tcPr>
            <w:tcW w:w="3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Six Months Ended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32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10,518,932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21,498</w:t>
            </w:r>
          </w:p>
        </w:tc>
        <w:tc>
          <w:tcPr>
            <w:tcW w:w="83" w:type="dxa"/>
            <w:tcBorders/>
            <w:shd w:fill="FFFFFF" w:val="clear"/>
            <w:vAlign w:val="center"/>
          </w:tcPr>
          <w:p>
            <w:pPr>
              <w:pStyle w:val="TableContents"/>
              <w:bidi w:val="0"/>
              <w:spacing w:before="0" w:after="283"/>
              <w:jc w:val="left"/>
              <w:rPr/>
            </w:pPr>
            <w:r>
              <w:rPr/>
              <w:t> </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Redeemable Convertible Preferred Stock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47,733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83" w:type="dxa"/>
            <w:tcBorders/>
            <w:shd w:fill="FFFFFF" w:val="clear"/>
            <w:vAlign w:val="center"/>
          </w:tcPr>
          <w:p>
            <w:pPr>
              <w:pStyle w:val="TableContents"/>
              <w:bidi w:val="0"/>
              <w:spacing w:before="0" w:after="283"/>
              <w:jc w:val="left"/>
              <w:rPr/>
            </w:pPr>
            <w:r>
              <w:rPr/>
              <w:t> </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cashless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r>
      <w:tr>
        <w:trPr/>
        <w:tc>
          <w:tcPr>
            <w:tcW w:w="3219"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Registered offering of common stock and warrants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10,784</w:t>
            </w:r>
          </w:p>
        </w:tc>
        <w:tc>
          <w:tcPr>
            <w:tcW w:w="83" w:type="dxa"/>
            <w:tcBorders/>
            <w:shd w:fill="FFFFFF" w:val="clear"/>
            <w:vAlign w:val="center"/>
          </w:tcPr>
          <w:p>
            <w:pPr>
              <w:pStyle w:val="TableContents"/>
              <w:bidi w:val="0"/>
              <w:spacing w:before="0" w:after="283"/>
              <w:jc w:val="left"/>
              <w:rPr/>
            </w:pPr>
            <w:r>
              <w:rPr/>
              <w:t> </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13,097,892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19,160</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134"/>
        <w:gridCol w:w="60"/>
        <w:gridCol w:w="60"/>
        <w:gridCol w:w="950"/>
        <w:gridCol w:w="60"/>
        <w:gridCol w:w="60"/>
        <w:gridCol w:w="188"/>
        <w:gridCol w:w="507"/>
        <w:gridCol w:w="60"/>
        <w:gridCol w:w="60"/>
        <w:gridCol w:w="233"/>
        <w:gridCol w:w="1110"/>
        <w:gridCol w:w="60"/>
        <w:gridCol w:w="60"/>
        <w:gridCol w:w="840"/>
        <w:gridCol w:w="537"/>
        <w:gridCol w:w="60"/>
        <w:gridCol w:w="60"/>
        <w:gridCol w:w="188"/>
        <w:gridCol w:w="979"/>
        <w:gridCol w:w="80"/>
        <w:gridCol w:w="60"/>
        <w:gridCol w:w="125"/>
        <w:gridCol w:w="590"/>
        <w:gridCol w:w="84"/>
      </w:tblGrid>
      <w:tr>
        <w:trPr/>
        <w:tc>
          <w:tcPr>
            <w:tcW w:w="3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3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 Paid-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Capital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Comprehensive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Accumulated </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r>
          </w:p>
        </w:tc>
        <w:tc>
          <w:tcPr>
            <w:tcW w:w="84" w:type="dxa"/>
            <w:tcBorders/>
            <w:vAlign w:val="center"/>
          </w:tcPr>
          <w:p>
            <w:pPr>
              <w:pStyle w:val="TableContents"/>
              <w:bidi w:val="0"/>
              <w:spacing w:before="0" w:after="283"/>
              <w:jc w:val="left"/>
              <w:rPr/>
            </w:pPr>
            <w:r>
              <w:rPr/>
              <w:t> </w:t>
            </w:r>
          </w:p>
        </w:tc>
      </w:tr>
      <w:tr>
        <w:trPr/>
        <w:tc>
          <w:tcPr>
            <w:tcW w:w="3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Three Months Ended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31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10,446,659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29,870</w:t>
            </w:r>
          </w:p>
        </w:tc>
        <w:tc>
          <w:tcPr>
            <w:tcW w:w="84" w:type="dxa"/>
            <w:tcBorders/>
            <w:shd w:fill="FFFFFF" w:val="clear"/>
            <w:vAlign w:val="center"/>
          </w:tcPr>
          <w:p>
            <w:pPr>
              <w:pStyle w:val="TableContents"/>
              <w:bidi w:val="0"/>
              <w:spacing w:before="0" w:after="283"/>
              <w:jc w:val="left"/>
              <w:rPr/>
            </w:pPr>
            <w:r>
              <w:rPr/>
              <w:t> </w:t>
            </w:r>
          </w:p>
        </w:tc>
      </w:tr>
      <w:tr>
        <w:trPr/>
        <w:tc>
          <w:tcPr>
            <w:tcW w:w="31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84" w:type="dxa"/>
            <w:tcBorders/>
            <w:shd w:fill="CCEEFF" w:val="clear"/>
            <w:vAlign w:val="center"/>
          </w:tcPr>
          <w:p>
            <w:pPr>
              <w:pStyle w:val="TableContents"/>
              <w:bidi w:val="0"/>
              <w:spacing w:before="0" w:after="283"/>
              <w:jc w:val="left"/>
              <w:rPr/>
            </w:pPr>
            <w:r>
              <w:rPr/>
              <w:t> </w:t>
            </w:r>
          </w:p>
        </w:tc>
      </w:tr>
      <w:tr>
        <w:trPr/>
        <w:tc>
          <w:tcPr>
            <w:tcW w:w="31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to directors as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ind w:left="0" w:right="0" w:hanging="0"/>
              <w:jc w:val="left"/>
              <w:rPr/>
            </w:pPr>
            <w:r>
              <w:rPr/>
              <w:t> </w:t>
            </w:r>
          </w:p>
        </w:tc>
        <w:tc>
          <w:tcPr>
            <w:tcW w:w="5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84" w:type="dxa"/>
            <w:tcBorders/>
            <w:shd w:fill="FFFFFF" w:val="clear"/>
            <w:vAlign w:val="center"/>
          </w:tcPr>
          <w:p>
            <w:pPr>
              <w:pStyle w:val="TableContents"/>
              <w:bidi w:val="0"/>
              <w:spacing w:before="0" w:after="283"/>
              <w:jc w:val="left"/>
              <w:rPr/>
            </w:pPr>
            <w:r>
              <w:rPr/>
              <w:t> </w:t>
            </w:r>
          </w:p>
        </w:tc>
      </w:tr>
      <w:tr>
        <w:trPr/>
        <w:tc>
          <w:tcPr>
            <w:tcW w:w="31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10,518,932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29,443</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150"/>
        <w:gridCol w:w="60"/>
        <w:gridCol w:w="60"/>
        <w:gridCol w:w="950"/>
        <w:gridCol w:w="60"/>
        <w:gridCol w:w="60"/>
        <w:gridCol w:w="188"/>
        <w:gridCol w:w="507"/>
        <w:gridCol w:w="60"/>
        <w:gridCol w:w="60"/>
        <w:gridCol w:w="234"/>
        <w:gridCol w:w="1113"/>
        <w:gridCol w:w="60"/>
        <w:gridCol w:w="60"/>
        <w:gridCol w:w="840"/>
        <w:gridCol w:w="537"/>
        <w:gridCol w:w="60"/>
        <w:gridCol w:w="60"/>
        <w:gridCol w:w="188"/>
        <w:gridCol w:w="980"/>
        <w:gridCol w:w="80"/>
        <w:gridCol w:w="60"/>
        <w:gridCol w:w="125"/>
        <w:gridCol w:w="590"/>
        <w:gridCol w:w="63"/>
      </w:tblGrid>
      <w:tr>
        <w:trPr/>
        <w:tc>
          <w:tcPr>
            <w:tcW w:w="3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r>
      <w:tr>
        <w:trPr/>
        <w:tc>
          <w:tcPr>
            <w:tcW w:w="3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 Paid-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7" w:type="dxa"/>
            <w:gridSpan w:val="2"/>
            <w:tcBorders>
              <w:bottom w:val="single" w:sz="2"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b/>
                <w:sz w:val="20"/>
              </w:rPr>
              <w:t>Comprehensive</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Accumulated </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Deficit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3" w:type="dxa"/>
            <w:tcBorders/>
            <w:vAlign w:val="center"/>
          </w:tcPr>
          <w:p>
            <w:pPr>
              <w:pStyle w:val="TableContents"/>
              <w:bidi w:val="0"/>
              <w:spacing w:before="0" w:after="283"/>
              <w:jc w:val="left"/>
              <w:rPr/>
            </w:pPr>
            <w:r>
              <w:rPr/>
              <w:t> </w:t>
            </w:r>
          </w:p>
        </w:tc>
      </w:tr>
      <w:tr>
        <w:trPr/>
        <w:tc>
          <w:tcPr>
            <w:tcW w:w="3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Six Months Ended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10,446,659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25,460</w:t>
            </w:r>
          </w:p>
        </w:tc>
        <w:tc>
          <w:tcPr>
            <w:tcW w:w="63" w:type="dxa"/>
            <w:tcBorders/>
            <w:shd w:fill="FFFFFF" w:val="clear"/>
            <w:vAlign w:val="center"/>
          </w:tcPr>
          <w:p>
            <w:pPr>
              <w:pStyle w:val="TableContents"/>
              <w:bidi w:val="0"/>
              <w:spacing w:before="0" w:after="283"/>
              <w:jc w:val="left"/>
              <w:rPr/>
            </w:pPr>
            <w:r>
              <w:rPr/>
              <w:t> </w:t>
            </w:r>
          </w:p>
        </w:tc>
      </w:tr>
      <w:tr>
        <w:trPr/>
        <w:tc>
          <w:tcPr>
            <w:tcW w:w="3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w:t>
            </w:r>
          </w:p>
        </w:tc>
        <w:tc>
          <w:tcPr>
            <w:tcW w:w="63" w:type="dxa"/>
            <w:tcBorders/>
            <w:shd w:fill="CCEEFF" w:val="clear"/>
            <w:vAlign w:val="center"/>
          </w:tcPr>
          <w:p>
            <w:pPr>
              <w:pStyle w:val="TableContents"/>
              <w:bidi w:val="0"/>
              <w:spacing w:before="0" w:after="283"/>
              <w:jc w:val="left"/>
              <w:rPr/>
            </w:pPr>
            <w:r>
              <w:rPr/>
              <w:t> </w:t>
            </w:r>
          </w:p>
        </w:tc>
      </w:tr>
      <w:tr>
        <w:trPr/>
        <w:tc>
          <w:tcPr>
            <w:tcW w:w="3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to directors as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ind w:left="0" w:right="0" w:hanging="0"/>
              <w:jc w:val="left"/>
              <w:rPr/>
            </w:pPr>
            <w:r>
              <w:rPr/>
              <w:t> </w:t>
            </w:r>
          </w:p>
        </w:tc>
        <w:tc>
          <w:tcPr>
            <w:tcW w:w="5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63" w:type="dxa"/>
            <w:tcBorders/>
            <w:shd w:fill="FFFFFF" w:val="clear"/>
            <w:vAlign w:val="center"/>
          </w:tcPr>
          <w:p>
            <w:pPr>
              <w:pStyle w:val="TableContents"/>
              <w:bidi w:val="0"/>
              <w:spacing w:before="0" w:after="283"/>
              <w:jc w:val="left"/>
              <w:rPr/>
            </w:pPr>
            <w:r>
              <w:rPr/>
              <w:t> </w:t>
            </w:r>
          </w:p>
        </w:tc>
      </w:tr>
      <w:tr>
        <w:trPr/>
        <w:tc>
          <w:tcPr>
            <w:tcW w:w="3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63" w:type="dxa"/>
            <w:tcBorders/>
            <w:shd w:fill="CCEEFF" w:val="clear"/>
            <w:vAlign w:val="center"/>
          </w:tcPr>
          <w:p>
            <w:pPr>
              <w:pStyle w:val="TableContents"/>
              <w:bidi w:val="0"/>
              <w:spacing w:before="0" w:after="283"/>
              <w:jc w:val="left"/>
              <w:rPr/>
            </w:pPr>
            <w:r>
              <w:rPr/>
              <w:t> </w:t>
            </w:r>
          </w:p>
        </w:tc>
      </w:tr>
      <w:tr>
        <w:trPr/>
        <w:tc>
          <w:tcPr>
            <w:tcW w:w="3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63" w:type="dxa"/>
            <w:tcBorders/>
            <w:shd w:fill="FFFFFF" w:val="clear"/>
            <w:vAlign w:val="center"/>
          </w:tcPr>
          <w:p>
            <w:pPr>
              <w:pStyle w:val="TableContents"/>
              <w:bidi w:val="0"/>
              <w:spacing w:before="0" w:after="283"/>
              <w:jc w:val="left"/>
              <w:rPr/>
            </w:pPr>
            <w:r>
              <w:rPr/>
              <w:t> </w:t>
            </w:r>
          </w:p>
        </w:tc>
      </w:tr>
      <w:tr>
        <w:trPr/>
        <w:tc>
          <w:tcPr>
            <w:tcW w:w="3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10,518,932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29,443</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Includes gross proceeds of $11,991 less issuance costs of $1,207.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cf"/>
      <w:bookmarkEnd w:id="9"/>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197" w:type="dxa"/>
        <w:jc w:val="left"/>
        <w:tblInd w:w="0" w:type="dxa"/>
        <w:tblLayout w:type="fixed"/>
        <w:tblCellMar>
          <w:top w:w="0" w:type="dxa"/>
          <w:left w:w="0" w:type="dxa"/>
          <w:bottom w:w="0" w:type="dxa"/>
          <w:right w:w="0" w:type="dxa"/>
        </w:tblCellMar>
      </w:tblPr>
      <w:tblGrid>
        <w:gridCol w:w="7100"/>
        <w:gridCol w:w="60"/>
        <w:gridCol w:w="218"/>
        <w:gridCol w:w="1138"/>
        <w:gridCol w:w="140"/>
        <w:gridCol w:w="105"/>
        <w:gridCol w:w="218"/>
        <w:gridCol w:w="1138"/>
        <w:gridCol w:w="80"/>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p>
        </w:tc>
        <w:tc>
          <w:tcPr>
            <w:tcW w:w="80"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(11,357</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7,778</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2,404</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inventory reserves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settlement of contingent consideration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to operating assets and liabilities, net of acquisitions: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3,268</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2,591</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(2,452</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Capitalization of costs for software development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(3,220</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term debt and promissory note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(2,201</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registered offering of common stock and warrants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10,784</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borrowings under revolving credit facility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18,222</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18,334</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revolving credit facility</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(13,418</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contingent consideration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 warrants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finance lease obligations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11,325</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exchange rate on cash and cash equivalents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9,144</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10,703</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1" w:name="note1"/>
      <w:bookmarkEnd w:id="11"/>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NATURE OF ORGANIZATION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otherwise indicates, references in these Notes to the accompanying condensed consolidated financial statements to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 xml:space="preserve">” </w:t>
      </w:r>
      <w:r>
        <w:rPr>
          <w:rFonts w:ascii="Times New Roman" w:hAnsi="Times New Roman"/>
          <w:i/>
          <w:caps w:val="false"/>
          <w:smallCaps w:val="false"/>
          <w:sz w:val="20"/>
        </w:rPr>
        <w:t>refer to Creative Realities,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Nature of the Company</w:t>
      </w:r>
      <w:r>
        <w:rPr>
          <w:rFonts w:ascii="Times New Roman" w:hAnsi="Times New Roman"/>
          <w:caps w:val="false"/>
          <w:smallCaps w:val="false"/>
          <w:sz w:val="20"/>
        </w:rPr>
        <w:t>’</w:t>
      </w:r>
      <w:r>
        <w:rPr>
          <w:rFonts w:ascii="Times New Roman" w:hAnsi="Times New Roman"/>
          <w:i/>
          <w:caps w:val="false"/>
          <w:smallCaps w:val="false"/>
          <w:sz w:val="20"/>
        </w:rPr>
        <w: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main operations are conducted directly through Creative Realities, Inc., and under our wholly owned subsidiaries, Cineplex Digital Media Inc., a Canadian corporation (“CDMI”), and Cineplex Digital Media U.S. Inc., a Delaware corporation (“CDMUS”).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Liquidity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accordance with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2014</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Disclosure of Uncertainties about an Entity’s Ability to Continue as a Going Concern (Subtopic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(“ASU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the Company is required to evaluate whether there are certain conditions and events, considered in the aggregate, that raise substantial doubt about the Company’s ability to continue as a going concern within </w:t>
      </w:r>
      <w:r>
        <w:rPr>
          <w:rStyle w:val="Emphasis"/>
          <w:rFonts w:ascii="Times New Roman" w:hAnsi="Times New Roman"/>
          <w:caps w:val="false"/>
          <w:smallCaps w:val="false"/>
          <w:sz w:val="20"/>
        </w:rPr>
        <w:t>one</w:t>
      </w:r>
      <w:r>
        <w:rPr>
          <w:rFonts w:ascii="Times New Roman" w:hAnsi="Times New Roman"/>
          <w:caps w:val="false"/>
          <w:smallCaps w:val="false"/>
          <w:sz w:val="20"/>
        </w:rPr>
        <w:t> year after the date that the condensed consolidated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disclosed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for the quarter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there was substantial doubt about the ability of the Company to continue as a going concern for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date those respective financial statements were issued. These conclusions resulted from a combination of factors, including recurring net losses and cash used in operating activities, the ongoing integration of the Cineplex Digital Media business that the Company acquired on </w:t>
      </w:r>
      <w:r>
        <w:rPr>
          <w:rStyle w:val="Emphasis"/>
          <w:rFonts w:ascii="Times New Roman" w:hAnsi="Times New Roman"/>
          <w:caps w:val="false"/>
          <w:smallCaps w:val="false"/>
          <w:sz w:val="20"/>
        </w:rPr>
        <w:t>November 7, 2025 (</w:t>
      </w:r>
      <w:r>
        <w:rPr>
          <w:rFonts w:ascii="Times New Roman" w:hAnsi="Times New Roman"/>
          <w:caps w:val="false"/>
          <w:smallCaps w:val="false"/>
          <w:sz w:val="20"/>
        </w:rPr>
        <w:t xml:space="preserve">see </w:t>
      </w:r>
      <w:hyperlink w:anchor="note4">
        <w:r>
          <w:rPr>
            <w:rStyle w:val="InternetLink"/>
            <w:rFonts w:ascii="Times New Roman" w:hAnsi="Times New Roman"/>
            <w:caps w:val="false"/>
            <w:smallCaps w:val="false"/>
            <w:sz w:val="20"/>
          </w:rPr>
          <w:t xml:space="preserve">Note </w:t>
        </w:r>
      </w:hyperlink>
      <w:hyperlink w:anchor="note4">
        <w:r>
          <w:rPr>
            <w:rStyle w:val="InternetLink"/>
            <w:rFonts w:ascii="Times New Roman" w:hAnsi="Times New Roman"/>
            <w:i/>
            <w:i/>
            <w:iCs/>
            <w:caps w:val="false"/>
            <w:smallCaps w:val="false"/>
            <w:sz w:val="20"/>
          </w:rPr>
          <w:t>4</w:t>
        </w:r>
      </w:hyperlink>
      <w:r>
        <w:rPr>
          <w:rFonts w:ascii="Times New Roman" w:hAnsi="Times New Roman"/>
          <w:caps w:val="false"/>
          <w:smallCaps w:val="false"/>
          <w:sz w:val="20"/>
        </w:rPr>
        <w:t xml:space="preserve">), which expected synergies and financial impacts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fully known, and the dependence on improving cash flows from operations or securing additional sources of liquidity (or both), to fund ongoing operations to meet the Company’s financial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has an accumulated deficit of $76,487, cash and cash equivalents of $10,703 and negative working capital of $3,716.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began realizing synergies and cost savings from the acquisition of the Cineplex Digital Media business. Accordingly, the Company was able to improve its operating results (net loss of $3,896, which was reduced from a net loss of $7,461 during the prior quarter) and generated positive cash flows from operating activities of $1,003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In addition, 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completed an underwritten public offering and received net proceeds of $10,784.  These actions have alleviated the substantial doubt about the Company’s ability to continue as a going concern that previously existed, and accordingly, there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exists substantial doubt about the Company’s ability to continue as a going concern for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after these condensed consolidated financial statements are issued. The Company expects that its cash and cash equivalents on hand, cash to be generated from operations and availability under its revolving credit facility will be sufficient to fund its operations for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from the date the condensed consolidated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continues to monitor ongoing compliance with its credit facilities and will continue to monitor its ability to meet its obligations as they become due.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need to seek additional forms of debt or equity financing in the future. If the Company is unable to obtain adequate financing on terms that are satisfactory to the Company, when the Company requires it, the Company’s ability to continue to grow or support the business and to respond to business challenges could be significantly limited,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adversely affect the Company’s business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2" w:name="note2"/>
      <w:bookmarkEnd w:id="12"/>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Since the Annual Report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to the Company’s significant accounting policies, except as disclosed in this note.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accompanying unaudited condensed consolidated financial statements have been prepared in accordance with generally accepted accounting principles in the United States of America (“U.S. GAAP”) for interim financial information and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Article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disclosures required by U.S. GAAP for complete financial statements. In the opinion of management, such statements include all adjustments (consisting only of normal recurring items) which are considered necessary for a fair presentation of the condensed consolidated financial statements of the Company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then ended.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for the full year ending </w:t>
      </w:r>
      <w:r>
        <w:rPr>
          <w:rStyle w:val="Emphasis"/>
          <w:rFonts w:ascii="Times New Roman" w:hAnsi="Times New Roman"/>
          <w:caps w:val="false"/>
          <w:smallCaps w:val="false"/>
          <w:sz w:val="20"/>
        </w:rPr>
        <w:t xml:space="preserve">December 31, 2026 </w:t>
      </w:r>
      <w:r>
        <w:rPr>
          <w:rFonts w:ascii="Times New Roman" w:hAnsi="Times New Roman"/>
          <w:caps w:val="false"/>
          <w:smallCaps w:val="false"/>
          <w:sz w:val="20"/>
        </w:rPr>
        <w:t>or any other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These unaudited condensed consolidated financial statements should be read in conjunction with the consolidated financial statements of the Company and related footnotes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Securities and Exchange Commission on </w:t>
      </w:r>
      <w:r>
        <w:rPr>
          <w:rStyle w:val="Emphasis"/>
          <w:rFonts w:ascii="Times New Roman" w:hAnsi="Times New Roman"/>
          <w:caps w:val="false"/>
          <w:smallCaps w:val="false"/>
          <w:sz w:val="20"/>
        </w:rPr>
        <w:t>April 15,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2.</w:t>
      </w:r>
      <w:r>
        <w:rPr>
          <w:rFonts w:ascii="Times New Roman" w:hAnsi="Times New Roman"/>
          <w:i/>
          <w:caps w:val="false"/>
          <w:smallCaps w:val="false"/>
          <w:sz w:val="20"/>
        </w:rPr>
        <w:t xml:space="preserve"> Recently Issued and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w:t>
      </w:r>
      <w:r>
        <w:rPr>
          <w:rFonts w:ascii="Times New Roman" w:hAnsi="Times New Roman"/>
          <w:i/>
          <w:caps w:val="false"/>
          <w:smallCaps w:val="false"/>
          <w:sz w:val="20"/>
        </w:rPr>
        <w:t>Measurement of Credit Losses for Accounts Receivable and Contract Assets</w:t>
      </w:r>
      <w:r>
        <w:rPr>
          <w:rFonts w:ascii="Times New Roman" w:hAnsi="Times New Roman"/>
          <w:caps w:val="false"/>
          <w:smallCaps w:val="false"/>
          <w:sz w:val="20"/>
        </w:rPr>
        <w:t xml:space="preserve">. The amendments introduce a practical expedient that permits entities to assume current conditions as of the balance sheet date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for the remaining life of current accounts receivable and current contract assets within the scope of Accounting Standards Codification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when developing reasonable and supportable forecasts of expected credit losses, thereby removing the requirement to incorporate macroeconomic forecasts for those assets. The ASU also provides an accounting policy election to consider post-balance-sheet collection activity in estimating expected credit losses; this election is available only to entities other than public business entities and is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to the Company. The amendments are effective for annual reporting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and interim periods within those annual periods, with early adoption permitted. The Company adopted this standard on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adoption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its condensed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2026</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Equity (Topic </w:t>
      </w:r>
      <w:r>
        <w:rPr>
          <w:rStyle w:val="Emphasis"/>
          <w:rFonts w:ascii="Times New Roman" w:hAnsi="Times New Roman"/>
          <w:caps w:val="false"/>
          <w:smallCaps w:val="false"/>
          <w:sz w:val="20"/>
        </w:rPr>
        <w:t>505</w:t>
      </w:r>
      <w:r>
        <w:rPr>
          <w:rFonts w:ascii="Times New Roman" w:hAnsi="Times New Roman"/>
          <w:caps w:val="false"/>
          <w:smallCaps w:val="false"/>
          <w:sz w:val="20"/>
        </w:rPr>
        <w:t xml:space="preserve">): Initial Measurement of Paid-in-Kind Dividends on Equity-Classified Preferred Stock. The amendments in this update require entities to initially measure paid-in-kind (“PIK”) dividends on equity-classified preferred stock using the PIK dividend rate stated in the preferred stock agreement, rather than at fair value. The ASU is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including interim periods within those fiscal years, with early adoption permitted. The Company is currently evaluating the impact of ASU </w:t>
      </w:r>
      <w:r>
        <w:rPr>
          <w:rStyle w:val="Emphasis"/>
          <w:rFonts w:ascii="Times New Roman" w:hAnsi="Times New Roman"/>
          <w:caps w:val="false"/>
          <w:smallCaps w:val="false"/>
          <w:sz w:val="20"/>
        </w:rPr>
        <w:t>2026</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on its condensed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3.</w:t>
      </w:r>
      <w:r>
        <w:rPr>
          <w:rFonts w:ascii="Times New Roman" w:hAnsi="Times New Roman"/>
          <w:i/>
          <w:caps w:val="false"/>
          <w:smallCaps w:val="false"/>
          <w:sz w:val="20"/>
        </w:rPr>
        <w:t xml:space="preserve"> Cash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Cash consists of cash on deposit in financial institutions in both the United States and Canada.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hold any investments that qualify as cash equivalents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Balances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the Federal Deposit Insurance Corporation (“FDIC”) limit of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USD in the United States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the Canada Deposit Insurance Corporation (“CDIC”) limit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CAD in Canada.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had USD cash in excess of FDIC limits of $9,349 and $0, respectively.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had CAD cash in excess of CDIC insurance limits of $938 and $1,037, respectively.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the balances present a material credit risk, as the cash is held with reputable financial institutions and the Company has never experienced any losses related to these balances, although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provided that it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 any losses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4.</w:t>
      </w:r>
      <w:r>
        <w:rPr>
          <w:rFonts w:ascii="Times New Roman" w:hAnsi="Times New Roman"/>
          <w:i/>
          <w:caps w:val="false"/>
          <w:smallCaps w:val="false"/>
          <w:sz w:val="20"/>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recognize revenue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applying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-step model. The Company evaluates each customer contract to identify the distinct performance obligations promised therein. A performance obligation is considered distinct if the customer can benefit from the good or service on its own or together with other resources that are readily available, and if the Company's promise to transfer the good or service is separately identifiable from other promises in the contract. If an individual promised good or service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from another promised good or service, the Company combines those promised goods or services into a single combined performance obligation. The total contract transaction price is allocated to the identified distinct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 For contracts when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performance obligations have observable standalone selling prices, the residual approach is applied to determine the allocation for highly variable components, including SaaS and support pricing, which both vary based on engagement size.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accept returns or provide refunds related to its customer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 with material extended payment terms as payment is typically due at or shortly after the time of the sale, typically ranging between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ninety</w:t>
      </w:r>
      <w:r>
        <w:rPr>
          <w:rFonts w:ascii="Times New Roman" w:hAnsi="Times New Roman"/>
          <w:caps w:val="false"/>
          <w:smallCaps w:val="false"/>
          <w:sz w:val="20"/>
        </w:rPr>
        <w:t xml:space="preserve"> days. In those instances where the Company offers material extended payment terms (most commonly in multi-year arrangements), the Company determines whether a significant financing component exists. Where the Company acts as an agent to a transaction on behalf of its customers (primarily for the sale of extended warranties that are performed by the equipment manufacturer), the Company recognizes revenue on a net basis.  Observable prices are used to determine the standalone selling price of separate performance obligations or a cost plus margin approach when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not</w:t>
      </w:r>
      <w:r>
        <w:rPr>
          <w:rFonts w:ascii="Times New Roman" w:hAnsi="Times New Roman"/>
          <w:caps w:val="false"/>
          <w:smallCaps w:val="false"/>
          <w:sz w:val="20"/>
        </w:rPr>
        <w:t> available.  Sales, value-added and other taxes collected concurrently with revenue producing activities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contract liability is recognized as deferred revenue when the Company invoices customers in advance of performing the related services under the terms of a contract. Deferred revenue is recognized as revenue when or as the Company satisfies the related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uses the practical expedient for recording an immediate expense for incremental costs of obtaining contracts, including certain design/engineering services, commissions, incentives and payroll taxes, as these incremental and recoverable costs have terms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5.</w:t>
      </w:r>
      <w:r>
        <w:rPr>
          <w:rFonts w:ascii="Times New Roman" w:hAnsi="Times New Roman"/>
          <w:i/>
          <w:caps w:val="false"/>
          <w:smallCaps w:val="false"/>
          <w:sz w:val="20"/>
        </w:rPr>
        <w:t xml:space="preserve"> Allowance for Credit Losses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had the following activity for its allowance for credit losses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tbl>
      <w:tblPr>
        <w:tblW w:w="5697" w:type="dxa"/>
        <w:jc w:val="left"/>
        <w:tblInd w:w="0" w:type="dxa"/>
        <w:tblLayout w:type="fixed"/>
        <w:tblCellMar>
          <w:top w:w="0" w:type="dxa"/>
          <w:left w:w="0" w:type="dxa"/>
          <w:bottom w:w="0" w:type="dxa"/>
          <w:right w:w="0" w:type="dxa"/>
        </w:tblCellMar>
      </w:tblPr>
      <w:tblGrid>
        <w:gridCol w:w="3335"/>
        <w:gridCol w:w="60"/>
        <w:gridCol w:w="234"/>
        <w:gridCol w:w="739"/>
        <w:gridCol w:w="149"/>
        <w:gridCol w:w="112"/>
        <w:gridCol w:w="234"/>
        <w:gridCol w:w="739"/>
        <w:gridCol w:w="9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9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9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9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accrued</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9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Write-offs charged against the allowance</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6.</w:t>
      </w:r>
      <w:r>
        <w:rPr>
          <w:rFonts w:ascii="Times New Roman" w:hAnsi="Times New Roman"/>
          <w:i/>
          <w:caps w:val="false"/>
          <w:smallCaps w:val="false"/>
          <w:sz w:val="20"/>
        </w:rPr>
        <w:t xml:space="preserve">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Inventories are stated at the lower of cost or net realizable value, determined by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-out (FIFO) method, and consist of the following:</w:t>
      </w:r>
    </w:p>
    <w:p>
      <w:pPr>
        <w:pStyle w:val="TextBody"/>
        <w:bidi w:val="0"/>
        <w:spacing w:before="0" w:after="0"/>
        <w:ind w:left="0" w:right="0" w:hanging="0"/>
        <w:jc w:val="left"/>
        <w:rPr>
          <w:caps w:val="false"/>
          <w:smallCaps w:val="false"/>
        </w:rPr>
      </w:pPr>
      <w:r>
        <w:rPr>
          <w:caps w:val="false"/>
          <w:smallCaps w:val="false"/>
        </w:rPr>
        <w:t> </w:t>
      </w:r>
    </w:p>
    <w:tbl>
      <w:tblPr>
        <w:tblW w:w="3583" w:type="dxa"/>
        <w:jc w:val="left"/>
        <w:tblInd w:w="0" w:type="dxa"/>
        <w:tblLayout w:type="fixed"/>
        <w:tblCellMar>
          <w:top w:w="0" w:type="dxa"/>
          <w:left w:w="0" w:type="dxa"/>
          <w:bottom w:w="0" w:type="dxa"/>
          <w:right w:w="0" w:type="dxa"/>
        </w:tblCellMar>
      </w:tblPr>
      <w:tblGrid>
        <w:gridCol w:w="1430"/>
        <w:gridCol w:w="60"/>
        <w:gridCol w:w="148"/>
        <w:gridCol w:w="576"/>
        <w:gridCol w:w="60"/>
        <w:gridCol w:w="60"/>
        <w:gridCol w:w="240"/>
        <w:gridCol w:w="934"/>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4,822</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Work-in-process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i/>
          <w:caps w:val="false"/>
          <w:smallCaps w:val="false"/>
          <w:sz w:val="20"/>
        </w:rPr>
        <w:t>7.</w:t>
      </w:r>
      <w:r>
        <w:rPr>
          <w:rFonts w:ascii="Times New Roman" w:hAnsi="Times New Roman"/>
          <w:i/>
          <w:caps w:val="false"/>
          <w:smallCaps w:val="false"/>
          <w:sz w:val="20"/>
        </w:rPr>
        <w:t xml:space="preserve"> Basic and Diluted Net (Loss) Income</w:t>
      </w:r>
      <w:r>
        <w:rPr>
          <w:rFonts w:ascii="Times New Roman" w:hAnsi="Times New Roman"/>
          <w:caps w:val="false"/>
          <w:smallCaps w:val="false"/>
          <w:sz w:val="20"/>
        </w:rPr>
        <w:t> </w:t>
      </w:r>
      <w:r>
        <w:rPr>
          <w:rFonts w:ascii="Times New Roman" w:hAnsi="Times New Roman"/>
          <w:i/>
          <w:caps w:val="false"/>
          <w:smallCaps w:val="false"/>
          <w:sz w:val="20"/>
        </w:rPr>
        <w:t>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net (loss) income per common share is calculated using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in accordance with ASC </w:t>
      </w:r>
      <w:r>
        <w:rPr>
          <w:rStyle w:val="Emphasis"/>
          <w:rFonts w:ascii="Times New Roman" w:hAnsi="Times New Roman"/>
          <w:caps w:val="false"/>
          <w:smallCaps w:val="false"/>
          <w:sz w:val="20"/>
        </w:rPr>
        <w:t>260,</w:t>
      </w:r>
      <w:r>
        <w:rPr>
          <w:rFonts w:ascii="Times New Roman" w:hAnsi="Times New Roman"/>
          <w:caps w:val="false"/>
          <w:smallCaps w:val="false"/>
          <w:sz w:val="20"/>
        </w:rPr>
        <w:t xml:space="preserve"> </w:t>
      </w:r>
      <w:r>
        <w:rPr>
          <w:rFonts w:ascii="Times New Roman" w:hAnsi="Times New Roman"/>
          <w:i/>
          <w:caps w:val="false"/>
          <w:smallCaps w:val="false"/>
          <w:sz w:val="20"/>
        </w:rPr>
        <w:t>Earnings Per Share</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allocates net income between common stockholders and holders of participating securities. The Company’s Series A Redeemable Convertible Preferred Stock are deemed to be participating securities due to their rights to participate in dividends with common stock. However,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calculation of net loss per common share during periods when the Company has a net loss, because the holders of participating securities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absorb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Basic net (loss) income per common share is computed by dividing net (loss) income attributable to common stockholders by the weighted average number of common shares outstanding during the period. Diluted net (loss) income per common share is computed by dividing net (loss) income attributable to common stockholders by the weighted average number of common shares outstanding, plus fully vested shares that are subject to issuance for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monetary consideration and the number of additional common shares that would have been outstanding if the potential common shares had been issued (computed using the more dilutive of the treasury stock or the if converted method, as applicable, and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Shares reserved for outstanding stock options, including stock options with performance restricted vesting, and warrants totaling 7,932,750 and 30,000 shares of the Series A Redeemable Convertible Preferred Stock, convertible into 10,000,000 shares of common stock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were excluded from the computation of diluted net loss per common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as the Company was in a net loss position and their inclusion would have been anti-dilutive. Shares reserved for outstanding stock options, including stock options with performance restricted vesting, and warrants totaling 7,290,816 at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were excluded from the computation of diluted net loss per common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as the Company was in a net loss position and their inclusion would have been anti-dilutive, and also excluded from the computation of diluted net income per common share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as the strike prices on the options and warrants were higher than the Company’s average market price of its common stock during the period and therefore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8.</w:t>
      </w:r>
      <w:r>
        <w:rPr>
          <w:rFonts w:ascii="Times New Roman" w:hAnsi="Times New Roman"/>
          <w:i/>
          <w:caps w:val="false"/>
          <w:smallCaps w:val="false"/>
          <w:sz w:val="20"/>
        </w:rPr>
        <w:t xml:space="preserve">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pPr>
      <w:r>
        <w:rPr>
          <w:rFonts w:ascii="Times New Roman" w:hAnsi="Times New Roman"/>
          <w:caps w:val="false"/>
          <w:smallCaps w:val="false"/>
          <w:sz w:val="20"/>
        </w:rPr>
        <w:t>The functional currency of the Company's Canadian subsidiaries is the Canadian dollar. The financial statements of these subsidiaries are translated into U.S. dollars in accordance with ASC </w:t>
      </w:r>
      <w:r>
        <w:rPr>
          <w:rStyle w:val="Emphasis"/>
          <w:rFonts w:ascii="Times New Roman" w:hAnsi="Times New Roman"/>
          <w:caps w:val="false"/>
          <w:smallCaps w:val="false"/>
          <w:sz w:val="20"/>
        </w:rPr>
        <w:t>830,</w:t>
      </w:r>
      <w:r>
        <w:rPr>
          <w:rFonts w:ascii="Times New Roman" w:hAnsi="Times New Roman"/>
          <w:caps w:val="false"/>
          <w:smallCaps w:val="false"/>
          <w:sz w:val="20"/>
        </w:rPr>
        <w:t> </w:t>
      </w:r>
      <w:r>
        <w:rPr>
          <w:rFonts w:ascii="Times New Roman" w:hAnsi="Times New Roman"/>
          <w:i/>
          <w:caps w:val="false"/>
          <w:smallCaps w:val="false"/>
          <w:sz w:val="20"/>
        </w:rPr>
        <w:t>Foreign Currency Matters</w:t>
      </w:r>
      <w:r>
        <w:rPr>
          <w:rFonts w:ascii="Times New Roman" w:hAnsi="Times New Roman"/>
          <w:caps w:val="false"/>
          <w:smallCaps w:val="false"/>
          <w:sz w:val="20"/>
        </w:rPr>
        <w:t>. Assets and liabilities denominated in foreign currencies are translated into U.S. dollars at the exchange rates in effect at the balance sheet date. Revenue and expense accounts are translated at the average exchange rates during the period. The resulting translation adjustments are recorded as a component of accumulated other comprehensive income (loss) within shareholders' equity. Gains and losses arising from foreign currency transactions are included in other expense (income), net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9.</w:t>
      </w:r>
      <w:r>
        <w:rPr>
          <w:rFonts w:ascii="Times New Roman" w:hAnsi="Times New Roman"/>
          <w:i/>
          <w:caps w:val="false"/>
          <w:smallCaps w:val="false"/>
          <w:sz w:val="20"/>
        </w:rPr>
        <w:t xml:space="preserve"> 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the fair value of assets acquired and liabilities assumed in business combinations, including identifiable intangible assets; allowance for credit losses; valuation allowances related to deferred tax assets, including the realizability of acquired Canadian deferred tax assets; assumptions and estimates used to evaluate the recoverability of goodwill and other intangible assets and the related amortization methods and periods; the incremental borrowing rate used to measure right-of-use assets and lease liabilities; the fair value of stock-based compensation awards; and the assessment of the Company's ability to continue as a going concern, including projected cash flows and available liquidity.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10.</w:t>
      </w:r>
      <w:r>
        <w:rPr>
          <w:rFonts w:ascii="Times New Roman" w:hAnsi="Times New Roman"/>
          <w:caps w:val="false"/>
          <w:smallCaps w:val="false"/>
          <w:sz w:val="20"/>
        </w:rPr>
        <w:t> </w:t>
      </w:r>
      <w:r>
        <w:rPr>
          <w:rFonts w:ascii="Times New Roman" w:hAnsi="Times New Roman"/>
          <w:i/>
          <w:caps w:val="false"/>
          <w:smallCaps w:val="false"/>
          <w:sz w:val="20"/>
        </w:rPr>
        <w:t>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Certain prior year amounts in the condensed consolidated financial statements and accompanying notes have been reclassified to conform to the current year presentation. These reclassifications had </w:t>
      </w:r>
      <w:r>
        <w:rPr>
          <w:rStyle w:val="Emphasis"/>
          <w:rFonts w:ascii="Times New Roman" w:hAnsi="Times New Roman"/>
          <w:caps w:val="false"/>
          <w:smallCaps w:val="false"/>
          <w:sz w:val="20"/>
        </w:rPr>
        <w:t>no</w:t>
      </w:r>
      <w:r>
        <w:rPr>
          <w:rFonts w:ascii="Times New Roman" w:hAnsi="Times New Roman"/>
          <w:caps w:val="false"/>
          <w:smallCaps w:val="false"/>
          <w:sz w:val="20"/>
        </w:rPr>
        <w:t> effect on previously reported net loss, total assets, total liabilities, shareholders’ equity, or cash flows from operations. Management has evaluated these reclassifications and determined that they are </w:t>
      </w:r>
      <w:r>
        <w:rPr>
          <w:rStyle w:val="Emphasis"/>
          <w:rFonts w:ascii="Times New Roman" w:hAnsi="Times New Roman"/>
          <w:i/>
          <w:caps w:val="false"/>
          <w:smallCaps w:val="false"/>
          <w:sz w:val="20"/>
        </w:rPr>
        <w:t>not</w:t>
      </w:r>
      <w:r>
        <w:rPr>
          <w:rFonts w:ascii="Times New Roman" w:hAnsi="Times New Roman"/>
          <w:caps w:val="false"/>
          <w:smallCaps w:val="false"/>
          <w:sz w:val="20"/>
        </w:rPr>
        <w:t> material, individually or in the aggregate, to the condensed consolidated financial statements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bookmarkStart w:id="13" w:name="note3"/>
      <w:bookmarkEnd w:id="13"/>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applies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revenue recognition. The table below disaggregates the Company’s revenue by major source as follows:</w:t>
      </w:r>
    </w:p>
    <w:p>
      <w:pPr>
        <w:pStyle w:val="TextBody"/>
        <w:bidi w:val="0"/>
        <w:spacing w:before="0" w:after="0"/>
        <w:ind w:left="0" w:right="0" w:hanging="0"/>
        <w:jc w:val="left"/>
        <w:rPr>
          <w:caps w:val="false"/>
          <w:smallCaps w:val="false"/>
        </w:rPr>
      </w:pPr>
      <w:r>
        <w:rPr>
          <w:caps w:val="false"/>
          <w:smallCaps w:val="false"/>
        </w:rPr>
        <w:t> </w:t>
      </w:r>
    </w:p>
    <w:tbl>
      <w:tblPr>
        <w:tblW w:w="7176" w:type="dxa"/>
        <w:jc w:val="left"/>
        <w:tblInd w:w="0" w:type="dxa"/>
        <w:tblLayout w:type="fixed"/>
        <w:tblCellMar>
          <w:top w:w="0" w:type="dxa"/>
          <w:left w:w="0" w:type="dxa"/>
          <w:bottom w:w="0" w:type="dxa"/>
          <w:right w:w="0" w:type="dxa"/>
        </w:tblCellMar>
      </w:tblPr>
      <w:tblGrid>
        <w:gridCol w:w="2345"/>
        <w:gridCol w:w="60"/>
        <w:gridCol w:w="210"/>
        <w:gridCol w:w="994"/>
        <w:gridCol w:w="60"/>
        <w:gridCol w:w="60"/>
        <w:gridCol w:w="210"/>
        <w:gridCol w:w="994"/>
        <w:gridCol w:w="60"/>
        <w:gridCol w:w="60"/>
        <w:gridCol w:w="168"/>
        <w:gridCol w:w="796"/>
        <w:gridCol w:w="60"/>
        <w:gridCol w:w="60"/>
        <w:gridCol w:w="168"/>
        <w:gridCol w:w="796"/>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Ended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Ended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Ended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Ended </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Hardware</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10,467</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Managed Services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8,731</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Media Advertising</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Installation Services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2,834</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Services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Services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12,297</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Hardware and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presents the activities in deferred revenue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tbl>
      <w:tblPr>
        <w:tblW w:w="6575" w:type="dxa"/>
        <w:jc w:val="left"/>
        <w:tblInd w:w="0" w:type="dxa"/>
        <w:tblLayout w:type="fixed"/>
        <w:tblCellMar>
          <w:top w:w="0" w:type="dxa"/>
          <w:left w:w="0" w:type="dxa"/>
          <w:bottom w:w="0" w:type="dxa"/>
          <w:right w:w="0" w:type="dxa"/>
        </w:tblCellMar>
      </w:tblPr>
      <w:tblGrid>
        <w:gridCol w:w="5750"/>
        <w:gridCol w:w="60"/>
        <w:gridCol w:w="125"/>
        <w:gridCol w:w="545"/>
        <w:gridCol w:w="95"/>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5"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p>
        </w:tc>
        <w:tc>
          <w:tcPr>
            <w:tcW w:w="95"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billed and deferred during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w:t>
            </w:r>
          </w:p>
        </w:tc>
        <w:tc>
          <w:tcPr>
            <w:tcW w:w="95"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that was included in the beginning balance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from amounts deferred during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 on Canadian 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revenues recognized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from performance obligations that were satisfied (or partially satisfied) in prior periods as a result of contract price changes, changes in estimates or variable consideration true-ups.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the aggregate amount of the transaction price allocated to remaining performance obligations (i.e., unsatisfied or partially unsatisfied performance obligations) was $8,645. The following table presents the expected timing of recognition of that amount:</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28" w:type="dxa"/>
          <w:right w:w="0" w:type="dxa"/>
        </w:tblCellMar>
      </w:tblPr>
      <w:tblGrid>
        <w:gridCol w:w="1670"/>
        <w:gridCol w:w="60"/>
        <w:gridCol w:w="142"/>
        <w:gridCol w:w="553"/>
        <w:gridCol w:w="75"/>
      </w:tblGrid>
      <w:tr>
        <w:trPr/>
        <w:tc>
          <w:tcPr>
            <w:tcW w:w="16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Recognition 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75" w:type="dxa"/>
            <w:tcBorders/>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Within 1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remaining performance obligations in the table above primarily consist of non-cancellable multi-year SaaS and maintenance agreements, under which the Company recognizes SaaS and maintenance revenue ratably over the contract term. The Company has elected the optional exemption under ASC </w:t>
      </w:r>
      <w:r>
        <w:rPr>
          <w:rStyle w:val="Emphasis"/>
          <w:rFonts w:ascii="Times New Roman" w:hAnsi="Times New Roman"/>
          <w:caps w:val="false"/>
          <w:smallCaps w:val="false"/>
          <w:sz w:val="20"/>
        </w:rPr>
        <w:t>606</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w:t>
      </w:r>
      <w:r>
        <w:rPr>
          <w:rStyle w:val="Emphasis"/>
          <w:rFonts w:ascii="Times New Roman" w:hAnsi="Times New Roman"/>
          <w:caps w:val="false"/>
          <w:smallCaps w:val="false"/>
          <w:sz w:val="20"/>
        </w:rPr>
        <w:t>14</w:t>
      </w:r>
      <w:r>
        <w:rPr>
          <w:rFonts w:ascii="Times New Roman" w:hAnsi="Times New Roman"/>
          <w:caps w:val="false"/>
          <w:smallCaps w:val="false"/>
          <w:sz w:val="20"/>
        </w:rPr>
        <w:t> and does </w:t>
      </w:r>
      <w:r>
        <w:rPr>
          <w:rStyle w:val="Emphasis"/>
          <w:rFonts w:ascii="Times New Roman" w:hAnsi="Times New Roman"/>
          <w:caps w:val="false"/>
          <w:smallCaps w:val="false"/>
          <w:sz w:val="20"/>
        </w:rPr>
        <w:t>not</w:t>
      </w:r>
      <w:r>
        <w:rPr>
          <w:rFonts w:ascii="Times New Roman" w:hAnsi="Times New Roman"/>
          <w:caps w:val="false"/>
          <w:smallCaps w:val="false"/>
          <w:sz w:val="20"/>
        </w:rPr>
        <w:t> disclose information about remaining performance obligations for contracts with an original expected duration of </w:t>
      </w:r>
      <w:r>
        <w:rPr>
          <w:rStyle w:val="Emphasis"/>
          <w:rFonts w:ascii="Times New Roman" w:hAnsi="Times New Roman"/>
          <w:caps w:val="false"/>
          <w:smallCaps w:val="false"/>
          <w:sz w:val="20"/>
        </w:rPr>
        <w:t>one</w:t>
      </w:r>
      <w:r>
        <w:rPr>
          <w:rFonts w:ascii="Times New Roman" w:hAnsi="Times New Roman"/>
          <w:caps w:val="false"/>
          <w:smallCaps w:val="false"/>
          <w:sz w:val="20"/>
        </w:rPr>
        <w:t> year or less, which primarily consist of short-term digital media advertising contracts, month-to-month support agreements, media revenue, and transactional arrangements (e.g., hardware and installation, software design and development, content creation).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bookmarkStart w:id="14" w:name="note4"/>
      <w:bookmarkEnd w:id="14"/>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7, 2025, </w:t>
      </w:r>
      <w:r>
        <w:rPr>
          <w:rFonts w:ascii="Times New Roman" w:hAnsi="Times New Roman"/>
          <w:caps w:val="false"/>
          <w:smallCaps w:val="false"/>
          <w:sz w:val="20"/>
        </w:rPr>
        <w:t xml:space="preserve">the Company completed the acquisition of DDC Group International, Inc. (“DDC”), the parent of Cineplex Digital Media Inc. and Cineplex Digital Media U.S. Inc. (collectively, “CDM”), from Cineplex Entertainment Limited Partnership for cash consideration of approximately CAD $60,263 (approximately USD $42,761). The acquisition was accounted for as a business combination under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with </w:t>
      </w:r>
      <w:r>
        <w:rPr>
          <w:rStyle w:val="Emphasis"/>
          <w:rFonts w:ascii="Times New Roman" w:hAnsi="Times New Roman"/>
          <w:caps w:val="false"/>
          <w:smallCaps w:val="false"/>
          <w:sz w:val="20"/>
        </w:rPr>
        <w:t xml:space="preserve">November 7, 2025 </w:t>
      </w:r>
      <w:r>
        <w:rPr>
          <w:rFonts w:ascii="Times New Roman" w:hAnsi="Times New Roman"/>
          <w:caps w:val="false"/>
          <w:smallCaps w:val="false"/>
          <w:sz w:val="20"/>
        </w:rPr>
        <w:t xml:space="preserve">as the acquisition date. The Company’s preliminary purchase price allocation, including the related deferred tax assets and liabilities, remains subject to change during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measurement period in accordance with ASC </w:t>
      </w:r>
      <w:r>
        <w:rPr>
          <w:rStyle w:val="Emphasis"/>
          <w:rFonts w:ascii="Times New Roman" w:hAnsi="Times New Roman"/>
          <w:caps w:val="false"/>
          <w:smallCaps w:val="false"/>
          <w:sz w:val="20"/>
        </w:rPr>
        <w:t>805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25</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25</w:t>
      </w:r>
      <w:r>
        <w:rPr>
          <w:rFonts w:ascii="Times New Roman" w:hAnsi="Times New Roman"/>
          <w:caps w:val="false"/>
          <w:smallCaps w:val="false"/>
          <w:sz w:val="20"/>
        </w:rPr>
        <w:t>-</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which extends through </w:t>
      </w:r>
      <w:r>
        <w:rPr>
          <w:rStyle w:val="Emphasis"/>
          <w:rFonts w:ascii="Times New Roman" w:hAnsi="Times New Roman"/>
          <w:caps w:val="false"/>
          <w:smallCaps w:val="false"/>
          <w:sz w:val="20"/>
        </w:rPr>
        <w:t xml:space="preserve">November 6, 2026. </w:t>
      </w:r>
      <w:r>
        <w:rPr>
          <w:rFonts w:ascii="Times New Roman" w:hAnsi="Times New Roman"/>
          <w:caps w:val="false"/>
          <w:smallCaps w:val="false"/>
          <w:sz w:val="20"/>
        </w:rPr>
        <w:t xml:space="preserve">The initial accounting for the CDM acquisition is incomplete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because the Company is continuing to obtain and evaluate information about facts and circumstances that existed as of the acquisition date. The items for which the initial accounting remains incomplete include the valuation of acquired identifiable intangible assets, the assessment of acquired deferred tax assets and liabilities, the resolution of post-closing working capital adjustments, and the resulting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recorded measurement period adjustments to the preliminary purchase price allocation related to the acquired net deferred tax liability. At the acquisition date, certain amounts in the preliminary purchase price allocation, including the acquired net deferred tax liability, were recorded on a provisional basis pending the receipt of additional information.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obtained additional information about facts and circumstances that existed as of the acquisition date, which resulted in a measurement period adjustment that decreased the acquired net deferred tax liability by $1,986, with a corresponding decrease to goodwill. After giving effect to this adjustment, the acquired net deferred tax liability and goodwill recognized in connection with the CDM acquisition were $229 and $24,027, respectively,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compared to $2,215 and $26,013, respectively, as initially reported as of the acquisition date). The following table summarizes the measurement period activity.</w:t>
      </w:r>
    </w:p>
    <w:p>
      <w:pPr>
        <w:pStyle w:val="TextBody"/>
        <w:bidi w:val="0"/>
        <w:spacing w:before="0" w:after="0"/>
        <w:ind w:left="0" w:right="0" w:hanging="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050"/>
        <w:gridCol w:w="60"/>
        <w:gridCol w:w="208"/>
        <w:gridCol w:w="1086"/>
        <w:gridCol w:w="80"/>
        <w:gridCol w:w="60"/>
        <w:gridCol w:w="219"/>
        <w:gridCol w:w="956"/>
        <w:gridCol w:w="80"/>
        <w:gridCol w:w="60"/>
        <w:gridCol w:w="207"/>
        <w:gridCol w:w="1087"/>
        <w:gridCol w:w="95"/>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 Price</w:t>
              <w:br/>
              <w:t>Allocation</w:t>
              <w:br/>
              <w:t>(Preliminary)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Measurement</w:t>
              <w:br/>
              <w:t>Period</w:t>
              <w:b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 Price</w:t>
              <w:br/>
              <w:t>Allocation</w:t>
              <w:br/>
              <w:t>(As Revised)</w:t>
            </w:r>
          </w:p>
        </w:tc>
        <w:tc>
          <w:tcPr>
            <w:tcW w:w="9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 Consideration: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(net of cash acquired of $4,778)</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37,983</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 platform</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6,656</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14,324</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Non-compete covenant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Unfavorable lease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23,309</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2,711</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Debt-free net working capital deficit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of Identified Net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13,956</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 Goodwill Value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24,027</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of 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measurement period adjustment recorded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reflects new information obtained about facts and circumstances that existed as of the acquisition date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results of operations in any prior period. The preliminary purchase price allocation, including the items identified above, remains subject to further adjustment during the remainder of the measurement period as additional information is obtained, and any such adjustments will be recognized in the reporting period in which they are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SUPPLEMENTAL CASH FLOW STATEMENT INFORMATION</w:t>
      </w:r>
    </w:p>
    <w:p>
      <w:pPr>
        <w:pStyle w:val="TextBody"/>
        <w:bidi w:val="0"/>
        <w:spacing w:before="0" w:after="0"/>
        <w:ind w:left="0" w:right="0" w:hanging="0"/>
        <w:jc w:val="left"/>
        <w:rPr>
          <w:caps w:val="false"/>
          <w:smallCaps w:val="false"/>
        </w:rPr>
      </w:pPr>
      <w:r>
        <w:rPr>
          <w:caps w:val="false"/>
          <w:smallCaps w:val="false"/>
        </w:rPr>
        <w:t> </w:t>
      </w:r>
    </w:p>
    <w:tbl>
      <w:tblPr>
        <w:tblW w:w="8751" w:type="dxa"/>
        <w:jc w:val="left"/>
        <w:tblInd w:w="0" w:type="dxa"/>
        <w:tblLayout w:type="fixed"/>
        <w:tblCellMar>
          <w:top w:w="0" w:type="dxa"/>
          <w:left w:w="0" w:type="dxa"/>
          <w:bottom w:w="0" w:type="dxa"/>
          <w:right w:w="0" w:type="dxa"/>
        </w:tblCellMar>
      </w:tblPr>
      <w:tblGrid>
        <w:gridCol w:w="6410"/>
        <w:gridCol w:w="60"/>
        <w:gridCol w:w="206"/>
        <w:gridCol w:w="799"/>
        <w:gridCol w:w="98"/>
        <w:gridCol w:w="98"/>
        <w:gridCol w:w="206"/>
        <w:gridCol w:w="799"/>
        <w:gridCol w:w="75"/>
      </w:tblGrid>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br/>
              <w:t>June 30</w:t>
            </w:r>
          </w:p>
        </w:tc>
        <w:tc>
          <w:tcPr>
            <w:tcW w:w="75"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Supplemental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costs related to common stock and warrants sold in registered offering</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measurement period adjustments to 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in 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7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in 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notes payable as partial settlement of contingent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7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warrants as partial settlement of contingent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1,509</w:t>
            </w:r>
          </w:p>
        </w:tc>
        <w:tc>
          <w:tcPr>
            <w:tcW w:w="7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Tenant allowance receivable recognized under lease incentive</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Supplemental disclosure information for cash flow</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7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prepaid expenses and other current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653" w:type="dxa"/>
        <w:jc w:val="left"/>
        <w:tblInd w:w="0" w:type="dxa"/>
        <w:tblLayout w:type="fixed"/>
        <w:tblCellMar>
          <w:top w:w="0" w:type="dxa"/>
          <w:left w:w="0" w:type="dxa"/>
          <w:bottom w:w="0" w:type="dxa"/>
          <w:right w:w="0" w:type="dxa"/>
        </w:tblCellMar>
      </w:tblPr>
      <w:tblGrid>
        <w:gridCol w:w="3500"/>
        <w:gridCol w:w="60"/>
        <w:gridCol w:w="148"/>
        <w:gridCol w:w="576"/>
        <w:gridCol w:w="60"/>
        <w:gridCol w:w="60"/>
        <w:gridCol w:w="240"/>
        <w:gridCol w:w="934"/>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Vendor, project and hardware prepayments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receivable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MAG reimbursement receivable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subscriptions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marketing</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other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receivables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SERIES A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Series A Redeemable Convertible Preferred Stock (“Series A Preferred”) ranks senior to the Company’s common stock with respect to dividend rights and rights upon liquidation. Each share has a liquidation preference equal to $1,000 per share plus accrued and unpaid dividends. The liquidation preference of the Series A Preferred totaled $31,025 as of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Series A Preferred bears cumulative dividends at a rate of 5.25% per annum on the stated value. Dividends accrue daily and compound quarterly beginning on </w:t>
      </w:r>
      <w:r>
        <w:rPr>
          <w:rStyle w:val="Emphasis"/>
          <w:rFonts w:ascii="Times New Roman" w:hAnsi="Times New Roman"/>
          <w:caps w:val="false"/>
          <w:smallCaps w:val="false"/>
          <w:sz w:val="20"/>
        </w:rPr>
        <w:t xml:space="preserve">November 6, 2025, </w:t>
      </w:r>
      <w:r>
        <w:rPr>
          <w:rFonts w:ascii="Times New Roman" w:hAnsi="Times New Roman"/>
          <w:caps w:val="false"/>
          <w:smallCaps w:val="false"/>
          <w:sz w:val="20"/>
        </w:rPr>
        <w:t xml:space="preserve">and accrue for a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-year period (the “Guaranteed Term”). Dividends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payable in cash during the Guaranteed Term, except at the Company’s option. Upon certain events occurring during the Guaranteed Term, including a liquidation, fundamental transaction (see below) or mandatory conversion, holders are entitled to a make-whole amount representing dividends that would have accrued through the end of the Guaranteed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Dividends are recorded as an increase to the carrying value of the Series A Preferred and as an adjustment to net loss attributable to common shareholders in the calculation of basic and diluted net (loss) income per common share. The Company recorded $401 and $792 in preferred dividends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respectively. The Series A Preferred was issued on </w:t>
      </w:r>
      <w:r>
        <w:rPr>
          <w:rStyle w:val="Emphasis"/>
          <w:rFonts w:ascii="Times New Roman" w:hAnsi="Times New Roman"/>
          <w:caps w:val="false"/>
          <w:smallCaps w:val="false"/>
          <w:sz w:val="20"/>
        </w:rPr>
        <w:t xml:space="preserve">November 6, 2025, </w:t>
      </w:r>
      <w:r>
        <w:rPr>
          <w:rFonts w:ascii="Times New Roman" w:hAnsi="Times New Roman"/>
          <w:caps w:val="false"/>
          <w:smallCaps w:val="false"/>
          <w:sz w:val="20"/>
        </w:rPr>
        <w:t xml:space="preserve">therefore there were no preferred dividends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Each share of Series A Preferred is convertible at the holder’s option into shares of common stock at a conversion price of $3.00 per share, subject to adjustment. The Series A Preferred was convertible into 10,342 and 10,077 shares of common stock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subject to a limitation preventing any holder from beneficially owning more than 19.99% of the outstanding common stock.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require the conversion of all outstanding shares of Series A Preferred on or after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issuance if specified operating results and common stock price conditions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Redemption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 fundamental transaction includes, among other events, a merger, consolidation, sale of substantially all assets, tender offer resulting in a change of control, recapitalization or similar transaction (a “Fundamental Transaction”). Upon the occurrence of a Fundamental Transaction, holders are entitled to receive the greater of (i) the liquidation preference, including accrued dividends and the make-whole amount, or (ii) the amount they would have received on an as-converted basis, based on the consideration paid per common share in the Fundamental Transaction or, if that consideration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cash, the market price of the common stock. The redemption amounts of the Series A Preferred, measured as if the balance sheet dates were the redemption dates, were $53,392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estimate using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-day VWAP of $4.11 subject to clause ii), and $38,940 as of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estimate using conversion price of $3.00 subject to clause i). The redemption amount will change in future periods as the market price of the common stock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Since the redemption of the Series A Preferred is contingently or optionally redeemable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certain to occur, the Series A Preferred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be classified as a liability under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w:t>
      </w:r>
      <w:r>
        <w:rPr>
          <w:rFonts w:ascii="Times New Roman" w:hAnsi="Times New Roman"/>
          <w:i/>
          <w:caps w:val="false"/>
          <w:smallCaps w:val="false"/>
          <w:sz w:val="20"/>
        </w:rPr>
        <w:t>Distinguishing Liabilities from Equity</w:t>
      </w:r>
      <w:r>
        <w:rPr>
          <w:rFonts w:ascii="Times New Roman" w:hAnsi="Times New Roman"/>
          <w:caps w:val="false"/>
          <w:smallCaps w:val="false"/>
          <w:sz w:val="20"/>
        </w:rPr>
        <w:t xml:space="preserve">. As the Series A Preferred is redeemable in certain circumstances upon the occurrence of an event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solely within the Company’s control, the Company has classified the Series A Preferred in temporary equity in the condensed consolidated balance sheets. Because redemption is contingent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probable,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accreted the carrying value to the redemption amount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connection with the issuance, the Company entered into a Registration Rights Agreement (the “Registration Rights Agreement”) requiring the Company to file and maintain an effective registration statement covering the resale of the shares of common stock issuable upon conversion. The Registration Rights Agreement provides for liquidated damages of up to 6% of the aggregate purchase price in the event of certain registration failures.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 no</w:t>
      </w:r>
      <w:r>
        <w:rPr>
          <w:rFonts w:ascii="Times New Roman" w:hAnsi="Times New Roman"/>
          <w:caps w:val="false"/>
          <w:smallCaps w:val="false"/>
          <w:sz w:val="20"/>
        </w:rPr>
        <w:t xml:space="preserve"> liability has been recorded related to these provisions because the Company has maintained an effective registration statement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 the payment of liquidated damages to be probable. The Company accounts for the Registration Rights Agreement as a separate unit of account in accordance with ASC </w:t>
      </w:r>
      <w:r>
        <w:rPr>
          <w:rStyle w:val="Emphasis"/>
          <w:rFonts w:ascii="Times New Roman" w:hAnsi="Times New Roman"/>
          <w:caps w:val="false"/>
          <w:smallCaps w:val="false"/>
          <w:sz w:val="20"/>
        </w:rPr>
        <w:t>825</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Registration Payment Arrangements</w:t>
      </w:r>
      <w:r>
        <w:rPr>
          <w:rFonts w:ascii="Times New Roman" w:hAnsi="Times New Roman"/>
          <w:caps w:val="false"/>
          <w:smallCaps w:val="false"/>
          <w:sz w:val="20"/>
        </w:rPr>
        <w:t>, and recognizes a liability when payment becomes probable and the amount is reasonably estimable.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accrued expenses and other current liabilities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423" w:type="dxa"/>
        <w:jc w:val="left"/>
        <w:tblInd w:w="0" w:type="dxa"/>
        <w:tblLayout w:type="fixed"/>
        <w:tblCellMar>
          <w:top w:w="0" w:type="dxa"/>
          <w:left w:w="0" w:type="dxa"/>
          <w:bottom w:w="0" w:type="dxa"/>
          <w:right w:w="0" w:type="dxa"/>
        </w:tblCellMar>
      </w:tblPr>
      <w:tblGrid>
        <w:gridCol w:w="2270"/>
        <w:gridCol w:w="60"/>
        <w:gridCol w:w="148"/>
        <w:gridCol w:w="576"/>
        <w:gridCol w:w="60"/>
        <w:gridCol w:w="60"/>
        <w:gridCol w:w="240"/>
        <w:gridCol w:w="934"/>
        <w:gridCol w:w="75"/>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use taxes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purchases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5" w:name="n9"/>
      <w:bookmarkEnd w:id="15"/>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debt consisted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02" w:type="dxa"/>
        <w:jc w:val="left"/>
        <w:tblInd w:w="0" w:type="dxa"/>
        <w:tblLayout w:type="fixed"/>
        <w:tblCellMar>
          <w:top w:w="0" w:type="dxa"/>
          <w:left w:w="0" w:type="dxa"/>
          <w:bottom w:w="0" w:type="dxa"/>
          <w:right w:w="0" w:type="dxa"/>
        </w:tblCellMar>
      </w:tblPr>
      <w:tblGrid>
        <w:gridCol w:w="3575"/>
        <w:gridCol w:w="875"/>
        <w:gridCol w:w="60"/>
        <w:gridCol w:w="875"/>
        <w:gridCol w:w="60"/>
        <w:gridCol w:w="126"/>
        <w:gridCol w:w="598"/>
        <w:gridCol w:w="60"/>
        <w:gridCol w:w="60"/>
        <w:gridCol w:w="204"/>
        <w:gridCol w:w="970"/>
        <w:gridCol w:w="60"/>
        <w:gridCol w:w="60"/>
        <w:gridCol w:w="174"/>
        <w:gridCol w:w="670"/>
        <w:gridCol w:w="75"/>
      </w:tblGrid>
      <w:tr>
        <w:trPr/>
        <w:tc>
          <w:tcPr>
            <w:tcW w:w="3575" w:type="dxa"/>
            <w:tcBorders/>
            <w:vAlign w:val="center"/>
          </w:tcPr>
          <w:p>
            <w:pPr>
              <w:pStyle w:val="TableContents"/>
              <w:bidi w:val="0"/>
              <w:spacing w:before="0" w:after="283"/>
              <w:ind w:left="0" w:right="0" w:hanging="0"/>
              <w:jc w:val="left"/>
              <w:rPr/>
            </w:pPr>
            <w:r>
              <w:rPr/>
              <w:t> </w:t>
            </w:r>
          </w:p>
        </w:tc>
        <w:tc>
          <w:tcPr>
            <w:tcW w:w="8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Issuance</w:t>
            </w:r>
          </w:p>
        </w:tc>
        <w:tc>
          <w:tcPr>
            <w:tcW w:w="60" w:type="dxa"/>
            <w:tcBorders/>
            <w:vAlign w:val="center"/>
          </w:tcPr>
          <w:p>
            <w:pPr>
              <w:pStyle w:val="TableContents"/>
              <w:bidi w:val="0"/>
              <w:spacing w:before="0" w:after="283"/>
              <w:ind w:left="0" w:right="0" w:hanging="0"/>
              <w:jc w:val="center"/>
              <w:rPr/>
            </w:pPr>
            <w:r>
              <w:rPr/>
              <w:t> </w:t>
            </w:r>
          </w:p>
        </w:tc>
        <w:tc>
          <w:tcPr>
            <w:tcW w:w="8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Maturity</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center"/>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Amended and Restated Credit Agreement:</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11/6/2025</w:t>
            </w:r>
          </w:p>
        </w:tc>
        <w:tc>
          <w:tcPr>
            <w:tcW w:w="60" w:type="dxa"/>
            <w:tcBorders/>
            <w:shd w:fill="FFFFFF" w:val="clear"/>
            <w:vAlign w:val="center"/>
          </w:tcPr>
          <w:p>
            <w:pPr>
              <w:pStyle w:val="TableContents"/>
              <w:bidi w:val="0"/>
              <w:spacing w:before="0" w:after="283"/>
              <w:ind w:left="0" w:right="0" w:hanging="0"/>
              <w:jc w:val="center"/>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11/6/2028</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See below</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Facility</w:t>
            </w:r>
          </w:p>
        </w:tc>
        <w:tc>
          <w:tcPr>
            <w:tcW w:w="8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11/6/2025</w:t>
            </w:r>
          </w:p>
        </w:tc>
        <w:tc>
          <w:tcPr>
            <w:tcW w:w="60" w:type="dxa"/>
            <w:tcBorders/>
            <w:shd w:fill="CCEEFF" w:val="clear"/>
            <w:vAlign w:val="center"/>
          </w:tcPr>
          <w:p>
            <w:pPr>
              <w:pStyle w:val="TableContents"/>
              <w:bidi w:val="0"/>
              <w:spacing w:before="0" w:after="283"/>
              <w:ind w:left="0" w:right="0" w:hanging="0"/>
              <w:jc w:val="center"/>
              <w:rPr/>
            </w:pPr>
            <w:r>
              <w:rPr/>
              <w:t> </w:t>
            </w:r>
          </w:p>
        </w:tc>
        <w:tc>
          <w:tcPr>
            <w:tcW w:w="8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11/6/2028</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4"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See below</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Promissory Note</w:t>
            </w:r>
          </w:p>
        </w:tc>
        <w:tc>
          <w:tcPr>
            <w:tcW w:w="8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3/14/2025</w:t>
            </w:r>
          </w:p>
        </w:tc>
        <w:tc>
          <w:tcPr>
            <w:tcW w:w="60" w:type="dxa"/>
            <w:tcBorders/>
            <w:shd w:fill="CCEEFF" w:val="clear"/>
            <w:vAlign w:val="center"/>
          </w:tcPr>
          <w:p>
            <w:pPr>
              <w:pStyle w:val="TableContents"/>
              <w:bidi w:val="0"/>
              <w:spacing w:before="0" w:after="283"/>
              <w:ind w:left="0" w:right="0" w:hanging="0"/>
              <w:jc w:val="center"/>
              <w:rPr/>
            </w:pPr>
            <w:r>
              <w:rPr/>
              <w:t> </w:t>
            </w:r>
          </w:p>
        </w:tc>
        <w:tc>
          <w:tcPr>
            <w:tcW w:w="8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9/14/2027</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14%</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85" w:type="dxa"/>
            <w:gridSpan w:val="4"/>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5385" w:type="dxa"/>
            <w:gridSpan w:val="4"/>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Less: debt issuance costs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5385" w:type="dxa"/>
            <w:gridSpan w:val="4"/>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debt, net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5385" w:type="dxa"/>
            <w:gridSpan w:val="4"/>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Less: current portion of debt, net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5385" w:type="dxa"/>
            <w:gridSpan w:val="4"/>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non-current portion of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Deferred financing costs related to the Revolving Credit Facility of $359 and $435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respectively, are included in other non-current assets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November 6, 2025 (</w:t>
      </w:r>
      <w:r>
        <w:rPr>
          <w:rFonts w:ascii="Times New Roman" w:hAnsi="Times New Roman"/>
          <w:caps w:val="false"/>
          <w:smallCaps w:val="false"/>
          <w:sz w:val="20"/>
        </w:rPr>
        <w:t>the “Refinancing Date”), the Company and certain of its subsidiaries entered into the Amended and Restated Credit Agreement (the “Amended Credit Agreement”), with FMB acting as agent (“Agent”), and a new syndicate of lenders (“Lenders”) which included FMB and </w:t>
      </w:r>
      <w:r>
        <w:rPr>
          <w:rStyle w:val="Emphasis"/>
          <w:rFonts w:ascii="Times New Roman" w:hAnsi="Times New Roman"/>
          <w:caps w:val="false"/>
          <w:smallCaps w:val="false"/>
          <w:sz w:val="20"/>
        </w:rPr>
        <w:t>two</w:t>
      </w:r>
      <w:r>
        <w:rPr>
          <w:rFonts w:ascii="Times New Roman" w:hAnsi="Times New Roman"/>
          <w:caps w:val="false"/>
          <w:smallCaps w:val="false"/>
          <w:sz w:val="20"/>
        </w:rPr>
        <w:t> additional creditors, Northwest Bank (“NWB”) and Axos Bank (“Axos”; together with NWB, the “New Lenders”). The Amended Credit Agreement provides the Company, CDMI and CDMUS (collectively, “Borrowers”) with </w:t>
      </w:r>
      <w:r>
        <w:rPr>
          <w:rStyle w:val="Emphasis"/>
          <w:rFonts w:ascii="Times New Roman" w:hAnsi="Times New Roman"/>
          <w:caps w:val="false"/>
          <w:smallCaps w:val="false"/>
          <w:sz w:val="20"/>
        </w:rPr>
        <w:t>two</w:t>
      </w:r>
      <w:r>
        <w:rPr>
          <w:rFonts w:ascii="Times New Roman" w:hAnsi="Times New Roman"/>
          <w:caps w:val="false"/>
          <w:smallCaps w:val="false"/>
          <w:sz w:val="20"/>
        </w:rPr>
        <w:t> debt facilities, including a </w:t>
      </w:r>
      <w:r>
        <w:rPr>
          <w:rStyle w:val="Emphasis"/>
          <w:rFonts w:ascii="Times New Roman" w:hAnsi="Times New Roman"/>
          <w:caps w:val="false"/>
          <w:smallCaps w:val="false"/>
          <w:sz w:val="20"/>
        </w:rPr>
        <w:t>three</w:t>
      </w:r>
      <w:r>
        <w:rPr>
          <w:rFonts w:ascii="Times New Roman" w:hAnsi="Times New Roman"/>
          <w:caps w:val="false"/>
          <w:smallCaps w:val="false"/>
          <w:sz w:val="20"/>
        </w:rPr>
        <w:t>-year term loan of $36,000 (the “Term Loan”) and a </w:t>
      </w:r>
      <w:r>
        <w:rPr>
          <w:rStyle w:val="Emphasis"/>
          <w:rFonts w:ascii="Times New Roman" w:hAnsi="Times New Roman"/>
          <w:caps w:val="false"/>
          <w:smallCaps w:val="false"/>
          <w:sz w:val="20"/>
        </w:rPr>
        <w:t>three</w:t>
      </w:r>
      <w:r>
        <w:rPr>
          <w:rFonts w:ascii="Times New Roman" w:hAnsi="Times New Roman"/>
          <w:caps w:val="false"/>
          <w:smallCaps w:val="false"/>
          <w:sz w:val="20"/>
        </w:rPr>
        <w:t>-year revolving debt arrangement of up to $22,500 (the “Revolving Credit Facility”). The Term Loan and Revolving Credit Facility have maturity dates of </w:t>
      </w:r>
      <w:r>
        <w:rPr>
          <w:rStyle w:val="Emphasis"/>
          <w:rFonts w:ascii="Times New Roman" w:hAnsi="Times New Roman"/>
          <w:caps w:val="false"/>
          <w:smallCaps w:val="false"/>
          <w:sz w:val="20"/>
        </w:rPr>
        <w:t xml:space="preserve"> November 6, 2028 (</w:t>
      </w:r>
      <w:r>
        <w:rPr>
          <w:rFonts w:ascii="Times New Roman" w:hAnsi="Times New Roman"/>
          <w:caps w:val="false"/>
          <w:smallCaps w:val="false"/>
          <w:sz w:val="20"/>
        </w:rPr>
        <w:t>the “Maturity Date”) and are secured by all the assets of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Additionally, monthly interest payments for both facilities of the Amended Credit Agreement are due and payable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successive calendar month following the Refinancing Date, which commenced on </w:t>
      </w:r>
      <w:r>
        <w:rPr>
          <w:rStyle w:val="Emphasis"/>
          <w:rFonts w:ascii="Times New Roman" w:hAnsi="Times New Roman"/>
          <w:caps w:val="false"/>
          <w:smallCaps w:val="false"/>
          <w:sz w:val="20"/>
        </w:rPr>
        <w:t xml:space="preserve">December 1, 2025, </w:t>
      </w:r>
      <w:r>
        <w:rPr>
          <w:rFonts w:ascii="Times New Roman" w:hAnsi="Times New Roman"/>
          <w:caps w:val="false"/>
          <w:smallCaps w:val="false"/>
          <w:sz w:val="20"/>
        </w:rPr>
        <w:t xml:space="preserve">at a rate equal to the sums of (a) the </w:t>
      </w:r>
      <w:r>
        <w:rPr>
          <w:rStyle w:val="Emphasis"/>
          <w:rFonts w:ascii="Times New Roman" w:hAnsi="Times New Roman"/>
          <w:caps w:val="false"/>
          <w:smallCaps w:val="false"/>
          <w:sz w:val="20"/>
        </w:rPr>
        <w:t>one</w:t>
      </w:r>
      <w:r>
        <w:rPr>
          <w:rFonts w:ascii="Times New Roman" w:hAnsi="Times New Roman"/>
          <w:caps w:val="false"/>
          <w:smallCaps w:val="false"/>
          <w:sz w:val="20"/>
        </w:rPr>
        <w:t>-month Term SOFR, (b) base rate of 0.11%; and (c) a floating margin ranging between (i) 2.75% to 3.25% for the Revolving Credit Facility, or (ii) 3.00% to 3.50% for the Term Loan, in each case adjusted quarterly based upon the Company’s Senior Funded Debt to EBITDA Ratio (as defined in the Amended Credit Agreement). The floating margin is computed as follows: </w:t>
      </w:r>
    </w:p>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665"/>
        <w:gridCol w:w="60"/>
        <w:gridCol w:w="755"/>
        <w:gridCol w:w="60"/>
        <w:gridCol w:w="126"/>
        <w:gridCol w:w="809"/>
        <w:gridCol w:w="60"/>
        <w:gridCol w:w="60"/>
        <w:gridCol w:w="126"/>
        <w:gridCol w:w="809"/>
        <w:gridCol w:w="75"/>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Margin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Senior</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Applicable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rStyle w:val="Emphasis"/>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Debt to</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Margin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Pricing</w:t>
            </w:r>
          </w:p>
        </w:tc>
        <w:tc>
          <w:tcPr>
            <w:tcW w:w="60"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Adjusted</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Revolving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Applicable</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Grid</w:t>
            </w:r>
          </w:p>
        </w:tc>
        <w:tc>
          <w:tcPr>
            <w:tcW w:w="60"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EBITDA</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Credit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the</w:t>
            </w:r>
          </w:p>
        </w:tc>
        <w:tc>
          <w:tcPr>
            <w:tcW w:w="75" w:type="dxa"/>
            <w:tcBorders/>
            <w:vAlign w:val="center"/>
          </w:tcPr>
          <w:p>
            <w:pPr>
              <w:pStyle w:val="TableContents"/>
              <w:bidi w:val="0"/>
              <w:spacing w:before="0" w:after="283"/>
              <w:jc w:val="left"/>
              <w:rPr/>
            </w:pPr>
            <w:r>
              <w:rPr/>
              <w:t> </w:t>
            </w:r>
          </w:p>
        </w:tc>
      </w:tr>
      <w:tr>
        <w:trPr/>
        <w:tc>
          <w:tcPr>
            <w:tcW w:w="6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w:t>
            </w:r>
          </w:p>
        </w:tc>
        <w:tc>
          <w:tcPr>
            <w:tcW w:w="60" w:type="dxa"/>
            <w:tcBorders/>
            <w:vAlign w:val="center"/>
          </w:tcPr>
          <w:p>
            <w:pPr>
              <w:pStyle w:val="TableContents"/>
              <w:bidi w:val="0"/>
              <w:spacing w:before="0" w:after="283"/>
              <w:ind w:left="0" w:right="0" w:hanging="0"/>
              <w:jc w:val="lef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Ratio</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Advances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 Loan</w:t>
            </w:r>
          </w:p>
        </w:tc>
        <w:tc>
          <w:tcPr>
            <w:tcW w:w="75" w:type="dxa"/>
            <w:tcBorders/>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 2.50x</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3.00%</w:t>
            </w:r>
          </w:p>
        </w:tc>
        <w:tc>
          <w:tcPr>
            <w:tcW w:w="75" w:type="dxa"/>
            <w:tcBorders/>
            <w:shd w:fill="CCEEFF" w:val="clear"/>
            <w:vAlign w:val="center"/>
          </w:tcPr>
          <w:p>
            <w:pPr>
              <w:pStyle w:val="TableContents"/>
              <w:bidi w:val="0"/>
              <w:spacing w:before="0" w:after="283"/>
              <w:jc w:val="left"/>
              <w:rPr/>
            </w:pPr>
            <w:r>
              <w:rPr/>
              <w:t> </w:t>
            </w:r>
          </w:p>
        </w:tc>
      </w:tr>
      <w:tr>
        <w:trPr/>
        <w:tc>
          <w:tcPr>
            <w:tcW w:w="6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&gt;</w:t>
            </w:r>
            <w:r>
              <w:rPr>
                <w:rFonts w:ascii="Times New Roman;Times;serif" w:hAnsi="Times New Roman;Times;serif"/>
                <w:caps w:val="false"/>
                <w:smallCaps w:val="false"/>
                <w:sz w:val="20"/>
              </w:rPr>
              <w:t xml:space="preserve"> 2.50x</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16, 2026, </w:t>
      </w:r>
      <w:r>
        <w:rPr>
          <w:rFonts w:ascii="Times New Roman" w:hAnsi="Times New Roman"/>
          <w:caps w:val="false"/>
          <w:smallCaps w:val="false"/>
          <w:sz w:val="20"/>
        </w:rPr>
        <w:t xml:space="preserve">and in conjunction with the Warrant Repurchase Agreement (see </w:t>
      </w:r>
      <w:hyperlink w:anchor="n13">
        <w:r>
          <w:rPr>
            <w:rStyle w:val="InternetLink"/>
            <w:rFonts w:ascii="Times New Roman" w:hAnsi="Times New Roman"/>
            <w:caps w:val="false"/>
            <w:smallCaps w:val="false"/>
            <w:sz w:val="20"/>
          </w:rPr>
          <w:t xml:space="preserve">Note </w:t>
        </w:r>
      </w:hyperlink>
      <w:hyperlink w:anchor="n13">
        <w:r>
          <w:rPr>
            <w:rStyle w:val="InternetLink"/>
            <w:rFonts w:ascii="Times New Roman" w:hAnsi="Times New Roman"/>
            <w:i/>
            <w:i/>
            <w:iCs/>
            <w:caps w:val="false"/>
            <w:smallCaps w:val="false"/>
            <w:sz w:val="20"/>
          </w:rPr>
          <w:t>13</w:t>
        </w:r>
      </w:hyperlink>
      <w:r>
        <w:rPr>
          <w:rFonts w:ascii="Times New Roman" w:hAnsi="Times New Roman"/>
          <w:caps w:val="false"/>
          <w:smallCaps w:val="false"/>
          <w:sz w:val="20"/>
        </w:rPr>
        <w:t xml:space="preserve">), the Company and certain of its subsidiaries entered into a First Amendment to Amended and Restated Credit Agreement (the “Amendment”) with the Lenders and FMB as Agent for the Lenders. Pursuant to the Amendment, the Agent and Lenders provided requisite consent to the Company for the Warrant Repurchase and the parties agreed that payment of the Warrant Repurchase price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 the amount of “Excess Cash Flow” of the Company for purposes of determining certain Company prepayment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26, 2026, </w:t>
      </w:r>
      <w:r>
        <w:rPr>
          <w:rFonts w:ascii="Times New Roman" w:hAnsi="Times New Roman"/>
          <w:caps w:val="false"/>
          <w:smallCaps w:val="false"/>
          <w:sz w:val="20"/>
        </w:rPr>
        <w:t xml:space="preserve">the Agent and the Lenders provided the requisite consent under the Amended Credit Agreement for the Company to complete its underwritten public offering of common stock (see </w:t>
      </w:r>
      <w:hyperlink w:anchor="n12">
        <w:r>
          <w:rPr>
            <w:rStyle w:val="InternetLink"/>
            <w:rFonts w:ascii="Times New Roman" w:hAnsi="Times New Roman"/>
            <w:caps w:val="false"/>
            <w:smallCaps w:val="false"/>
            <w:sz w:val="20"/>
          </w:rPr>
          <w:t xml:space="preserve">Note </w:t>
        </w:r>
      </w:hyperlink>
      <w:hyperlink w:anchor="n12">
        <w:r>
          <w:rPr>
            <w:rStyle w:val="InternetLink"/>
            <w:rFonts w:ascii="Times New Roman" w:hAnsi="Times New Roman"/>
            <w:i/>
            <w:i/>
            <w:iCs/>
            <w:caps w:val="false"/>
            <w:smallCaps w:val="false"/>
            <w:sz w:val="20"/>
          </w:rPr>
          <w:t>12</w:t>
        </w:r>
      </w:hyperlink>
      <w:r>
        <w:rPr>
          <w:rFonts w:ascii="Times New Roman" w:hAnsi="Times New Roman"/>
          <w:caps w:val="false"/>
          <w:smallCaps w:val="false"/>
          <w:sz w:val="20"/>
        </w:rPr>
        <w:t xml:space="preserve">) and pre-funded warrants (see </w:t>
      </w:r>
      <w:hyperlink w:anchor="n13">
        <w:r>
          <w:rPr>
            <w:rStyle w:val="InternetLink"/>
            <w:rFonts w:ascii="Times New Roman" w:hAnsi="Times New Roman"/>
            <w:caps w:val="false"/>
            <w:smallCaps w:val="false"/>
            <w:sz w:val="20"/>
          </w:rPr>
          <w:t xml:space="preserve">Note </w:t>
        </w:r>
      </w:hyperlink>
      <w:hyperlink w:anchor="n13">
        <w:r>
          <w:rPr>
            <w:rStyle w:val="InternetLink"/>
            <w:rFonts w:ascii="Times New Roman" w:hAnsi="Times New Roman"/>
            <w:i/>
            <w:i/>
            <w:iCs/>
            <w:caps w:val="false"/>
            <w:smallCaps w:val="false"/>
            <w:sz w:val="20"/>
          </w:rPr>
          <w:t>13</w:t>
        </w:r>
      </w:hyperlink>
      <w:r>
        <w:rPr>
          <w:rFonts w:ascii="Times New Roman" w:hAnsi="Times New Roman"/>
          <w:caps w:val="false"/>
          <w:smallCaps w:val="false"/>
          <w:sz w:val="20"/>
        </w:rPr>
        <w:t xml:space="preserve">). The consent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amend or waive any other provision of the Amended Credit Agreement, and the net proceeds of the offering were used to prepay borrowings of debt under the Amended Credit Agreement on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 xml:space="preserve">in accordance with the existing terms thereof (see </w:t>
      </w:r>
      <w:hyperlink w:anchor="n17">
        <w:r>
          <w:rPr>
            <w:rStyle w:val="InternetLink"/>
            <w:rFonts w:ascii="Times New Roman" w:hAnsi="Times New Roman"/>
            <w:caps w:val="false"/>
            <w:smallCaps w:val="false"/>
            <w:sz w:val="20"/>
          </w:rPr>
          <w:t xml:space="preserve">Note </w:t>
        </w:r>
      </w:hyperlink>
      <w:hyperlink w:anchor="n17">
        <w:r>
          <w:rPr>
            <w:rStyle w:val="InternetLink"/>
            <w:rFonts w:ascii="Times New Roman" w:hAnsi="Times New Roman"/>
            <w:i/>
            <w:i/>
            <w:iCs/>
            <w:caps w:val="false"/>
            <w:smallCaps w:val="false"/>
            <w:sz w:val="20"/>
          </w:rPr>
          <w:t>17</w:t>
        </w:r>
      </w:hyperlink>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recorded amortization of debt discount on the Term Loan of $87, and amortization of deferred financing costs on the Revolving Credit Facility of $76, recorded as interest expense in the Company's condensed consolidated statements of operations.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 Company recorded amortization of deferred financing costs on its prior revolving credit facility of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repaid $1,800 in principal related to the Term Loan.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borrowed $18,222 and repaid $13,418 under the Revolving Credit Facility.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Company borrowed $18,334 and repaid $15,285 under the prior revolving credit facility.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remaining available amount under the Revolving Credit Facility was $12,756.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Promissory Note was issued on </w:t>
      </w:r>
      <w:r>
        <w:rPr>
          <w:rStyle w:val="Emphasis"/>
          <w:rFonts w:ascii="Times New Roman" w:hAnsi="Times New Roman"/>
          <w:caps w:val="false"/>
          <w:smallCaps w:val="false"/>
          <w:sz w:val="20"/>
        </w:rPr>
        <w:t xml:space="preserve">March 14, 2025 </w:t>
      </w:r>
      <w:r>
        <w:rPr>
          <w:rFonts w:ascii="Times New Roman" w:hAnsi="Times New Roman"/>
          <w:caps w:val="false"/>
          <w:smallCaps w:val="false"/>
          <w:sz w:val="20"/>
        </w:rPr>
        <w:t xml:space="preserve">as part of the Settlement Agreement to resolve a contingent consideration liability. It is an unsecured obligation of the Company. The Promissory Note bears interest at a fixed annual rate of 14.0% (the “Interest Rate”). In the event of a default (as defined in the Promissory Note), or during any period of non-payment caused by restrictions under the Subordination Agreement (as defined below), the interest rate increases to 17.0% per annum (the “Default Rate”). Commencing </w:t>
      </w:r>
      <w:r>
        <w:rPr>
          <w:rStyle w:val="Emphasis"/>
          <w:rFonts w:ascii="Times New Roman" w:hAnsi="Times New Roman"/>
          <w:caps w:val="false"/>
          <w:smallCaps w:val="false"/>
          <w:sz w:val="20"/>
        </w:rPr>
        <w:t xml:space="preserve">October 14, 2025, </w:t>
      </w:r>
      <w:r>
        <w:rPr>
          <w:rFonts w:ascii="Times New Roman" w:hAnsi="Times New Roman"/>
          <w:caps w:val="false"/>
          <w:smallCaps w:val="false"/>
          <w:sz w:val="20"/>
        </w:rPr>
        <w:t xml:space="preserve">the Company is required to pay principal and interest in accordance with an amortization schedule that requires equal monthly payments of $109 on the </w:t>
      </w:r>
      <w:r>
        <w:rPr>
          <w:rStyle w:val="Emphasis"/>
          <w:rFonts w:ascii="Times New Roman" w:hAnsi="Times New Roman"/>
          <w:caps w:val="false"/>
          <w:smallCaps w:val="false"/>
          <w:sz w:val="20"/>
        </w:rPr>
        <w:t>14th</w:t>
      </w:r>
      <w:r>
        <w:rPr>
          <w:rFonts w:ascii="Times New Roman" w:hAnsi="Times New Roman"/>
          <w:caps w:val="false"/>
          <w:smallCaps w:val="false"/>
          <w:sz w:val="20"/>
        </w:rPr>
        <w:t xml:space="preserve"> day of each calendar month through maturity on </w:t>
      </w:r>
      <w:r>
        <w:rPr>
          <w:rStyle w:val="Emphasis"/>
          <w:rFonts w:ascii="Times New Roman" w:hAnsi="Times New Roman"/>
          <w:caps w:val="false"/>
          <w:smallCaps w:val="false"/>
          <w:sz w:val="20"/>
        </w:rPr>
        <w:t xml:space="preserve">September 14, 2027. </w:t>
      </w:r>
      <w:r>
        <w:rPr>
          <w:rFonts w:ascii="Times New Roman" w:hAnsi="Times New Roman"/>
          <w:caps w:val="false"/>
          <w:smallCaps w:val="false"/>
          <w:sz w:val="20"/>
        </w:rPr>
        <w:t xml:space="preserve">On the maturity date, the Company is required to make a final balloon payment of $2,386, representing the remaining principal and accrued but unpaid interest outstanding at maturity.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made principal repayments of $401 on the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Stockholders' Representative's rights under the Promissory Note are subject to a Subordination Agreement dated </w:t>
      </w:r>
      <w:r>
        <w:rPr>
          <w:rStyle w:val="Emphasis"/>
          <w:rFonts w:ascii="Times New Roman" w:hAnsi="Times New Roman"/>
          <w:caps w:val="false"/>
          <w:smallCaps w:val="false"/>
          <w:sz w:val="20"/>
        </w:rPr>
        <w:t xml:space="preserve">March 14, 2025, </w:t>
      </w:r>
      <w:r>
        <w:rPr>
          <w:rFonts w:ascii="Times New Roman" w:hAnsi="Times New Roman"/>
          <w:caps w:val="false"/>
          <w:smallCaps w:val="false"/>
          <w:sz w:val="20"/>
        </w:rPr>
        <w:t xml:space="preserve">by and among the Company, FMB and the Stockholders' Representative (the “Subordination Agreement”). Under the terms of the Subordination Agreement, during any period in which an event of default exists under the Amended Credit Agreement, the Company is prohibited from making any payments on the Promissory Note unless FMB provides prior written consent, and the Stockholders' Representative is prohibited from accepting or enforcing any payments during the subordination period.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is in compliance with the monthly required payments of the Promissory Note and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party to any material legal proceedings, other than ordinary routine litigation incidental to the business, and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such proceedings pending during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deferred tax assets are primarily related to net federal and state operating loss carryforwards (“NOLs”). The Company has substantial NOLs that are limited in usage by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generally imposes an annual limitation on the amount of NOLs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to offset taxable income when a corporation has undergone significant changes in stock ownership within a statutory testing period. The Company has performed a preliminary analysis of the annual NOL carryforwards and limitations that are available to be used against taxable income. Deferred tax assets are evaluated quarterly for recoverability based on available positive and negative evidence. Based on the history of losses the Company continues to maintain a full valuation allowance against U.S. deferred tax assets with definite lives as management determined that realization of such assets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threshold. In Canada, while CDM is in an overall net deferred tax liability position, a partial valuation allowance has been established against specific net operating loss carryforwards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realized due to statutory restrictions and limitations on future utilization.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interim periods, the Company has historically utilized the estimated annual effective tax rate method under which the Company determined its provision for income taxes based on the current estimate of its annual effective tax rate.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utilized the discrete effective tax rate method, as allowed under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w:t>
      </w:r>
      <w:r>
        <w:rPr>
          <w:rFonts w:ascii="Times New Roman" w:hAnsi="Times New Roman"/>
          <w:i/>
          <w:caps w:val="false"/>
          <w:smallCaps w:val="false"/>
          <w:sz w:val="20"/>
        </w:rPr>
        <w:t>Interim Reporting</w:t>
      </w:r>
      <w:r>
        <w:rPr>
          <w:rFonts w:ascii="Times New Roman" w:hAnsi="Times New Roman"/>
          <w:caps w:val="false"/>
          <w:smallCaps w:val="false"/>
          <w:sz w:val="20"/>
        </w:rPr>
        <w:t xml:space="preserve"> when the application of the estimated annual tax rate method is impractical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 reliable estimate of the annual effective tax rate. The discrete method treats the year-to-date period as if it were the annual period and determines the interim income taxes on that basis. The Company determined that since small changes in estimated annual pre-tax (loss) income would result in significant changes in the estimated annual effective tax rate and significant variations in the customary relationship between the benefit (expense) from income taxes and pre-tax accounting (loss) income, the historical method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 reliable estimate of the effective tax rate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will reevaluate the use of this method until the Company believes a return to the estimated annual effective tax rate method is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recorded income tax benefit of $315 and $26,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recorded income tax benefit (expense) of $845 and ($73), respectively.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net deferred tax liabilities were $627 after valuation allowance, compared to net tax liabilities of $3,541 at </w:t>
      </w:r>
      <w:r>
        <w:rPr>
          <w:rStyle w:val="Emphasis"/>
          <w:rFonts w:ascii="Times New Roman" w:hAnsi="Times New Roman"/>
          <w:caps w:val="false"/>
          <w:smallCaps w:val="false"/>
          <w:sz w:val="20"/>
        </w:rPr>
        <w:t>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bookmarkStart w:id="16" w:name="n12"/>
      <w:bookmarkEnd w:id="16"/>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 xml:space="preserve">June 2026 </w:t>
      </w:r>
      <w:r>
        <w:rPr>
          <w:rFonts w:ascii="Times New Roman" w:hAnsi="Times New Roman"/>
          <w:b/>
          <w:caps w:val="false"/>
          <w:smallCaps w:val="false"/>
          <w:sz w:val="20"/>
        </w:rPr>
        <w:t>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completed an underwritten public offering of 2,528,571 shares of common stock at a public offering price of $3.50 per share and pre-funded warrants to purchase 900,000 shares of common stock at a public offering price of $3.49 per pre-funded warrant (see </w:t>
      </w:r>
      <w:hyperlink w:anchor="n13">
        <w:r>
          <w:rPr>
            <w:rStyle w:val="InternetLink"/>
            <w:rFonts w:ascii="Times New Roman" w:hAnsi="Times New Roman"/>
            <w:caps w:val="false"/>
            <w:smallCaps w:val="false"/>
            <w:sz w:val="20"/>
          </w:rPr>
          <w:t xml:space="preserve">Note </w:t>
        </w:r>
      </w:hyperlink>
      <w:hyperlink w:anchor="n13">
        <w:r>
          <w:rPr>
            <w:rStyle w:val="InternetLink"/>
            <w:rFonts w:ascii="Times New Roman" w:hAnsi="Times New Roman"/>
            <w:i/>
            <w:i/>
            <w:iCs/>
            <w:caps w:val="false"/>
            <w:smallCaps w:val="false"/>
            <w:sz w:val="20"/>
          </w:rPr>
          <w:t>13</w:t>
        </w:r>
      </w:hyperlink>
      <w:r>
        <w:rPr>
          <w:rFonts w:ascii="Times New Roman" w:hAnsi="Times New Roman"/>
          <w:caps w:val="false"/>
          <w:smallCaps w:val="false"/>
          <w:sz w:val="20"/>
        </w:rPr>
        <w:t>). The offering was made pursuant to the Company’s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(SEC File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296498</w:t>
      </w:r>
      <w:r>
        <w:rPr>
          <w:rFonts w:ascii="Times New Roman" w:hAnsi="Times New Roman"/>
          <w:caps w:val="false"/>
          <w:smallCaps w:val="false"/>
          <w:sz w:val="20"/>
        </w:rPr>
        <w:t xml:space="preserve">), which was declared effective on </w:t>
      </w:r>
      <w:r>
        <w:rPr>
          <w:rStyle w:val="Emphasis"/>
          <w:rFonts w:ascii="Times New Roman" w:hAnsi="Times New Roman"/>
          <w:caps w:val="false"/>
          <w:smallCaps w:val="false"/>
          <w:sz w:val="20"/>
        </w:rPr>
        <w:t xml:space="preserve">June 16, 2026, </w:t>
      </w:r>
      <w:r>
        <w:rPr>
          <w:rFonts w:ascii="Times New Roman" w:hAnsi="Times New Roman"/>
          <w:caps w:val="false"/>
          <w:smallCaps w:val="false"/>
          <w:sz w:val="20"/>
        </w:rPr>
        <w:t xml:space="preserve">and a related prospectus supplement dated </w:t>
      </w:r>
      <w:r>
        <w:rPr>
          <w:rStyle w:val="Emphasis"/>
          <w:rFonts w:ascii="Times New Roman" w:hAnsi="Times New Roman"/>
          <w:caps w:val="false"/>
          <w:smallCaps w:val="false"/>
          <w:sz w:val="20"/>
        </w:rPr>
        <w:t xml:space="preserve">June 29, 2026. </w:t>
      </w:r>
      <w:r>
        <w:rPr>
          <w:rFonts w:ascii="Times New Roman" w:hAnsi="Times New Roman"/>
          <w:caps w:val="false"/>
          <w:smallCaps w:val="false"/>
          <w:sz w:val="20"/>
        </w:rPr>
        <w:t xml:space="preserve">The Company received net proceeds from the offering of $10,784, after deducting underwriting discounts and commissions and estimated offering expenses payable by the Company. In connection with the offering, the Company granted the underwriter a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option to purchase up to 428,614 additional shares of common stock at the public offering price, less underwriting discounts and commissions. The option was unexercised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see </w:t>
      </w:r>
      <w:hyperlink w:anchor="n17">
        <w:r>
          <w:rPr>
            <w:rStyle w:val="InternetLink"/>
            <w:rFonts w:ascii="Times New Roman" w:hAnsi="Times New Roman"/>
            <w:caps w:val="false"/>
            <w:smallCaps w:val="false"/>
            <w:sz w:val="20"/>
          </w:rPr>
          <w:t xml:space="preserve">Note </w:t>
        </w:r>
      </w:hyperlink>
      <w:hyperlink w:anchor="n17">
        <w:r>
          <w:rPr>
            <w:rStyle w:val="InternetLink"/>
            <w:rFonts w:ascii="Times New Roman" w:hAnsi="Times New Roman"/>
            <w:i/>
            <w:i/>
            <w:iCs/>
            <w:caps w:val="false"/>
            <w:smallCaps w:val="false"/>
            <w:sz w:val="20"/>
          </w:rPr>
          <w:t>17</w:t>
        </w:r>
      </w:hyperlink>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Warrant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holders of 19,004 warrants with an exercise price of $3.25 per share exercised their rights to purchase shares of the Company’s common stock, par value $0.01 per share, on a cashless basis, resulting in the issuances of 2,656 shares. The Company received no cash proceeds from these exercises.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7" w:name="n13"/>
      <w:bookmarkEnd w:id="17"/>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had outstanding warrants classified as equity instruments in the Company’s condensed consolidated financial statements totaling 3,614,299 shares and 5,364,802 shares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in each case excluding the Pre-Funded Warrants described below. The weighted average exercise price of the outstanding warrants was $4.02 and $4.66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The weighted average remaining contractual life of the outstanding warrants was 2.25 and 2.55 years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The decrease in outstanding warrants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is attributable to the repurchase and cancellation of the Warrant exercisable for 1,731,499 shares described below and the cashless exercises of 19,004 warrants (see </w:t>
      </w:r>
      <w:hyperlink w:anchor="n12">
        <w:r>
          <w:rPr>
            <w:rStyle w:val="InternetLink"/>
            <w:rFonts w:ascii="Times New Roman" w:hAnsi="Times New Roman"/>
            <w:caps w:val="false"/>
            <w:smallCaps w:val="false"/>
            <w:sz w:val="20"/>
          </w:rPr>
          <w:t xml:space="preserve">Note </w:t>
        </w:r>
      </w:hyperlink>
      <w:hyperlink w:anchor="n12">
        <w:r>
          <w:rPr>
            <w:rStyle w:val="InternetLink"/>
            <w:rFonts w:ascii="Times New Roman" w:hAnsi="Times New Roman"/>
            <w:i/>
            <w:i/>
            <w:iCs/>
            <w:caps w:val="false"/>
            <w:smallCaps w:val="false"/>
            <w:sz w:val="20"/>
          </w:rPr>
          <w:t>12</w:t>
        </w:r>
      </w:hyperlink>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16, 2026, </w:t>
      </w:r>
      <w:r>
        <w:rPr>
          <w:rFonts w:ascii="Times New Roman" w:hAnsi="Times New Roman"/>
          <w:caps w:val="false"/>
          <w:smallCaps w:val="false"/>
          <w:sz w:val="20"/>
        </w:rPr>
        <w:t xml:space="preserve">the Company entered into a Warrant Repurchase Agreement (the “Warrant Repurchase Agreement”) with Slipstream Communications, LLC (the “Warrant Holder”). Under the Warrant Repurchase Agreement, the Company agreed to repurchase from the Warrant Holder a warrant (the “Warrant”) to purchase shares of the Company’s common stock, par value $0.01 per share (the “Common Stock”), for an aggregate repurchase price of $200.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repurchase feature in the Warrant that would have impacted the equity classification of the Warrant while outstanding. The repurchase was negotiated between the parties in a separate transaction. The Warrant was initially issued to the Warrant Holder pursuant to a Second Amended and Restated Loan and Security Agreement, dated as of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 xml:space="preserve">by and among the Company, the Warrant Holder and the other signatories thereto and was subsequently amended and restated twice, as of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and as of </w:t>
      </w:r>
      <w:r>
        <w:rPr>
          <w:rStyle w:val="Emphasis"/>
          <w:rFonts w:ascii="Times New Roman" w:hAnsi="Times New Roman"/>
          <w:caps w:val="false"/>
          <w:smallCaps w:val="false"/>
          <w:sz w:val="20"/>
        </w:rPr>
        <w:t xml:space="preserve">October 17, 2024, </w:t>
      </w:r>
      <w:r>
        <w:rPr>
          <w:rFonts w:ascii="Times New Roman" w:hAnsi="Times New Roman"/>
          <w:caps w:val="false"/>
          <w:smallCaps w:val="false"/>
          <w:sz w:val="20"/>
        </w:rPr>
        <w:t xml:space="preserve">respectively. As amended and restated, the Warrant was exercisable for up to an aggregate of 1,731,499 shares of Common Stock (the “Warrant Shares”) at an exercise price per Warrant Share equal to $6.00. The closing of the Warrant Repurchase was completed on </w:t>
      </w:r>
      <w:r>
        <w:rPr>
          <w:rStyle w:val="Emphasis"/>
          <w:rFonts w:ascii="Times New Roman" w:hAnsi="Times New Roman"/>
          <w:caps w:val="false"/>
          <w:smallCaps w:val="false"/>
          <w:sz w:val="20"/>
        </w:rPr>
        <w:t xml:space="preserve">February 17, 2026. </w:t>
      </w:r>
      <w:r>
        <w:rPr>
          <w:rFonts w:ascii="Times New Roman" w:hAnsi="Times New Roman"/>
          <w:caps w:val="false"/>
          <w:smallCaps w:val="false"/>
          <w:sz w:val="20"/>
        </w:rPr>
        <w:t xml:space="preserve">Upon settlement of the transaction, the Warrant was cancelled and is of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in connection with the public offering described in </w:t>
      </w:r>
      <w:hyperlink w:anchor="n12">
        <w:r>
          <w:rPr>
            <w:rStyle w:val="InternetLink"/>
            <w:rFonts w:ascii="Times New Roman" w:hAnsi="Times New Roman"/>
            <w:caps w:val="false"/>
            <w:smallCaps w:val="false"/>
            <w:sz w:val="20"/>
          </w:rPr>
          <w:t xml:space="preserve">Note </w:t>
        </w:r>
      </w:hyperlink>
      <w:hyperlink w:anchor="n12">
        <w:r>
          <w:rPr>
            <w:rStyle w:val="InternetLink"/>
            <w:rFonts w:ascii="Times New Roman" w:hAnsi="Times New Roman"/>
            <w:i/>
            <w:i/>
            <w:iCs/>
            <w:caps w:val="false"/>
            <w:smallCaps w:val="false"/>
            <w:sz w:val="20"/>
          </w:rPr>
          <w:t>12</w:t>
        </w:r>
      </w:hyperlink>
      <w:r>
        <w:rPr>
          <w:rFonts w:ascii="Times New Roman" w:hAnsi="Times New Roman"/>
          <w:caps w:val="false"/>
          <w:smallCaps w:val="false"/>
          <w:sz w:val="20"/>
        </w:rPr>
        <w:t xml:space="preserve">, the Company issued pre-funded warrants to purchase 900,000 shares of common stock (the “Pre-Funded Warrants”) at an exercise price of $0.01 per share. The Pre-Funded Warrants are exercisable immediately,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expiration date,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exercised at the holder’s election on a cashless basis. Exercise of the Pre-Funded Warrants is subject to a 4.99% beneficial ownership limitation, which a holder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increase to 9.99% upon </w:t>
      </w:r>
      <w:r>
        <w:rPr>
          <w:rStyle w:val="Emphasis"/>
          <w:rFonts w:ascii="Times New Roman" w:hAnsi="Times New Roman"/>
          <w:caps w:val="false"/>
          <w:smallCaps w:val="false"/>
          <w:sz w:val="20"/>
        </w:rPr>
        <w:t>61</w:t>
      </w:r>
      <w:r>
        <w:rPr>
          <w:rFonts w:ascii="Times New Roman" w:hAnsi="Times New Roman"/>
          <w:caps w:val="false"/>
          <w:smallCaps w:val="false"/>
          <w:sz w:val="20"/>
        </w:rPr>
        <w:t xml:space="preserve"> days’ notice to the Company. The Pre-Funded Warrants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any other provisions except for certain standard anti-dilution provisions subject to adjustments as a result of stock dividends, stock splits, stock combinations, or stock recapitalizations, and meet the criteria for equity classification. Accordingly, the Company recorded additional paid-in capital in an amount equal to net proceeds of $2,811, which was comprised of gross proceeds of $3,141 and issuance costs of $330, and is included in the total net proceeds from the offering of $10,784 disclosed in </w:t>
      </w:r>
      <w:hyperlink w:anchor="n12">
        <w:r>
          <w:rPr>
            <w:rStyle w:val="InternetLink"/>
            <w:rFonts w:ascii="Times New Roman" w:hAnsi="Times New Roman"/>
            <w:caps w:val="false"/>
            <w:smallCaps w:val="false"/>
            <w:sz w:val="20"/>
          </w:rPr>
          <w:t xml:space="preserve">Note </w:t>
        </w:r>
      </w:hyperlink>
      <w:hyperlink w:anchor="n12">
        <w:r>
          <w:rPr>
            <w:rStyle w:val="InternetLink"/>
            <w:rFonts w:ascii="Times New Roman" w:hAnsi="Times New Roman"/>
            <w:i/>
            <w:i/>
            <w:iCs/>
            <w:caps w:val="false"/>
            <w:smallCaps w:val="false"/>
            <w:sz w:val="20"/>
          </w:rPr>
          <w:t>12</w:t>
        </w:r>
      </w:hyperlink>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There were no exercises of the Pre-Funded Warrants from issuance through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900,000 remained outstanding as of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Time Vesting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 2025, </w:t>
      </w:r>
      <w:r>
        <w:rPr>
          <w:rFonts w:ascii="Times New Roman" w:hAnsi="Times New Roman"/>
          <w:caps w:val="false"/>
          <w:smallCaps w:val="false"/>
          <w:sz w:val="20"/>
        </w:rPr>
        <w:t xml:space="preserve">the Company granted stock options to purchase an aggregate of 567,500 shares of common stock to employees pursuant to the Company’s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which was previously approved by shareholders. The options have an exercise price of $1.95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96%, expected term of 6.5 years, risk-free interest rate of 4.00%, dividend yield of 0%, and the Company’s stock price of $1.95 as of the valuation date. The awards are recognized as stock-based compensation expense on a straight-line basis over the requisite service period in accordance with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Compensation - Stock Compensation</w:t>
      </w:r>
      <w:r>
        <w:rPr>
          <w:rFonts w:ascii="Times New Roman" w:hAnsi="Times New Roman"/>
          <w:caps w:val="false"/>
          <w:smallCaps w:val="false"/>
          <w:sz w:val="20"/>
        </w:rPr>
        <w:t xml:space="preserve"> based on the grant-date fair value of the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 2025, </w:t>
      </w:r>
      <w:r>
        <w:rPr>
          <w:rFonts w:ascii="Times New Roman" w:hAnsi="Times New Roman"/>
          <w:caps w:val="false"/>
          <w:smallCaps w:val="false"/>
          <w:sz w:val="20"/>
        </w:rPr>
        <w:t xml:space="preserve">the Company granted stock options to purchase an aggregate of 378,000 shares of common stock to employees under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The options have an exercise price of $3.05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94%, expected term of 6.5 years, risk-free interest rate of 4.17%, dividend yield of 0%, and the Company’s stock price of $3.05 as of the valuation date. The awards are recognized as stock-based compensation expense on a straight-line basis over the requisite service period in accordance with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based on the grant-date fair value of the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17, 2026, </w:t>
      </w:r>
      <w:r>
        <w:rPr>
          <w:rFonts w:ascii="Times New Roman" w:hAnsi="Times New Roman"/>
          <w:caps w:val="false"/>
          <w:smallCaps w:val="false"/>
          <w:sz w:val="20"/>
        </w:rPr>
        <w:t xml:space="preserve">the Company granted stock options to purchase 150,000 shares of common stock to an employee under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The options have an exercise price of $3.84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94%, expected term of 6.5 years, risk-free interest rate of 3.99%, dividend yield of 0%, and the Company’s stock price of $3.84 as of the valuation date. The awards are recognized as stock-based compensation expense on a straight-line basis over the requisite service period in accordance with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based on the grant-date fair value of the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27, 2026, </w:t>
      </w:r>
      <w:r>
        <w:rPr>
          <w:rFonts w:ascii="Times New Roman" w:hAnsi="Times New Roman"/>
          <w:caps w:val="false"/>
          <w:smallCaps w:val="false"/>
          <w:sz w:val="20"/>
        </w:rPr>
        <w:t xml:space="preserve">the Company granted stock options to purchase an aggregate of 373,500 shares of common stock to employees under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The options have an exercise price of $3.69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93%, expected term of 6.5 years, risk-free interest rate of 4.28%, dividend yield of 0%, and the Company’s stock price of $3.69 as of the valuation date. The awards are recognized as stock-based compensation expense on a straight-line basis over the requisite service period in accordance with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based on the grant-date fair value of the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summary of time vesting options is included below:</w:t>
      </w:r>
    </w:p>
    <w:p>
      <w:pPr>
        <w:pStyle w:val="TextBody"/>
        <w:bidi w:val="0"/>
        <w:spacing w:before="0" w:after="0"/>
        <w:ind w:left="0" w:right="0" w:hanging="0"/>
        <w:jc w:val="left"/>
        <w:rPr>
          <w:caps w:val="false"/>
          <w:smallCaps w:val="false"/>
        </w:rPr>
      </w:pPr>
      <w:r>
        <w:rPr>
          <w:caps w:val="false"/>
          <w:smallCaps w:val="false"/>
        </w:rPr>
        <w:t> </w:t>
      </w:r>
    </w:p>
    <w:tbl>
      <w:tblPr>
        <w:tblW w:w="6928" w:type="dxa"/>
        <w:jc w:val="left"/>
        <w:tblInd w:w="0" w:type="dxa"/>
        <w:tblLayout w:type="fixed"/>
        <w:tblCellMar>
          <w:top w:w="0" w:type="dxa"/>
          <w:left w:w="0" w:type="dxa"/>
          <w:bottom w:w="0" w:type="dxa"/>
          <w:right w:w="0" w:type="dxa"/>
        </w:tblCellMar>
      </w:tblPr>
      <w:tblGrid>
        <w:gridCol w:w="715"/>
        <w:gridCol w:w="118"/>
        <w:gridCol w:w="715"/>
        <w:gridCol w:w="60"/>
        <w:gridCol w:w="69"/>
        <w:gridCol w:w="986"/>
        <w:gridCol w:w="60"/>
        <w:gridCol w:w="60"/>
        <w:gridCol w:w="141"/>
        <w:gridCol w:w="899"/>
        <w:gridCol w:w="60"/>
        <w:gridCol w:w="60"/>
        <w:gridCol w:w="170"/>
        <w:gridCol w:w="660"/>
        <w:gridCol w:w="60"/>
        <w:gridCol w:w="60"/>
        <w:gridCol w:w="81"/>
        <w:gridCol w:w="944"/>
        <w:gridCol w:w="60"/>
        <w:gridCol w:w="60"/>
        <w:gridCol w:w="170"/>
        <w:gridCol w:w="660"/>
        <w:gridCol w:w="60"/>
      </w:tblGrid>
      <w:tr>
        <w:trPr/>
        <w:tc>
          <w:tcPr>
            <w:tcW w:w="154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54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154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1548" w:type="dxa"/>
            <w:gridSpan w:val="3"/>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 of Exercise</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r>
      <w:tr>
        <w:trPr/>
        <w:tc>
          <w:tcPr>
            <w:tcW w:w="15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Prices Between</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r>
      <w:tr>
        <w:trPr/>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$0.01</w:t>
            </w:r>
          </w:p>
        </w:tc>
        <w:tc>
          <w:tcPr>
            <w:tcW w:w="118" w:type="dxa"/>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w:t>
            </w:r>
          </w:p>
        </w:tc>
        <w:tc>
          <w:tcPr>
            <w:tcW w:w="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2.43</w:t>
            </w:r>
          </w:p>
        </w:tc>
        <w:tc>
          <w:tcPr>
            <w:tcW w:w="60" w:type="dxa"/>
            <w:tcBorders/>
            <w:shd w:fill="CCEEFF" w:val="clear"/>
            <w:vAlign w:val="center"/>
          </w:tcPr>
          <w:p>
            <w:pPr>
              <w:pStyle w:val="TableContents"/>
              <w:bidi w:val="0"/>
              <w:spacing w:before="0" w:after="283"/>
              <w:jc w:val="left"/>
              <w:rPr/>
            </w:pPr>
            <w:r>
              <w:rPr/>
              <w:t> </w:t>
            </w:r>
          </w:p>
        </w:tc>
      </w:tr>
      <w:tr>
        <w:trPr/>
        <w:tc>
          <w:tcPr>
            <w:tcW w:w="7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$4.01</w:t>
            </w:r>
          </w:p>
        </w:tc>
        <w:tc>
          <w:tcPr>
            <w:tcW w:w="118" w:type="dxa"/>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w:t>
            </w:r>
          </w:p>
        </w:tc>
        <w:tc>
          <w:tcPr>
            <w:tcW w:w="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60" w:type="dxa"/>
            <w:tcBorders/>
            <w:shd w:fill="FFFFFF" w:val="clear"/>
            <w:vAlign w:val="center"/>
          </w:tcPr>
          <w:p>
            <w:pPr>
              <w:pStyle w:val="TableContents"/>
              <w:bidi w:val="0"/>
              <w:spacing w:before="0" w:after="283"/>
              <w:jc w:val="left"/>
              <w:rPr/>
            </w:pPr>
            <w:r>
              <w:rPr/>
              <w:t> </w:t>
            </w:r>
          </w:p>
        </w:tc>
      </w:tr>
      <w:tr>
        <w:trPr/>
        <w:tc>
          <w:tcPr>
            <w:tcW w:w="1548" w:type="dxa"/>
            <w:gridSpan w:val="3"/>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$8.01+</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w:t>
            </w:r>
          </w:p>
        </w:tc>
        <w:tc>
          <w:tcPr>
            <w:tcW w:w="60" w:type="dxa"/>
            <w:tcBorders/>
            <w:shd w:fill="CCEEFF" w:val="clear"/>
            <w:vAlign w:val="center"/>
          </w:tcPr>
          <w:p>
            <w:pPr>
              <w:pStyle w:val="TableContents"/>
              <w:bidi w:val="0"/>
              <w:spacing w:before="0" w:after="283"/>
              <w:jc w:val="left"/>
              <w:rPr/>
            </w:pPr>
            <w:r>
              <w:rPr/>
              <w:t> </w:t>
            </w:r>
          </w:p>
        </w:tc>
      </w:tr>
      <w:tr>
        <w:trPr/>
        <w:tc>
          <w:tcPr>
            <w:tcW w:w="1548" w:type="dxa"/>
            <w:gridSpan w:val="3"/>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Performance Vesting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summary of performance vesting options is included below:</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5"/>
        <w:gridCol w:w="60"/>
        <w:gridCol w:w="60"/>
        <w:gridCol w:w="141"/>
        <w:gridCol w:w="899"/>
        <w:gridCol w:w="60"/>
        <w:gridCol w:w="60"/>
        <w:gridCol w:w="205"/>
        <w:gridCol w:w="625"/>
        <w:gridCol w:w="60"/>
        <w:gridCol w:w="60"/>
        <w:gridCol w:w="81"/>
        <w:gridCol w:w="944"/>
        <w:gridCol w:w="60"/>
        <w:gridCol w:w="60"/>
        <w:gridCol w:w="205"/>
        <w:gridCol w:w="625"/>
        <w:gridCol w:w="60"/>
      </w:tblGrid>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ind w:left="0" w:right="0" w:hanging="0"/>
              <w:jc w:val="left"/>
              <w:rPr/>
            </w:pPr>
            <w:r>
              <w:rPr/>
              <w:t> </w:t>
            </w:r>
          </w:p>
        </w:tc>
      </w:tr>
      <w:tr>
        <w:trPr/>
        <w:tc>
          <w:tcPr>
            <w:tcW w:w="105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ind w:left="0" w:right="0" w:hanging="0"/>
              <w:jc w:val="left"/>
              <w:rPr/>
            </w:pPr>
            <w:r>
              <w:rPr/>
              <w:t> </w:t>
            </w:r>
          </w:p>
        </w:tc>
      </w:tr>
      <w:tr>
        <w:trPr/>
        <w:tc>
          <w:tcPr>
            <w:tcW w:w="10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 Vesting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 2025, </w:t>
      </w:r>
      <w:r>
        <w:rPr>
          <w:rFonts w:ascii="Times New Roman" w:hAnsi="Times New Roman"/>
          <w:caps w:val="false"/>
          <w:smallCaps w:val="false"/>
          <w:sz w:val="20"/>
        </w:rPr>
        <w:t xml:space="preserve">the Company accelerated the vesting of the market-vesting options to purchase 733,334 shares of common stock. Prior to such acceleration, the vesting of these options depended on the Company’s share price meeting various price targets. One such share price target was an amount equal to the “Guaranteed Price,” as such term is defined in the Merger Agreement by and among the Company, Reflect, CRI Acquisition Corporation, a Delaware corporation, and RSI Exit Corporation, a Texas corporation and representative of the former stockholders of Reflect (“RSI”). On </w:t>
      </w:r>
      <w:r>
        <w:rPr>
          <w:rStyle w:val="Emphasis"/>
          <w:rFonts w:ascii="Times New Roman" w:hAnsi="Times New Roman"/>
          <w:caps w:val="false"/>
          <w:smallCaps w:val="false"/>
          <w:sz w:val="20"/>
        </w:rPr>
        <w:t xml:space="preserve">March 14, 2025, </w:t>
      </w:r>
      <w:r>
        <w:rPr>
          <w:rFonts w:ascii="Times New Roman" w:hAnsi="Times New Roman"/>
          <w:caps w:val="false"/>
          <w:smallCaps w:val="false"/>
          <w:sz w:val="20"/>
        </w:rPr>
        <w:t xml:space="preserve">the Company and RSI settled and resolved a dispute related to the Guaranteed Consideration. On </w:t>
      </w:r>
      <w:r>
        <w:rPr>
          <w:rStyle w:val="Emphasis"/>
          <w:rFonts w:ascii="Times New Roman" w:hAnsi="Times New Roman"/>
          <w:caps w:val="false"/>
          <w:smallCaps w:val="false"/>
          <w:sz w:val="20"/>
        </w:rPr>
        <w:t xml:space="preserve">June 2, 2025, </w:t>
      </w:r>
      <w:r>
        <w:rPr>
          <w:rFonts w:ascii="Times New Roman" w:hAnsi="Times New Roman"/>
          <w:caps w:val="false"/>
          <w:smallCaps w:val="false"/>
          <w:sz w:val="20"/>
        </w:rPr>
        <w:t xml:space="preserve">in consideration of the efforts in resolving and settling such dispute, the Compensation Committee of the Company fully vested the 733,334 options. As a result of the amendment and corresponding vesting, the Company recognized stock compensation expense of $1,149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summary of market vesting options is included below:</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5"/>
        <w:gridCol w:w="60"/>
        <w:gridCol w:w="60"/>
        <w:gridCol w:w="141"/>
        <w:gridCol w:w="899"/>
        <w:gridCol w:w="60"/>
        <w:gridCol w:w="60"/>
        <w:gridCol w:w="205"/>
        <w:gridCol w:w="625"/>
        <w:gridCol w:w="60"/>
        <w:gridCol w:w="60"/>
        <w:gridCol w:w="81"/>
        <w:gridCol w:w="944"/>
        <w:gridCol w:w="60"/>
        <w:gridCol w:w="60"/>
        <w:gridCol w:w="205"/>
        <w:gridCol w:w="625"/>
        <w:gridCol w:w="60"/>
      </w:tblGrid>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ind w:left="0" w:right="0" w:hanging="0"/>
              <w:jc w:val="left"/>
              <w:rPr/>
            </w:pPr>
            <w:r>
              <w:rPr/>
              <w:t> </w:t>
            </w:r>
          </w:p>
        </w:tc>
      </w:tr>
      <w:tr>
        <w:trPr/>
        <w:tc>
          <w:tcPr>
            <w:tcW w:w="105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ind w:left="0" w:right="0" w:hanging="0"/>
              <w:jc w:val="left"/>
              <w:rPr/>
            </w:pPr>
            <w:r>
              <w:rPr/>
              <w:t> </w:t>
            </w:r>
          </w:p>
        </w:tc>
      </w:tr>
      <w:tr>
        <w:trPr/>
        <w:tc>
          <w:tcPr>
            <w:tcW w:w="10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total outstanding options is included below:</w:t>
      </w:r>
    </w:p>
    <w:p>
      <w:pPr>
        <w:pStyle w:val="TextBody"/>
        <w:bidi w:val="0"/>
        <w:spacing w:before="0" w:after="0"/>
        <w:ind w:left="0" w:right="0" w:hanging="0"/>
        <w:jc w:val="left"/>
        <w:rPr>
          <w:caps w:val="false"/>
          <w:smallCaps w:val="false"/>
        </w:rPr>
      </w:pPr>
      <w:r>
        <w:rPr>
          <w:caps w:val="false"/>
          <w:smallCaps w:val="false"/>
        </w:rPr>
        <w:t> </w:t>
      </w:r>
    </w:p>
    <w:tbl>
      <w:tblPr>
        <w:tblW w:w="9009" w:type="dxa"/>
        <w:jc w:val="left"/>
        <w:tblInd w:w="0" w:type="dxa"/>
        <w:tblLayout w:type="fixed"/>
        <w:tblCellMar>
          <w:top w:w="0" w:type="dxa"/>
          <w:left w:w="0" w:type="dxa"/>
          <w:bottom w:w="0" w:type="dxa"/>
          <w:right w:w="0" w:type="dxa"/>
        </w:tblCellMar>
      </w:tblPr>
      <w:tblGrid>
        <w:gridCol w:w="2060"/>
        <w:gridCol w:w="60"/>
        <w:gridCol w:w="86"/>
        <w:gridCol w:w="1007"/>
        <w:gridCol w:w="86"/>
        <w:gridCol w:w="86"/>
        <w:gridCol w:w="205"/>
        <w:gridCol w:w="625"/>
        <w:gridCol w:w="60"/>
        <w:gridCol w:w="60"/>
        <w:gridCol w:w="69"/>
        <w:gridCol w:w="984"/>
        <w:gridCol w:w="93"/>
        <w:gridCol w:w="69"/>
        <w:gridCol w:w="205"/>
        <w:gridCol w:w="625"/>
        <w:gridCol w:w="60"/>
        <w:gridCol w:w="60"/>
        <w:gridCol w:w="105"/>
        <w:gridCol w:w="1216"/>
        <w:gridCol w:w="140"/>
        <w:gridCol w:w="105"/>
        <w:gridCol w:w="218"/>
        <w:gridCol w:w="665"/>
        <w:gridCol w:w="60"/>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Vesting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Time Vesting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4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Vesting Options</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3"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3"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93"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1"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14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Date/Activity</w:t>
            </w:r>
          </w:p>
        </w:tc>
        <w:tc>
          <w:tcPr>
            <w:tcW w:w="60" w:type="dxa"/>
            <w:tcBorders/>
            <w:vAlign w:val="center"/>
          </w:tcPr>
          <w:p>
            <w:pPr>
              <w:pStyle w:val="TableContents"/>
              <w:bidi w:val="0"/>
              <w:spacing w:before="0" w:after="283"/>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Outstanding</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Outstanding</w:t>
            </w:r>
          </w:p>
        </w:tc>
        <w:tc>
          <w:tcPr>
            <w:tcW w:w="93"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Outstanding</w:t>
            </w:r>
          </w:p>
        </w:tc>
        <w:tc>
          <w:tcPr>
            <w:tcW w:w="14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January 1, 2026</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733,334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1,635,230</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2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240,000</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6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523,500</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2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or expired</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(158,613</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6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2026</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733,334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2,000,117</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weighted average remaining contractual life for total exercisable options is 5.83 years as of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Stock-based compensation expense recognized related to stock options and restricted stock units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$376 and $1,249, respectively, and is included in general and administrative expenses in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Stock-based compensation expense recognized related to stock options and restricted stock units to employees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$646 and $1,251, respectively, and is included in general and administrative expenses in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there was $3,913 of total unrecognized compensation expense related to unvested share-based awards, which is expected to be recognized over a weighted average period of approximately 2.34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Compensation expense recognized for the issuance of stock options awarded to our Board of Directors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$54 and $141, respectively, and was included in general and administrative expenses in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Compensation expense recognized for the issuance of stock options awarded to our Board of Directors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$108 and $141, respectively, and was included in general and administrative expenses in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there was $108 unrecognized compensation expense related to share-based awards to directors, which is expected to be recognized over a weighted average period of approximately 0.5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currently operate in one reportable segment, marketing technology solutions. The marketing technology solutions segment generates revenue through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primary sources which includes (</w:t>
      </w:r>
      <w:r>
        <w:rPr>
          <w:rStyle w:val="Emphasis"/>
          <w:rFonts w:ascii="Times New Roman" w:hAnsi="Times New Roman"/>
          <w:caps w:val="false"/>
          <w:smallCaps w:val="false"/>
          <w:sz w:val="20"/>
        </w:rPr>
        <w:t>1</w:t>
      </w:r>
      <w:r>
        <w:rPr>
          <w:rFonts w:ascii="Times New Roman" w:hAnsi="Times New Roman"/>
          <w:caps w:val="false"/>
          <w:smallCaps w:val="false"/>
          <w:sz w:val="20"/>
        </w:rPr>
        <w:t>) hardware sales from reselling digital signage hardware from original equipment manufacturers, (</w:t>
      </w:r>
      <w:r>
        <w:rPr>
          <w:rStyle w:val="Emphasis"/>
          <w:rFonts w:ascii="Times New Roman" w:hAnsi="Times New Roman"/>
          <w:caps w:val="false"/>
          <w:smallCaps w:val="false"/>
          <w:sz w:val="20"/>
        </w:rPr>
        <w:t>2</w:t>
      </w:r>
      <w:r>
        <w:rPr>
          <w:rFonts w:ascii="Times New Roman" w:hAnsi="Times New Roman"/>
          <w:caps w:val="false"/>
          <w:smallCaps w:val="false"/>
          <w:sz w:val="20"/>
        </w:rPr>
        <w:t>) services from helping customers design, deploy, and manage their digital signage and ad-based networks, (</w:t>
      </w:r>
      <w:r>
        <w:rPr>
          <w:rStyle w:val="Emphasis"/>
          <w:rFonts w:ascii="Times New Roman" w:hAnsi="Times New Roman"/>
          <w:caps w:val="false"/>
          <w:smallCaps w:val="false"/>
          <w:sz w:val="20"/>
        </w:rPr>
        <w:t>3</w:t>
      </w:r>
      <w:r>
        <w:rPr>
          <w:rFonts w:ascii="Times New Roman" w:hAnsi="Times New Roman"/>
          <w:caps w:val="false"/>
          <w:smallCaps w:val="false"/>
          <w:sz w:val="20"/>
        </w:rPr>
        <w:t>) recurring subscription licensing and support revenue from our digital signage and ad-tech software platforms, which are generally sold via a SaaS model, and (</w:t>
      </w:r>
      <w:r>
        <w:rPr>
          <w:rStyle w:val="Emphasis"/>
          <w:rFonts w:ascii="Times New Roman" w:hAnsi="Times New Roman"/>
          <w:caps w:val="false"/>
          <w:smallCaps w:val="false"/>
          <w:sz w:val="20"/>
        </w:rPr>
        <w:t>4</w:t>
      </w:r>
      <w:r>
        <w:rPr>
          <w:rFonts w:ascii="Times New Roman" w:hAnsi="Times New Roman"/>
          <w:caps w:val="false"/>
          <w:smallCaps w:val="false"/>
          <w:sz w:val="20"/>
        </w:rPr>
        <w:t>) selling digital out-of-home (“DOOH”) advertising on infrastructure it owns or operates at retail malls, shopping centers, office buildings, and other commercial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Our Chief Executive Officer is our chief operating decision maker (the “CODM”). Our CODM evaluates performance and makes operating decisions about allocating resources based on financial data presented on a consolidated basis, accompanied by information about revenue disaggregated by service. Our CODM uses the segment information primarily to evaluate the profitability and strategic growth potential of the segment. The reported measures of profit or loss are benchmarked against historical performance and market expectations. Based on this analysis, the CODM determines whether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invest in new technology or reallocate operating expenses - namely personnel. In addition, the CODM reviews supplementary metrics such as disaggregated revenue as disclosed in </w:t>
      </w:r>
      <w:hyperlink w:anchor="note3">
        <w:r>
          <w:rPr>
            <w:rStyle w:val="InternetLink"/>
            <w:rFonts w:ascii="Times New Roman" w:hAnsi="Times New Roman"/>
            <w:caps w:val="false"/>
            <w:smallCaps w:val="false"/>
            <w:sz w:val="20"/>
          </w:rPr>
          <w:t xml:space="preserve">Note </w:t>
        </w:r>
      </w:hyperlink>
      <w:hyperlink w:anchor="note3">
        <w:r>
          <w:rPr>
            <w:rStyle w:val="InternetLink"/>
            <w:rFonts w:ascii="Times New Roman" w:hAnsi="Times New Roman"/>
            <w:i/>
            <w:i/>
            <w:iCs/>
            <w:caps w:val="false"/>
            <w:smallCaps w:val="false"/>
            <w:sz w:val="20"/>
          </w:rPr>
          <w:t>3</w:t>
        </w:r>
      </w:hyperlink>
      <w:r>
        <w:rPr>
          <w:rFonts w:ascii="Times New Roman" w:hAnsi="Times New Roman"/>
          <w:caps w:val="false"/>
          <w:smallCaps w:val="false"/>
          <w:sz w:val="20"/>
        </w:rPr>
        <w:t>, Revenue Recognition, and customer growth to ensure that our strategic decisions are aligned with long-term 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measure used by our CODM to assess performance and make operating decisions is net loss as reported on our condensed consolidated statements of operations. Significant segment expenses are reported as total expenses on the condensed consolidated statements of operations. Segment assets are disclosed in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Significant Customers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had one customer that accounted for 17% of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compared to one customer that accounted for 20% of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had two customers that accounted for 10% and 12% of revenue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compared to two customers that accounted for 13% and 12% of revenue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had one customer that accounted for 12% of accounts receivable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one customer that accounted for 12% of accounts receivable as of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 by Geographical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revenue recognized in the condensed consolidated statements of operations by geographical area:</w:t>
      </w:r>
    </w:p>
    <w:p>
      <w:pPr>
        <w:pStyle w:val="TextBody"/>
        <w:bidi w:val="0"/>
        <w:spacing w:before="0" w:after="0"/>
        <w:ind w:left="0" w:right="0" w:hanging="0"/>
        <w:jc w:val="left"/>
        <w:rPr>
          <w:caps w:val="false"/>
          <w:smallCaps w:val="false"/>
        </w:rPr>
      </w:pPr>
      <w:r>
        <w:rPr>
          <w:caps w:val="false"/>
          <w:smallCaps w:val="false"/>
        </w:rPr>
        <w:t> </w:t>
      </w:r>
    </w:p>
    <w:tbl>
      <w:tblPr>
        <w:tblW w:w="7704" w:type="dxa"/>
        <w:jc w:val="left"/>
        <w:tblInd w:w="0" w:type="dxa"/>
        <w:tblLayout w:type="fixed"/>
        <w:tblCellMar>
          <w:top w:w="0" w:type="dxa"/>
          <w:left w:w="0" w:type="dxa"/>
          <w:bottom w:w="0" w:type="dxa"/>
          <w:right w:w="0" w:type="dxa"/>
        </w:tblCellMar>
      </w:tblPr>
      <w:tblGrid>
        <w:gridCol w:w="2810"/>
        <w:gridCol w:w="60"/>
        <w:gridCol w:w="197"/>
        <w:gridCol w:w="932"/>
        <w:gridCol w:w="94"/>
        <w:gridCol w:w="94"/>
        <w:gridCol w:w="197"/>
        <w:gridCol w:w="932"/>
        <w:gridCol w:w="60"/>
        <w:gridCol w:w="60"/>
        <w:gridCol w:w="178"/>
        <w:gridCol w:w="841"/>
        <w:gridCol w:w="85"/>
        <w:gridCol w:w="85"/>
        <w:gridCol w:w="178"/>
        <w:gridCol w:w="841"/>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4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 by Geographical Area:</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15,345</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25,988</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22,764</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11,865</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21,505</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37,853</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vendors accounted for more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outstanding accounts payable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three vendors accounted for 30%, 18% and 10% of outstanding accounts payable at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 Lived Assets by Geographical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our long-lived assets by geographic area, which consists of property and equipment, net and operating and finance lease right-of-use assets:</w:t>
      </w:r>
    </w:p>
    <w:p>
      <w:pPr>
        <w:pStyle w:val="TextBody"/>
        <w:bidi w:val="0"/>
        <w:spacing w:before="0" w:after="0"/>
        <w:ind w:left="0" w:right="0" w:hanging="0"/>
        <w:jc w:val="left"/>
        <w:rPr>
          <w:caps w:val="false"/>
          <w:smallCaps w:val="false"/>
        </w:rPr>
      </w:pPr>
      <w:r>
        <w:rPr>
          <w:caps w:val="false"/>
          <w:smallCaps w:val="false"/>
        </w:rPr>
        <w:t> </w:t>
      </w:r>
    </w:p>
    <w:tbl>
      <w:tblPr>
        <w:tblW w:w="3238" w:type="dxa"/>
        <w:jc w:val="left"/>
        <w:tblInd w:w="0" w:type="dxa"/>
        <w:tblLayout w:type="fixed"/>
        <w:tblCellMar>
          <w:top w:w="0" w:type="dxa"/>
          <w:left w:w="0" w:type="dxa"/>
          <w:bottom w:w="0" w:type="dxa"/>
          <w:right w:w="0" w:type="dxa"/>
        </w:tblCellMar>
      </w:tblPr>
      <w:tblGrid>
        <w:gridCol w:w="1100"/>
        <w:gridCol w:w="60"/>
        <w:gridCol w:w="126"/>
        <w:gridCol w:w="598"/>
        <w:gridCol w:w="60"/>
        <w:gridCol w:w="60"/>
        <w:gridCol w:w="204"/>
        <w:gridCol w:w="970"/>
        <w:gridCol w:w="60"/>
      </w:tblGrid>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25,762</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lease portfolio primarily comprises operating leases for office space and finance leases for computer equipment and DOOH media assets from the acquisition of CDM. At the inception of an arrangement, the Company determines whether the arrangement is or contains a lease based on whether the contract conveys the right to control the use of identified property or equipment for a period of time in exchange for consideration. Leases are classified as operating or finance leases at the commencement date of the lease. Leases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options to renew.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assume renewals in our determination of the lease term unless the renewals are deemed to be reasonably assured at lease commencement. Our lease agreements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any material residual value guarantees or material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determines the discount rate used to measure lease liabilities based on the rate implicit in the lease, if readily determinable. If the implicit rate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the Company uses its incremental borrowing rate, which is determined based on the rate at which the Company could borrow on a collateralized basis over a similar term and in a similar economic environment to the 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classification of operating and finance lease assets and liabilities in the Company's condensed consolidated balance sheet: </w:t>
      </w:r>
    </w:p>
    <w:p>
      <w:pPr>
        <w:pStyle w:val="TextBody"/>
        <w:bidi w:val="0"/>
        <w:spacing w:before="0" w:after="0"/>
        <w:ind w:left="0" w:right="0" w:hanging="0"/>
        <w:jc w:val="center"/>
        <w:rPr>
          <w:caps w:val="false"/>
          <w:smallCaps w:val="false"/>
        </w:rPr>
      </w:pPr>
      <w:r>
        <w:rPr>
          <w:caps w:val="false"/>
          <w:smallCaps w:val="false"/>
        </w:rPr>
        <w:t> </w:t>
      </w:r>
    </w:p>
    <w:tbl>
      <w:tblPr>
        <w:tblW w:w="6118" w:type="dxa"/>
        <w:jc w:val="left"/>
        <w:tblInd w:w="0" w:type="dxa"/>
        <w:tblLayout w:type="fixed"/>
        <w:tblCellMar>
          <w:top w:w="0" w:type="dxa"/>
          <w:left w:w="0" w:type="dxa"/>
          <w:bottom w:w="0" w:type="dxa"/>
          <w:right w:w="0" w:type="dxa"/>
        </w:tblCellMar>
      </w:tblPr>
      <w:tblGrid>
        <w:gridCol w:w="3965"/>
        <w:gridCol w:w="60"/>
        <w:gridCol w:w="126"/>
        <w:gridCol w:w="598"/>
        <w:gridCol w:w="60"/>
        <w:gridCol w:w="60"/>
        <w:gridCol w:w="204"/>
        <w:gridCol w:w="970"/>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22,658</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24,775</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3,799</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 of finance lease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17,844</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operating and financing lease expenses in the Company's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2825"/>
        <w:gridCol w:w="60"/>
        <w:gridCol w:w="257"/>
        <w:gridCol w:w="998"/>
        <w:gridCol w:w="123"/>
        <w:gridCol w:w="123"/>
        <w:gridCol w:w="257"/>
        <w:gridCol w:w="689"/>
        <w:gridCol w:w="60"/>
        <w:gridCol w:w="60"/>
        <w:gridCol w:w="232"/>
        <w:gridCol w:w="900"/>
        <w:gridCol w:w="111"/>
        <w:gridCol w:w="111"/>
        <w:gridCol w:w="232"/>
        <w:gridCol w:w="622"/>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br/>
              <w:t>June 30,</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8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expense:</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3,752</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lease term and discount rate information related to operating and finance leases:</w:t>
      </w:r>
    </w:p>
    <w:p>
      <w:pPr>
        <w:pStyle w:val="TextBody"/>
        <w:bidi w:val="0"/>
        <w:spacing w:before="0" w:after="0"/>
        <w:ind w:left="0" w:right="0" w:hanging="0"/>
        <w:jc w:val="left"/>
        <w:rPr>
          <w:caps w:val="false"/>
          <w:smallCaps w:val="false"/>
        </w:rPr>
      </w:pPr>
      <w:r>
        <w:rPr>
          <w:caps w:val="false"/>
          <w:smallCaps w:val="false"/>
        </w:rPr>
        <w:t> </w:t>
      </w:r>
    </w:p>
    <w:tbl>
      <w:tblPr>
        <w:tblW w:w="6248" w:type="dxa"/>
        <w:jc w:val="left"/>
        <w:tblInd w:w="0" w:type="dxa"/>
        <w:tblLayout w:type="fixed"/>
        <w:tblCellMar>
          <w:top w:w="0" w:type="dxa"/>
          <w:left w:w="0" w:type="dxa"/>
          <w:bottom w:w="0" w:type="dxa"/>
          <w:right w:w="0" w:type="dxa"/>
        </w:tblCellMar>
      </w:tblPr>
      <w:tblGrid>
        <w:gridCol w:w="3860"/>
        <w:gridCol w:w="60"/>
        <w:gridCol w:w="129"/>
        <w:gridCol w:w="595"/>
        <w:gridCol w:w="185"/>
        <w:gridCol w:w="60"/>
        <w:gridCol w:w="209"/>
        <w:gridCol w:w="965"/>
        <w:gridCol w:w="18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sets forth future minimum lease payments:</w:t>
      </w:r>
    </w:p>
    <w:p>
      <w:pPr>
        <w:pStyle w:val="TextBody"/>
        <w:bidi w:val="0"/>
        <w:spacing w:before="0" w:after="0"/>
        <w:ind w:left="0" w:right="0" w:hanging="0"/>
        <w:jc w:val="left"/>
        <w:rPr>
          <w:caps w:val="false"/>
          <w:smallCaps w:val="false"/>
        </w:rPr>
      </w:pPr>
      <w:r>
        <w:rPr>
          <w:caps w:val="false"/>
          <w:smallCaps w:val="false"/>
        </w:rPr>
        <w:t> </w:t>
      </w:r>
    </w:p>
    <w:tbl>
      <w:tblPr>
        <w:tblW w:w="5399" w:type="dxa"/>
        <w:jc w:val="left"/>
        <w:tblInd w:w="0" w:type="dxa"/>
        <w:tblLayout w:type="fixed"/>
        <w:tblCellMar>
          <w:top w:w="0" w:type="dxa"/>
          <w:left w:w="0" w:type="dxa"/>
          <w:bottom w:w="0" w:type="dxa"/>
          <w:right w:w="0" w:type="dxa"/>
        </w:tblCellMar>
      </w:tblPr>
      <w:tblGrid>
        <w:gridCol w:w="2600"/>
        <w:gridCol w:w="60"/>
        <w:gridCol w:w="191"/>
        <w:gridCol w:w="743"/>
        <w:gridCol w:w="80"/>
        <w:gridCol w:w="60"/>
        <w:gridCol w:w="125"/>
        <w:gridCol w:w="590"/>
        <w:gridCol w:w="80"/>
        <w:gridCol w:w="60"/>
        <w:gridCol w:w="125"/>
        <w:gridCol w:w="590"/>
        <w:gridCol w:w="9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Operating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9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9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Future minimum payments: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2026</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8,627</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9,455</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undiscounted cash flows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23,713</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21,033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and non-cash activity related to leases include the following:</w:t>
      </w:r>
    </w:p>
    <w:p>
      <w:pPr>
        <w:pStyle w:val="TextBody"/>
        <w:bidi w:val="0"/>
        <w:spacing w:before="0" w:after="0"/>
        <w:ind w:left="0" w:right="0" w:hanging="0"/>
        <w:jc w:val="left"/>
        <w:rPr>
          <w:caps w:val="false"/>
          <w:smallCaps w:val="false"/>
        </w:rPr>
      </w:pPr>
      <w:r>
        <w:rPr>
          <w:caps w:val="false"/>
          <w:smallCaps w:val="false"/>
        </w:rPr>
        <w:t> </w:t>
      </w:r>
    </w:p>
    <w:tbl>
      <w:tblPr>
        <w:tblW w:w="8093" w:type="dxa"/>
        <w:jc w:val="left"/>
        <w:tblInd w:w="0" w:type="dxa"/>
        <w:tblLayout w:type="fixed"/>
        <w:tblCellMar>
          <w:top w:w="0" w:type="dxa"/>
          <w:left w:w="0" w:type="dxa"/>
          <w:bottom w:w="0" w:type="dxa"/>
          <w:right w:w="0" w:type="dxa"/>
        </w:tblCellMar>
      </w:tblPr>
      <w:tblGrid>
        <w:gridCol w:w="5765"/>
        <w:gridCol w:w="60"/>
        <w:gridCol w:w="232"/>
        <w:gridCol w:w="900"/>
        <w:gridCol w:w="111"/>
        <w:gridCol w:w="111"/>
        <w:gridCol w:w="232"/>
        <w:gridCol w:w="622"/>
        <w:gridCol w:w="6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6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8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paid for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paid for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paid for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8" w:name="n17"/>
      <w:bookmarkEnd w:id="18"/>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evaluated subsequent events occurring after the balance sheet date through the date these condensed consolidated financial statements were issued and identified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Prepayments of Borrowings Under the Amended Credit Agreement from the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 xml:space="preserve">net proceeds of the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 xml:space="preserve">public offering (see </w:t>
      </w:r>
      <w:hyperlink w:anchor="n12">
        <w:r>
          <w:rPr>
            <w:rStyle w:val="InternetLink"/>
            <w:rFonts w:ascii="Times New Roman" w:hAnsi="Times New Roman"/>
            <w:caps w:val="false"/>
            <w:smallCaps w:val="false"/>
            <w:sz w:val="20"/>
          </w:rPr>
          <w:t xml:space="preserve">Note </w:t>
        </w:r>
      </w:hyperlink>
      <w:hyperlink w:anchor="n12">
        <w:r>
          <w:rPr>
            <w:rStyle w:val="InternetLink"/>
            <w:rFonts w:ascii="Times New Roman" w:hAnsi="Times New Roman"/>
            <w:i/>
            <w:i/>
            <w:iCs/>
            <w:caps w:val="false"/>
            <w:smallCaps w:val="false"/>
            <w:sz w:val="20"/>
          </w:rPr>
          <w:t>12</w:t>
        </w:r>
      </w:hyperlink>
      <w:r>
        <w:rPr>
          <w:rFonts w:ascii="Times New Roman" w:hAnsi="Times New Roman"/>
          <w:caps w:val="false"/>
          <w:smallCaps w:val="false"/>
          <w:sz w:val="20"/>
        </w:rPr>
        <w:t xml:space="preserve">) were applied to repay outstanding borrowings under the Amended Credit Agreement through normal operations, including a payment of $1,000 of remaining unpaid principal under the Term Loan and the remainder under the Revolving Credit Facility. Amounts repaid under the Revolving Credit Facility remain available for future borrowing, subject to the terms and conditions of the Amended Credit Agreement (see </w:t>
      </w:r>
      <w:hyperlink w:anchor="n9">
        <w:r>
          <w:rPr>
            <w:rStyle w:val="InternetLink"/>
            <w:rFonts w:ascii="Times New Roman" w:hAnsi="Times New Roman"/>
            <w:caps w:val="false"/>
            <w:smallCaps w:val="false"/>
            <w:sz w:val="20"/>
          </w:rPr>
          <w:t xml:space="preserve">Note </w:t>
        </w:r>
      </w:hyperlink>
      <w:hyperlink w:anchor="n9">
        <w:r>
          <w:rPr>
            <w:rStyle w:val="InternetLink"/>
            <w:rFonts w:ascii="Times New Roman" w:hAnsi="Times New Roman"/>
            <w:i/>
            <w:i/>
            <w:iCs/>
            <w:caps w:val="false"/>
            <w:smallCaps w:val="false"/>
            <w:sz w:val="20"/>
          </w:rPr>
          <w:t>9</w:t>
        </w:r>
      </w:hyperlink>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Exercise of Underwriter Option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7, 2026, </w:t>
      </w:r>
      <w:r>
        <w:rPr>
          <w:rFonts w:ascii="Times New Roman" w:hAnsi="Times New Roman"/>
          <w:caps w:val="false"/>
          <w:smallCaps w:val="false"/>
          <w:sz w:val="20"/>
        </w:rPr>
        <w:t xml:space="preserve">the underwriter fully exercised its option to purchase additional shares of common stock granted in connection with the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 xml:space="preserve">public offering (see </w:t>
      </w:r>
      <w:hyperlink w:anchor="n12">
        <w:r>
          <w:rPr>
            <w:rStyle w:val="InternetLink"/>
            <w:rFonts w:ascii="Times New Roman" w:hAnsi="Times New Roman"/>
            <w:caps w:val="false"/>
            <w:smallCaps w:val="false"/>
            <w:sz w:val="20"/>
          </w:rPr>
          <w:t xml:space="preserve">Note </w:t>
        </w:r>
      </w:hyperlink>
      <w:hyperlink w:anchor="n12">
        <w:r>
          <w:rPr>
            <w:rStyle w:val="InternetLink"/>
            <w:rFonts w:ascii="Times New Roman" w:hAnsi="Times New Roman"/>
            <w:i/>
            <w:i/>
            <w:iCs/>
            <w:caps w:val="false"/>
            <w:smallCaps w:val="false"/>
            <w:sz w:val="20"/>
          </w:rPr>
          <w:t>12</w:t>
        </w:r>
      </w:hyperlink>
      <w:r>
        <w:rPr>
          <w:rFonts w:ascii="Times New Roman" w:hAnsi="Times New Roman"/>
          <w:caps w:val="false"/>
          <w:smallCaps w:val="false"/>
          <w:sz w:val="20"/>
        </w:rPr>
        <w:t xml:space="preserve">). At the closing of the over-allotment option, which occurred on </w:t>
      </w:r>
      <w:r>
        <w:rPr>
          <w:rStyle w:val="Emphasis"/>
          <w:rFonts w:ascii="Times New Roman" w:hAnsi="Times New Roman"/>
          <w:caps w:val="false"/>
          <w:smallCaps w:val="false"/>
          <w:sz w:val="20"/>
        </w:rPr>
        <w:t xml:space="preserve">July 8, 2026, </w:t>
      </w:r>
      <w:r>
        <w:rPr>
          <w:rFonts w:ascii="Times New Roman" w:hAnsi="Times New Roman"/>
          <w:caps w:val="false"/>
          <w:smallCaps w:val="false"/>
          <w:sz w:val="20"/>
        </w:rPr>
        <w:t>the Company issued 428,614 shares of common stock at the public offering price of $3.50 per share, less underwriting discounts and commissions, resulting in net proceeds to the Company of $1,410.</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9" w:name="item_2"/>
      <w:bookmarkEnd w:id="19"/>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“proposes,”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Annual Report on Form 10-K for the year ended December 31, 2025, as filed with the Securities and Exchange Commission on April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Except to the extent required by law, we expressly disclaim any obligation to release publicly any updates or revisions to any forward-looking statements contained herein to reflect any change in our expectations with regard thereto or change in events, conditions, or circumstances on which any statement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transforms environments through digital solutions by providing innovative digital signage solutions for key market segments and use cases, including:</w:t>
      </w:r>
    </w:p>
    <w:p>
      <w:pPr>
        <w:pStyle w:val="TextBody"/>
        <w:bidi w:val="0"/>
        <w:spacing w:before="0" w:after="0"/>
        <w:ind w:left="0"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60"/>
        <w:gridCol w:w="170"/>
        <w:gridCol w:w="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2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Entertainment and Sports Venues</w:t>
            </w:r>
          </w:p>
        </w:tc>
      </w:tr>
    </w:tbl>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60"/>
        <w:gridCol w:w="170"/>
        <w:gridCol w:w="4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including Quick Service Restaurants (“QSR”)</w:t>
            </w:r>
          </w:p>
        </w:tc>
      </w:tr>
    </w:tbl>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0"/>
        <w:gridCol w:w="170"/>
        <w:gridCol w:w="1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16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Convenience Stores</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1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Services</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170"/>
        <w:gridCol w:w="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r>
    </w:tbl>
    <w:p>
      <w:pPr>
        <w:pStyle w:val="TextBody"/>
        <w:bidi w:val="0"/>
        <w:spacing w:before="0" w:after="0"/>
        <w:ind w:left="0" w:right="0" w:hanging="0"/>
        <w:jc w:val="left"/>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60"/>
        <w:gridCol w:w="170"/>
        <w:gridCol w:w="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Lottery</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60"/>
        <w:gridCol w:w="170"/>
        <w:gridCol w:w="2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2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Mixed Use Developments</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70"/>
        <w:gridCol w:w="2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2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DOOH Advertising Networks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brand awareness;</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170"/>
        <w:gridCol w:w="2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customer support;</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70"/>
        <w:gridCol w:w="4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Enhanced employee productivity and satisfaction;</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0"/>
        <w:gridCol w:w="170"/>
        <w:gridCol w:w="2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revenue and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170"/>
        <w:gridCol w:w="22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guest experience;</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70"/>
        <w:gridCol w:w="3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customer/guest engagement; and</w:t>
            </w:r>
          </w:p>
        </w:tc>
      </w:tr>
    </w:tbl>
    <w:p>
      <w:pPr>
        <w:pStyle w:val="TextBody"/>
        <w:bidi w:val="0"/>
        <w:spacing w:before="0" w:after="0"/>
        <w:ind w:left="0" w:right="0" w:hanging="0"/>
        <w:jc w:val="left"/>
        <w:rPr/>
      </w:pPr>
      <w:r>
        <w:rPr/>
        <w:t> </w:t>
      </w:r>
    </w:p>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Traffic content and advertising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a combination of organically grown platforms and a series of strategic acquisitions, the Company assists customers to design, deploy, manage, and monetize their digital signage and in-store retail media networks. The Company sources leads and opportunities for its solutions through its digital and content marketing initiatives, close relationships with key industry partners, including equipment manufacturers and a media sales agent,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When comparing us to other digital signage providers, our customers value the following competitive advantages: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Breadth of solutions</w:t>
            </w:r>
            <w:r>
              <w:rPr>
                <w:rFonts w:ascii="Times New Roman;Times;serif" w:hAnsi="Times New Roman;Times;serif"/>
                <w:caps w:val="false"/>
                <w:smallCaps w:val="false"/>
                <w:sz w:val="20"/>
              </w:rPr>
              <w:t> – Creative Realities offers a wide breadth of solutions to our customers. Creative Realities is one of only a few companies in the industry capable of providing the full portfolio of products and services required to implement and run an effective digital signage and in-store retail media networks. We leverage a ‘single vendor’ approach, providing customers with a one-stop-shop for sourcing digital signage and media solutions from design through day two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Managed labor pool</w:t>
            </w:r>
            <w:r>
              <w:rPr>
                <w:rFonts w:ascii="Times New Roman;Times;serif" w:hAnsi="Times New Roman;Times;serif"/>
                <w:caps w:val="false"/>
                <w:smallCaps w:val="false"/>
                <w:sz w:val="20"/>
              </w:rPr>
              <w:t> – Unlike most companies in our industry, we have a curated labor pool of qualified and vetted field technicians available to service customers quickly nationwide. We can meet tight schedules even in exceptionally large deployments and still ensure quality and consistency.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In-house creative resources</w:t>
            </w:r>
            <w:r>
              <w:rPr>
                <w:rFonts w:ascii="Times New Roman;Times;serif" w:hAnsi="Times New Roman;Times;serif"/>
                <w:caps w:val="false"/>
                <w:smallCaps w:val="false"/>
                <w:sz w:val="20"/>
              </w:rPr>
              <w:t> – We assist customers in creating new content or repurposing existing content for digital signage experiences, an activity for which the Company has won several design awards in recent years. In each instance, our services can be essential in helping customers develop an effective content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Network scalability and reliability</w:t>
            </w:r>
            <w:r>
              <w:rPr>
                <w:rFonts w:ascii="Times New Roman;Times;serif" w:hAnsi="Times New Roman;Times;serif"/>
                <w:caps w:val="false"/>
                <w:smallCaps w:val="false"/>
                <w:sz w:val="20"/>
              </w:rPr>
              <w:t> – Our SaaS content management platforms power some of the largest and most 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AdTech</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platforms</w:t>
            </w:r>
            <w:r>
              <w:rPr>
                <w:rFonts w:ascii="Times New Roman;Times;serif" w:hAnsi="Times New Roman;Times;serif"/>
                <w:caps w:val="false"/>
                <w:smallCaps w:val="false"/>
                <w:sz w:val="20"/>
              </w:rPr>
              <w:t> – The Company has developed and deployed the AdLogic and CPM+ platforms, which, working in conjunction with our CMS platforms, present completely integrated digital advertising solutions for existing and prospective customers seeking to monetize their in-store retail media networks. These platforms anchor the Company's vertical expansion into AdTech bringing new, and expanding existing, addressable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Market sector expertise</w:t>
            </w:r>
            <w:r>
              <w:rPr>
                <w:rFonts w:ascii="Times New Roman;Times;serif" w:hAnsi="Times New Roman;Times;serif"/>
                <w:caps w:val="false"/>
                <w:smallCaps w:val="false"/>
                <w:sz w:val="20"/>
              </w:rPr>
              <w:t> – Creative Realities has in-house experts in key market segments such as retail, QSRs, convenience stores, and 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Logistics</w:t>
            </w:r>
            <w:r>
              <w:rPr>
                <w:rFonts w:ascii="Times New Roman;Times;serif" w:hAnsi="Times New Roman;Times;serif"/>
                <w:caps w:val="false"/>
                <w:smallCaps w:val="false"/>
                <w:sz w:val="20"/>
              </w:rPr>
              <w:t> – Implementing a large digital signage project can be a logistical nightmare that can stall an initiative, even before deployment. Our expertise in logistics improves deployment efficiency, reduces delays and problems, and saves customers time and money.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Technical support</w:t>
            </w:r>
            <w:r>
              <w:rPr>
                <w:rFonts w:ascii="Times New Roman;Times;serif" w:hAnsi="Times New Roman;Times;serif"/>
                <w:caps w:val="false"/>
                <w:smallCaps w:val="false"/>
                <w:sz w:val="20"/>
              </w:rPr>
              <w:t> – Digital signage networks present unique challenges for corporate IT departments. We simplify and improve end user support by leveraging our own network operations center (“NOC”) in Louisville, Kentucky. The NOC resolves many issues remotely and when field support is required, it can be dispatched quickly from the NOC, leveraging our managed labor pool to resolve customer issues quickly and effectively.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Integrations and Application Development</w:t>
            </w:r>
            <w:r>
              <w:rPr>
                <w:rFonts w:ascii="Times New Roman;Times;serif" w:hAnsi="Times New Roman;Times;serif"/>
                <w:caps w:val="false"/>
                <w:smallCaps w:val="false"/>
                <w:sz w:val="20"/>
              </w:rPr>
              <w:t> – The future of digital signage is not still images and videos on a screen. We believe that interactive applications and integrations with other data sources will dominate the future. From social media feeds, mobile integrations, corporate data stores, or POS systems, our proven ability to build scalable applications and integrations is a key advantage that customers can leverage to deliver more compelling and engaging experiences for their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Hardware support</w:t>
            </w:r>
            <w:r>
              <w:rPr>
                <w:rFonts w:ascii="Times New Roman;Times;serif" w:hAnsi="Times New Roman;Times;serif"/>
                <w:caps w:val="false"/>
                <w:smallCaps w:val="false"/>
                <w:sz w:val="20"/>
              </w:rPr>
              <w:t> – A number of digital signage providers sell a proprietary media player or align themselves with just one operating system. We utilize a range of media players including Windows, Android and BrightSign to provide customers the flexibility they need to select the appropriate hardware for any application knowing the entire network can still be served by a single digital signage platform, reducing complexity and improving the productivity of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Retail Media Network</w:t>
            </w:r>
            <w:r>
              <w:rPr>
                <w:rFonts w:ascii="Times New Roman;Times;serif" w:hAnsi="Times New Roman;Times;serif"/>
                <w:caps w:val="false"/>
                <w:smallCaps w:val="false"/>
                <w:sz w:val="20"/>
              </w:rPr>
              <w:t> – The Company owns and operates the largest mall shopping network in Canada.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Sources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four primary sources of revenue for the Company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Hardware sales from reselling digital signage hardware from original equipment manufacturers such as Samsung and BrightSign.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revenue from helping customers design, deploy and manage their digital signage and in-store retail media networks, including:</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60"/>
        <w:gridCol w:w="125"/>
        <w:gridCol w:w="300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3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Hardware system design/engineering</w:t>
            </w:r>
          </w:p>
        </w:tc>
      </w:tr>
    </w:tbl>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60"/>
        <w:gridCol w:w="125"/>
        <w:gridCol w:w="176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7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Hardware installation</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25"/>
        <w:gridCol w:w="179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7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Content development</w:t>
            </w:r>
          </w:p>
        </w:tc>
      </w:tr>
    </w:tbl>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60"/>
        <w:gridCol w:w="125"/>
        <w:gridCol w:w="162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6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Content scheduling</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60"/>
        <w:gridCol w:w="125"/>
        <w:gridCol w:w="35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3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Post-deployment network and field support</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0"/>
        <w:gridCol w:w="125"/>
        <w:gridCol w:w="701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7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AdTech to traffic advertising and content directly and through programmatic channels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Recurring subscription licensing and support revenue from our digital signage software platforms, which are generally sold via a SaaS model. Our platforms: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ReflectView</w:t>
            </w:r>
            <w:r>
              <w:rPr>
                <w:rFonts w:ascii="Times New Roman;Times;serif" w:hAnsi="Times New Roman;Times;serif"/>
                <w:caps w:val="false"/>
                <w:smallCaps w:val="false"/>
                <w:sz w:val="20"/>
              </w:rPr>
              <w:t>, the Company’s core digital signage platform for most applications, scalable and cost effective from 10 to 100,000+ devices;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 Xperience</w:t>
            </w:r>
            <w:r>
              <w:rPr>
                <w:rFonts w:ascii="Times New Roman;Times;serif" w:hAnsi="Times New Roman;Times;serif"/>
                <w:caps w:val="false"/>
                <w:smallCaps w:val="false"/>
                <w:sz w:val="20"/>
              </w:rPr>
              <w:t>, a web-based interface that allows customers to give content scheduling access to local users via the web or mobile devices, while still maintaining centralized programming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AdLogic</w:t>
            </w:r>
            <w:r>
              <w:rPr>
                <w:rFonts w:ascii="Times New Roman;Times;serif" w:hAnsi="Times New Roman;Times;serif"/>
                <w:caps w:val="false"/>
                <w:smallCaps w:val="false"/>
                <w:sz w:val="20"/>
              </w:rPr>
              <w:t>, the Company’s ad management platform for digital signage networks, which presently delivers approximately 50 million ads daily;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Clarity</w:t>
            </w:r>
            <w:r>
              <w:rPr>
                <w:rFonts w:ascii="Times New Roman;Times;serif" w:hAnsi="Times New Roman;Times;serif"/>
                <w:caps w:val="false"/>
                <w:smallCaps w:val="false"/>
                <w:sz w:val="20"/>
              </w:rPr>
              <w:t>, the Company’s digital signage platform for menu board solutions, which has become a market leader for a range of restaurants, including QSRs and convenience store applications;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iShowroomProX</w:t>
            </w:r>
            <w:r>
              <w:rPr>
                <w:rFonts w:ascii="Times New Roman;Times;serif" w:hAnsi="Times New Roman;Times;serif"/>
                <w:caps w:val="false"/>
                <w:smallCaps w:val="false"/>
                <w:sz w:val="20"/>
              </w:rPr>
              <w:t>, an omni-channel digital sales support platform targeted at original equipment manufacturers in the transportation sector, which integrates with dozens of key data services including dealer inventory at the VIN level.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Selling digital out-of-home (DOOH) advertising on infrastructure it owns or operates at retail malls, shopping centers, office buildings, and other commercial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hardware sales and support services revenues can fluctuate more significantly year over year based on new, large-scale network deployments, the Company is focusing on maintaining and increasing recurring SaaS revenue as digital signage adoption/utilization expands across the vertical markets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operating expenses are comprised of sales and marketing, and general and administrative expenses.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general and administrative expenses consist of corporate overhead, including administrative salaries, real property lease payments, salaries, and benefits for our corporate officers and other expenses such as legal and accounting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 w:hAnsi="Times New Roman"/>
          <w:i/>
          <w:caps w:val="false"/>
          <w:smallCaps w:val="false"/>
          <w:sz w:val="20"/>
        </w:rPr>
      </w:pPr>
      <w:r>
        <w:rPr>
          <w:rFonts w:ascii="Times New Roman" w:hAnsi="Times New Roman"/>
          <w:i/>
          <w:caps w:val="false"/>
          <w:smallCaps w:val="false"/>
          <w:sz w:val="20"/>
        </w:rPr>
        <w:t>Note: All dollar amounts reported in Results of Operations are in thousands, except per-share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Three Months Ended June 30, 2026 Compared to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tables presented below compare our results of operations from one period to another and present the results for each period and the change in those results from one period to another in both dollars and percentage change.</w:t>
      </w:r>
    </w:p>
    <w:p>
      <w:pPr>
        <w:pStyle w:val="TextBody"/>
        <w:bidi w:val="0"/>
        <w:spacing w:before="0" w:after="0"/>
        <w:ind w:left="0" w:right="0" w:hanging="0"/>
        <w:jc w:val="left"/>
        <w:rPr>
          <w:caps w:val="false"/>
          <w:smallCaps w:val="false"/>
        </w:rPr>
      </w:pPr>
      <w:r>
        <w:rPr>
          <w:caps w:val="false"/>
          <w:smallCaps w:val="false"/>
        </w:rPr>
        <w:t> </w:t>
      </w:r>
    </w:p>
    <w:tbl>
      <w:tblPr>
        <w:tblW w:w="9480" w:type="dxa"/>
        <w:jc w:val="left"/>
        <w:tblInd w:w="0" w:type="dxa"/>
        <w:tblLayout w:type="fixed"/>
        <w:tblCellMar>
          <w:top w:w="0" w:type="dxa"/>
          <w:left w:w="0" w:type="dxa"/>
          <w:bottom w:w="0" w:type="dxa"/>
          <w:right w:w="0" w:type="dxa"/>
        </w:tblCellMar>
      </w:tblPr>
      <w:tblGrid>
        <w:gridCol w:w="4655"/>
        <w:gridCol w:w="60"/>
        <w:gridCol w:w="201"/>
        <w:gridCol w:w="948"/>
        <w:gridCol w:w="128"/>
        <w:gridCol w:w="96"/>
        <w:gridCol w:w="201"/>
        <w:gridCol w:w="948"/>
        <w:gridCol w:w="80"/>
        <w:gridCol w:w="60"/>
        <w:gridCol w:w="152"/>
        <w:gridCol w:w="662"/>
        <w:gridCol w:w="80"/>
        <w:gridCol w:w="60"/>
        <w:gridCol w:w="96"/>
        <w:gridCol w:w="808"/>
        <w:gridCol w:w="24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w:t>
            </w:r>
          </w:p>
        </w:tc>
        <w:tc>
          <w:tcPr>
            <w:tcW w:w="245"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Hardware</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7,475</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other</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14,030</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sales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21,505</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Hardware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6,197</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other</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7,011</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cost of sales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13,208</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8,297</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2,024</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9,018</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11,042</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expenses (income):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debt discount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other (income) expenses, net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(4,211</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increased by $8,475 or 65%, to $21,505 for the three months ended June 30, 2026 compared to the same period in 2025. Hardware revenues during the second quarter of 2026 were $7,475, an increase of $402 as compared to the same period in 2025. The increase was due to the inclusion of CDM, which contributed $380 during the period. Services and other revenues were $14,030, an increase of $8,073 for the three months ended June 30, 2026, as compared to the same period in 2025, due to the acquisition of CDM. Managed services revenue, which includes the Company’s SaaS subscription services, was $4,991, an increase of $507, or 11%, as compared to the same period in 2025, largely driven by the inclusion of CDM in 2026, which represented approximately $1,813. This increase was offset by the expiration of certain customer contracts within the legacy operations of CRI. Other services revenue also increased as a result of the acquisition of CDM, up $1,326 for the three months ended June 30, 2026 as compared to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margin was 39% and 39% for the three months ended June 30, 2026 and 2025, respectively. Hardware gross margin decreased 8 points, due to an unusually higher mix of lower margin QSR deployments during the 2026 period. Services and other gross margin decreased 4 points in the quarter compared to the prior year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and marketing expenses generally include the salaries, taxes, and benefits of our sales and marketing personnel, as well as trade show activities, travel, and other related sales and marketing expenses. Costs increased by $868, or 75% for the three months ended June 30, 2026 as compared to the same period in 2025 primarily due to the inclusion of CDM.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$3,826 or 74%, for the three months ended June 30, 2026 as compared to the same period in 2025. The increase was primarily driven by the inclusion of CDM, which represented $4,241 of expense offset by lower stock compensation expense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Interest expense increased by $913 or 178%, during the three months ended June 30, 2026 as compared to June 30, 2025 primarily as a result of the new Term Loan entered into during November 2025. See </w:t>
      </w:r>
      <w:hyperlink w:anchor="n9">
        <w:r>
          <w:rPr>
            <w:rStyle w:val="InternetLink"/>
            <w:rFonts w:ascii="Times New Roman" w:hAnsi="Times New Roman"/>
            <w:caps w:val="false"/>
            <w:smallCaps w:val="false"/>
            <w:sz w:val="20"/>
          </w:rPr>
          <w:t>Note 9</w:t>
        </w:r>
      </w:hyperlink>
      <w:r>
        <w:rPr>
          <w:rFonts w:ascii="Times New Roman" w:hAnsi="Times New Roman"/>
          <w:caps w:val="false"/>
          <w:smallCaps w:val="false"/>
          <w:sz w:val="20"/>
        </w:rPr>
        <w:t>, Debt, to the condensed consolidated financial statements for a discussion of the Company’s debt and related interest expense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Other Expense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recognized $40 in other expenses for the three months ended June 30, 2026 as compared to $(1) for the three months ended June 30, 2025. The increase is a result of the inclusion of CDM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Six Months Ended June 30, 2026 Compared to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tables presented below compare our results of operations from one period to another and present the results for each period and the change in those results from one period to another in both dollars and percentage change.</w:t>
      </w:r>
    </w:p>
    <w:p>
      <w:pPr>
        <w:pStyle w:val="TextBody"/>
        <w:bidi w:val="0"/>
        <w:spacing w:before="0" w:after="0"/>
        <w:ind w:left="0" w:right="0" w:hanging="0"/>
        <w:jc w:val="left"/>
        <w:rPr>
          <w:caps w:val="false"/>
          <w:smallCaps w:val="false"/>
        </w:rPr>
      </w:pPr>
      <w:r>
        <w:rPr>
          <w:caps w:val="false"/>
          <w:smallCaps w:val="false"/>
        </w:rPr>
        <w:t> </w:t>
      </w:r>
    </w:p>
    <w:tbl>
      <w:tblPr>
        <w:tblW w:w="9242" w:type="dxa"/>
        <w:jc w:val="left"/>
        <w:tblInd w:w="0" w:type="dxa"/>
        <w:tblLayout w:type="fixed"/>
        <w:tblCellMar>
          <w:top w:w="0" w:type="dxa"/>
          <w:left w:w="0" w:type="dxa"/>
          <w:bottom w:w="0" w:type="dxa"/>
          <w:right w:w="0" w:type="dxa"/>
        </w:tblCellMar>
      </w:tblPr>
      <w:tblGrid>
        <w:gridCol w:w="4655"/>
        <w:gridCol w:w="60"/>
        <w:gridCol w:w="175"/>
        <w:gridCol w:w="911"/>
        <w:gridCol w:w="112"/>
        <w:gridCol w:w="84"/>
        <w:gridCol w:w="175"/>
        <w:gridCol w:w="827"/>
        <w:gridCol w:w="80"/>
        <w:gridCol w:w="60"/>
        <w:gridCol w:w="131"/>
        <w:gridCol w:w="683"/>
        <w:gridCol w:w="80"/>
        <w:gridCol w:w="60"/>
        <w:gridCol w:w="88"/>
        <w:gridCol w:w="816"/>
        <w:gridCol w:w="24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8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w:t>
            </w:r>
          </w:p>
        </w:tc>
        <w:tc>
          <w:tcPr>
            <w:tcW w:w="245"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Hardware</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12,032</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25,821</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sales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37,853</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Hardware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13,844</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cost of sales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23,960</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13,893</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4,921</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17,923</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22,844</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(8,951</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expenses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debt discount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settlement of contingent consideration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3,251</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(12,202</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(11,357</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increased by $15,089 or 66%, to $37,853 for the six months ended June 30, 2026 compared to the same period in 2025. Hardware revenues during the first half of 2026 were $12,032, an increase of $1,565 as compared to the same period in 2025. Approximately 68% of the increase was due to the inclusion of CDM, with the remaining 32% driven by new customer deployments during the first half of 2026. The number of new deployments was lower than expected due to adverse weather conditions that delayed planned installations in multiple regions. Services and other revenues were $25,821, an increase of $13,524 for the six months ended June 30, 2026, as compared to the same period in 2025, due to the acquisition of CDM. Installation services revenue was $7,742, an increase of $4,908 for the six months ended June 30, 2026, as compared to the same period in 2025, driven by the inclusion of CDM in 2026 along with the continued roll-outs of QSR and lottery customers. Digital marketing advertising and other services revenues also increased as a result of the acquisition of CDM, up $8,979 for the six months ended June 30, 2026 as compared to the same period in 2025. Managed services revenue, which includes the Company’s SaaS subscription services, was $8,368, a decrease of $363, or 4%, as compared to the same period in 2025, due to the expiration of certain customer contracts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margin was 37% and 42% for the six months ended June 30, 2026 and 2025, respectively. Hardware gross margin decreased 11 points, due to an unusually higher mix of lower margin QSR deployments during the 2026 period and $486 in costs associated with transitioning away from an outsourced installer of a large CDM customer. Services and other gross margin decreased 7 points in the period compared to the prior year period driven by the expiration of certain customer contracts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and marketing expenses generally include the salaries, taxes, and benefits of our sales and marketing personnel, as well as trade show activities, travel, and other related sales and marketing expenses. Costs increased by $2,518, or 105% for the six months ended June 30, 2026 as compared to the same period in 2025, driven primarily by the inclusion of CDM which contributed $1,874 of expenses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$8,803 or 97%, for the six months ended June 30, 2026 as compared to the same period in 2025. The increase was primarily driven by the inclusion of CDM, which represented $8,020 of expense, and additional accounting, compliance, legal and other one-time fees and severance costs in connection with the integration of CDM.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Interest expense increased by $2,057 or 247%, during the six months ended June 30, 2026 as compared to June 30, 2025 primarily as a result of the Amended Credit Agreement entered into during November 2025. See </w:t>
      </w:r>
      <w:hyperlink w:anchor="n9">
        <w:r>
          <w:rPr>
            <w:rStyle w:val="InternetLink"/>
            <w:rFonts w:ascii="Times New Roman" w:hAnsi="Times New Roman"/>
            <w:caps w:val="false"/>
            <w:smallCaps w:val="false"/>
            <w:sz w:val="20"/>
          </w:rPr>
          <w:t>Note 9</w:t>
        </w:r>
      </w:hyperlink>
      <w:r>
        <w:rPr>
          <w:rFonts w:ascii="Times New Roman" w:hAnsi="Times New Roman"/>
          <w:caps w:val="false"/>
          <w:smallCaps w:val="false"/>
          <w:sz w:val="20"/>
        </w:rPr>
        <w:t>, Debt, to the condensed consolidated financial statements for a discussion of the Company’s debt and related interest expense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Other Expense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recognized $360 in other expenses for the six months ended June 30, 2026 as compared to $264 for the six months ended June 30, 2025. The increase is a result of the inclusion of CDM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Unaudited Quarterly Financial Information (Non-GAAP)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non-GAAP financial measure is generally defined as one that purports to measure historical or future financial performance, financial position, or cash flows, but excludes or includes amounts that would not be so excluded or included in the most comparable U.S. generally accepted accounting principles (“GAAP”) measure. Earnings before interest, taxes, depreciation, and amortization (“EBITDA”) and adjusted EBITDA (“Adjusted EBITDA”) are non-GAAP financial performance measures we believe offer a useful view of the overall operations of our business. These non-GAAP financial performance measures, which may not be comparable to, and may be defined differently than, similarly titled measures used or reported by other companies, should not be considered in isolation from or as a substitute for the related GAAP measures and should be read together with financial information presented on a GAAP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EBITDA and Adjusted EBITDA are not measurements of financial performance under GAAP. We use non-GAAP financial performance measures to supplement our GAAP results in order to provide a more complete understanding of the factors and trends affecting our business. We believe these non-GAAP financial performance measures are helpful in identifying trends in our day-to-day performance because the items excluded have little or no significance on our day-to-day operations. These measures provide an assessment of core expenses and afford management the ability to make decisions which are expected to facilitate meeting current financial goals as well as achieve optimal financial performance. Our management believes that these non-GAAP financial measures provide additional information useful for investors, shareholders and other stakeholders of our Company in gauging our results of operations on an ongoing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EBITDA and Adjusted EBITDA have limitations as analytical tools. They should not be viewed in isolation or as a substitute for net income (loss) or any other measure of performance derived in accordance with GAAP. EBITDA and Adjusted EBITDA exclude certain expenses that we believe may not be indicative of our business operating results. EBITDA should not be considered as an alternative to net (loss) income as an indicator of performance or as an alternative to cash flows from operating activities as an indicator of cash flows, in each case as determined in accordance with GAAP, or as a measure of liquidity. EBITDA does not take into account changes in certain assets and liabilities as well as interest and income taxes that can affect cash flows. In addition, Adjusted EBITDA excludes stock-based compensation, fair value adjustments and both cash and non-cash non-recurring gains and charges. We strongly urge you to review the following reconciliation of net (loss) income to EBITDA and Adjusted EBITDA, along with our condensed consolidated financial statements included elsewhere in this Quarterly Report on Form 10-Q. We also strongly urge you not to rely on any single financial performance measure to evaluate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shows the reconciliation of the Company's net loss to EBITDA and Adjusted EBITDA:</w:t>
      </w:r>
    </w:p>
    <w:p>
      <w:pPr>
        <w:pStyle w:val="TextBody"/>
        <w:bidi w:val="0"/>
        <w:spacing w:before="0" w:after="0"/>
        <w:ind w:left="0" w:right="0" w:hanging="0"/>
        <w:jc w:val="left"/>
        <w:rPr>
          <w:caps w:val="false"/>
          <w:smallCaps w:val="false"/>
        </w:rPr>
      </w:pPr>
      <w:r>
        <w:rPr>
          <w:caps w:val="false"/>
          <w:smallCaps w:val="false"/>
        </w:rPr>
        <w:t> </w:t>
      </w:r>
    </w:p>
    <w:tbl>
      <w:tblPr>
        <w:tblW w:w="9260" w:type="dxa"/>
        <w:jc w:val="left"/>
        <w:tblInd w:w="0" w:type="dxa"/>
        <w:tblLayout w:type="fixed"/>
        <w:tblCellMar>
          <w:top w:w="0" w:type="dxa"/>
          <w:left w:w="0" w:type="dxa"/>
          <w:bottom w:w="0" w:type="dxa"/>
          <w:right w:w="0" w:type="dxa"/>
        </w:tblCellMar>
      </w:tblPr>
      <w:tblGrid>
        <w:gridCol w:w="3635"/>
        <w:gridCol w:w="60"/>
        <w:gridCol w:w="135"/>
        <w:gridCol w:w="589"/>
        <w:gridCol w:w="80"/>
        <w:gridCol w:w="60"/>
        <w:gridCol w:w="166"/>
        <w:gridCol w:w="723"/>
        <w:gridCol w:w="80"/>
        <w:gridCol w:w="60"/>
        <w:gridCol w:w="254"/>
        <w:gridCol w:w="1115"/>
        <w:gridCol w:w="80"/>
        <w:gridCol w:w="60"/>
        <w:gridCol w:w="226"/>
        <w:gridCol w:w="993"/>
        <w:gridCol w:w="80"/>
        <w:gridCol w:w="60"/>
        <w:gridCol w:w="135"/>
        <w:gridCol w:w="589"/>
        <w:gridCol w:w="8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c>
          <w:tcPr>
            <w:tcW w:w="589"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66" w:type="dxa"/>
            <w:tcBorders>
              <w:bottom w:val="single" w:sz="2" w:space="0" w:color="000000"/>
            </w:tcBorders>
            <w:tcMar>
              <w:bottom w:w="28" w:type="dxa"/>
            </w:tcMar>
            <w:vAlign w:val="center"/>
          </w:tcPr>
          <w:p>
            <w:pPr>
              <w:pStyle w:val="TableContents"/>
              <w:bidi w:val="0"/>
              <w:spacing w:before="0" w:after="283"/>
              <w:jc w:val="left"/>
              <w:rPr/>
            </w:pPr>
            <w:r>
              <w:rPr/>
              <w:t> </w:t>
            </w:r>
          </w:p>
        </w:tc>
        <w:tc>
          <w:tcPr>
            <w:tcW w:w="723"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Quarters Ended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26" w:type="dxa"/>
            <w:tcBorders>
              <w:bottom w:val="single" w:sz="2" w:space="0" w:color="000000"/>
            </w:tcBorders>
            <w:tcMar>
              <w:bottom w:w="28" w:type="dxa"/>
            </w:tcMar>
            <w:vAlign w:val="center"/>
          </w:tcPr>
          <w:p>
            <w:pPr>
              <w:pStyle w:val="TableContents"/>
              <w:bidi w:val="0"/>
              <w:spacing w:before="0" w:after="283"/>
              <w:jc w:val="left"/>
              <w:rPr/>
            </w:pPr>
            <w:r>
              <w:rPr/>
              <w:t> </w:t>
            </w:r>
          </w:p>
        </w:tc>
        <w:tc>
          <w:tcPr>
            <w:tcW w:w="993"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c>
          <w:tcPr>
            <w:tcW w:w="589"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363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Depreciation/amortization:</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property and equipment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Deal &amp; transaction expenses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CDM related integration and transition costs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 of software asset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modification of revolver</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See </w:t>
      </w:r>
      <w:hyperlink w:anchor="note1">
        <w:r>
          <w:rPr>
            <w:rStyle w:val="InternetLink"/>
            <w:rFonts w:ascii="Times New Roman" w:hAnsi="Times New Roman"/>
            <w:caps w:val="false"/>
            <w:smallCaps w:val="false"/>
            <w:sz w:val="20"/>
          </w:rPr>
          <w:t>Note 1</w:t>
        </w:r>
      </w:hyperlink>
      <w:r>
        <w:rPr>
          <w:rFonts w:ascii="Times New Roman" w:hAnsi="Times New Roman"/>
          <w:caps w:val="false"/>
          <w:smallCaps w:val="false"/>
          <w:sz w:val="20"/>
        </w:rPr>
        <w:t>, </w:t>
      </w:r>
      <w:r>
        <w:rPr>
          <w:rFonts w:ascii="Times New Roman" w:hAnsi="Times New Roman"/>
          <w:i/>
          <w:caps w:val="false"/>
          <w:smallCaps w:val="false"/>
          <w:sz w:val="20"/>
        </w:rPr>
        <w:t>Nature of Organization and Operations,</w:t>
      </w:r>
      <w:r>
        <w:rPr>
          <w:rFonts w:ascii="Times New Roman" w:hAnsi="Times New Roman"/>
          <w:caps w:val="false"/>
          <w:smallCaps w:val="false"/>
          <w:sz w:val="20"/>
        </w:rPr>
        <w:t> to the accompanying condensed consolidated financial statements for a detailed discussion of liquidity and financial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was $1,003 for the six months ended June 30, 2026 compared to net cash provided by operating activities of $773 for the six months ended June 30, 2025. Cash provided in 2026 was primarily attributable to a net loss of $11,357, offset by net non-cash charges of $8,461 and a $3,899 net source of cash from changes in operating assets and liabilities. Cash provided in 2025 was primarily attributable to net income of $1,551 reduced by net non-cash gain of $(591) (including a $4,775 gain on settlement of contingent consideration), in addition to a decrease in operating assets and liabilities of $187.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$3,220 for the six months ended June 30, 2026 compared to $1,264 for the six months ended June 30, 2025. Capitalization of internally developed software costs was $768 for the six months ended June 30, 2026 compared to $1,155 for the six months ended June 30, 2025. Purchases of property and equipment were $2,452 for the six months ended June 30, 2026 compared to $109 for the six months ended June 30, 2025. The Company did not have any material commitments for capital expenditures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Net cash provided by financing activities was $11,325 for the six months ended June 30, 2026 compared to $23 for the six months ended June 30, 2025. Cash provided in 2026 was primarily attributable to $10,784 of net proceeds from the 2026 public offering of common stock and pre-funded warrants and net borrowings of $4,804 under the Revolving Credit Facility ($18,222 in proceeds and $13,418 in repayments), partially offset by $2,201 of scheduled principal payments on the Term Loan and the Promissory Note, $1,862 in repayments of finance lease obligations (which increased relative to the prior-year period as a result of finance leases assumed in the CDM Acquisition), and $200 used to repurchase Common Stock warrants pursuant to the Warrant Repurchase Agreement entered into on February 16, 2026. Remaining available amounts under the Revolving Credit Facility were $12,756 as of June 30, 2026. Cash provided in 2025 was primarily attributable to net borrowings of $3,049 under the Revolving Credit Facility under the Prior Credit Agreement ($18,334 in proceeds and $15,285 in repayments), partially offset by a $3,000 cash payment in connection with the partial settlement of the contingent consideration liability and $26 in repayments of finance lease obligations. See </w:t>
      </w:r>
      <w:hyperlink w:anchor="n9">
        <w:r>
          <w:rPr>
            <w:rStyle w:val="InternetLink"/>
            <w:rFonts w:ascii="Times New Roman" w:hAnsi="Times New Roman"/>
            <w:caps w:val="false"/>
            <w:smallCaps w:val="false"/>
            <w:sz w:val="20"/>
          </w:rPr>
          <w:t>Note 9</w:t>
        </w:r>
      </w:hyperlink>
      <w:r>
        <w:rPr>
          <w:rFonts w:ascii="Times New Roman" w:hAnsi="Times New Roman"/>
          <w:caps w:val="false"/>
          <w:smallCaps w:val="false"/>
          <w:sz w:val="20"/>
        </w:rPr>
        <w:t xml:space="preserve">, Debt, and </w:t>
      </w:r>
      <w:hyperlink w:anchor="n12">
        <w:r>
          <w:rPr>
            <w:rStyle w:val="InternetLink"/>
            <w:rFonts w:ascii="Times New Roman" w:hAnsi="Times New Roman"/>
            <w:caps w:val="false"/>
            <w:smallCaps w:val="false"/>
            <w:sz w:val="20"/>
          </w:rPr>
          <w:t>Note 12</w:t>
        </w:r>
      </w:hyperlink>
      <w:r>
        <w:rPr>
          <w:rFonts w:ascii="Times New Roman" w:hAnsi="Times New Roman"/>
          <w:caps w:val="false"/>
          <w:smallCaps w:val="false"/>
          <w:sz w:val="20"/>
        </w:rPr>
        <w:t>, Common Stock, to the condensed consolidated financial statements for further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we had operating and finance lease obligations of approximately $21,033 payable over the next five years. These obligations relate primarily to corporate office space, warehousing and light-assembly facilities used to stage and deploy digital signage hardware and leased equipment supporting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and related disclosures in conformity with U.S. GAAP requires us to make estimates and judgments that affect the reported amounts of assets, liabilities, revenue and expense, and the related disclosures. We base our estimates on historical experience and on assumptions that we believe are reasonable under the circumstances; actual results may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pPr>
      <w:r>
        <w:rPr>
          <w:rFonts w:ascii="Times New Roman" w:hAnsi="Times New Roman"/>
          <w:caps w:val="false"/>
          <w:smallCaps w:val="false"/>
          <w:sz w:val="20"/>
        </w:rPr>
        <w:t xml:space="preserve">Our critical accounting estimates are described in Part II, Item 7, Critical Accounting Estimates in our Annual Report on Form 10-K for the year ended December 31, 2025, and our significant accounting policies are described in </w:t>
      </w:r>
      <w:hyperlink w:anchor="note2">
        <w:r>
          <w:rPr>
            <w:rStyle w:val="InternetLink"/>
            <w:rFonts w:ascii="Times New Roman" w:hAnsi="Times New Roman"/>
            <w:caps w:val="false"/>
            <w:smallCaps w:val="false"/>
            <w:sz w:val="20"/>
          </w:rPr>
          <w:t>Note 2</w:t>
        </w:r>
      </w:hyperlink>
      <w:r>
        <w:rPr>
          <w:rFonts w:ascii="Times New Roman" w:hAnsi="Times New Roman"/>
          <w:caps w:val="false"/>
          <w:smallCaps w:val="false"/>
          <w:sz w:val="20"/>
        </w:rPr>
        <w:t>, Summary of Significant Accounting Policies, in our financial statements included elsewhere in this quarterly report. There have been no material changes to our critical accounting estimates or significant accounting policies since the filing of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we had no off-balance sheet arrangements, as defined in Item 303(a)(4)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0" w:name="item_3"/>
      <w:bookmarkEnd w:id="20"/>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foreign currency risks related to our revenue and operating expenses denominated in currencies other than the U.S. dollar, primarily the Canadian dollar, causing both our revenue and our operating results to be impacted by fluctuations in the exchange rates. Gains or losses from the revaluation of certain cash balances, accounts receivable balances and intercompany balances that are denominated in these currencies impact our net loss. A hypothetical decrease in all foreign currencies against the U.S. dollar of 1% would not result in a material foreign currency loss on foreign-denominated balances, as of June 30, 2026. As our foreign operations expand, our results may be more materially impacted by fluctuations in the exchange rates of the currencies in which we do business. At this time, we do not enter into financial instruments to hedge our 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1" w:name="item4"/>
      <w:bookmarkEnd w:id="21"/>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quarterly report. Based on that evaluation, our management, including our Chief Executive Officer and Chief Financial Officer, concluded that our disclosure controls and procedures were effective as of June 30, 2026, and were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that occurred during the three and six months ended June 30, 2026 that have materially affected, or are reasonably likely to materially affect, our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22" w:name="p2"/>
      <w:bookmarkEnd w:id="22"/>
      <w:r>
        <w:rPr>
          <w:rFonts w:ascii="Times New Roman" w:hAnsi="Times New Roman"/>
          <w:b/>
          <w:caps w:val="false"/>
          <w:smallCaps w:val="false"/>
          <w:sz w:val="20"/>
        </w:rPr>
        <w:t xml:space="preserve">PART II </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3" w:name="item_1"/>
      <w:bookmarkEnd w:id="23"/>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4" w:name="item1a"/>
      <w:bookmarkEnd w:id="24"/>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the information required by this Item; however, the discussion of our business and operations should be read together with the Risk Factors set forth in our Annual Report on Form 10-K filed with the SEC on April 15, 2026, and subsequent filings made with the SEC. Such risks and uncertainties have the potential to affect our business, financial condition, results of operations, cash flow, strategies or prospects in a material and adverse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5" w:name="i2"/>
      <w:bookmarkEnd w:id="25"/>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6" w:name="i3"/>
      <w:bookmarkEnd w:id="26"/>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7" w:name="i4"/>
      <w:bookmarkEnd w:id="27"/>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both"/>
        <w:rPr/>
      </w:pPr>
      <w:bookmarkStart w:id="28" w:name="i5"/>
      <w:bookmarkEnd w:id="28"/>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Rule </w:t>
      </w:r>
      <w:r>
        <w:rPr>
          <w:rStyle w:val="Emphasis"/>
          <w:rFonts w:ascii="Times New Roman" w:hAnsi="Times New Roman"/>
          <w:b/>
          <w:caps w:val="false"/>
          <w:smallCaps w:val="false"/>
          <w:sz w:val="20"/>
        </w:rPr>
        <w:t>10b5</w:t>
      </w:r>
      <w:r>
        <w:rPr>
          <w:rFonts w:ascii="Times New Roman" w:hAnsi="Times New Roman"/>
          <w:b/>
          <w:caps w:val="false"/>
          <w:smallCaps w:val="false"/>
          <w:sz w:val="20"/>
        </w:rPr>
        <w:t>-</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none of the Company’s directors or executive officers adopted or terminated any contract, instruction or written plan for the purchase or sale of Company securities that was intended to satisfy the affirmative defense conditions of Rule 10b5-1(c)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-1 trading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9" w:name="ex"/>
      <w:bookmarkEnd w:id="29"/>
      <w:r>
        <w:rPr>
          <w:rFonts w:ascii="Times New Roman" w:hAnsi="Times New Roman"/>
          <w:b/>
          <w:caps w:val="false"/>
          <w:smallCaps w:val="false"/>
          <w:sz w:val="20"/>
        </w:rPr>
        <w:t>Item 6. Exhibits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EXHIBITS</w:t>
      </w:r>
    </w:p>
    <w:tbl>
      <w:tblPr>
        <w:tblW w:w="10205" w:type="dxa"/>
        <w:jc w:val="left"/>
        <w:tblInd w:w="0" w:type="dxa"/>
        <w:tblLayout w:type="fixed"/>
        <w:tblCellMar>
          <w:top w:w="28" w:type="dxa"/>
          <w:left w:w="0" w:type="dxa"/>
          <w:bottom w:w="28" w:type="dxa"/>
          <w:right w:w="0" w:type="dxa"/>
        </w:tblCellMar>
      </w:tblPr>
      <w:tblGrid>
        <w:gridCol w:w="745"/>
        <w:gridCol w:w="6196"/>
        <w:gridCol w:w="500"/>
        <w:gridCol w:w="650"/>
        <w:gridCol w:w="1024"/>
        <w:gridCol w:w="1090"/>
      </w:tblGrid>
      <w:tr>
        <w:trPr/>
        <w:tc>
          <w:tcPr>
            <w:tcW w:w="745"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Exhibit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196"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Description</w:t>
            </w:r>
          </w:p>
        </w:tc>
        <w:tc>
          <w:tcPr>
            <w:tcW w:w="500"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50"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1024"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1090"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196" w:type="dxa"/>
            <w:tcBorders/>
            <w:tcMar>
              <w:top w:w="0" w:type="dxa"/>
              <w:bottom w:w="0" w:type="dxa"/>
            </w:tcMar>
            <w:vAlign w:val="center"/>
          </w:tcPr>
          <w:p>
            <w:pPr>
              <w:pStyle w:val="TableContents"/>
              <w:bidi w:val="0"/>
              <w:spacing w:before="0" w:after="0"/>
              <w:ind w:left="0" w:right="0" w:hanging="0"/>
              <w:jc w:val="left"/>
              <w:rPr/>
            </w:pPr>
            <w:hyperlink r:id="rId3">
              <w:r>
                <w:rPr>
                  <w:rStyle w:val="InternetLink"/>
                  <w:rFonts w:ascii="Times New Roman" w:hAnsi="Times New Roman"/>
                  <w:sz w:val="20"/>
                </w:rPr>
                <w:t>Underwriting Agreement, dated June 29, 2026, between Creative Realities, Inc. and Craig-Hallum Capital Group LLC.</w:t>
              </w:r>
            </w:hyperlink>
          </w:p>
        </w:tc>
        <w:tc>
          <w:tcPr>
            <w:tcW w:w="50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5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tc>
        <w:tc>
          <w:tcPr>
            <w:tcW w:w="1024" w:type="dxa"/>
            <w:tcBorders/>
            <w:tcMar>
              <w:top w:w="0" w:type="dxa"/>
              <w:bottom w:w="0" w:type="dxa"/>
            </w:tcMar>
            <w:vAlign w:val="center"/>
          </w:tcPr>
          <w:p>
            <w:pPr>
              <w:pStyle w:val="TableContents"/>
              <w:bidi w:val="0"/>
              <w:spacing w:before="0" w:after="283"/>
              <w:jc w:val="center"/>
              <w:rPr/>
            </w:pPr>
            <w:r>
              <w:rPr/>
              <w:t>June 30, 2026</w:t>
            </w:r>
          </w:p>
        </w:tc>
        <w:tc>
          <w:tcPr>
            <w:tcW w:w="1090" w:type="dxa"/>
            <w:tcBorders/>
            <w:tcMar>
              <w:top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196" w:type="dxa"/>
            <w:tcBorders/>
            <w:tcMar>
              <w:top w:w="0" w:type="dxa"/>
              <w:bottom w:w="0" w:type="dxa"/>
            </w:tcMar>
            <w:vAlign w:val="center"/>
          </w:tcPr>
          <w:p>
            <w:pPr>
              <w:pStyle w:val="TableContents"/>
              <w:bidi w:val="0"/>
              <w:spacing w:before="0" w:after="283"/>
              <w:jc w:val="left"/>
              <w:rPr/>
            </w:pPr>
            <w:hyperlink r:id="rId4">
              <w:r>
                <w:rPr>
                  <w:rStyle w:val="InternetLink"/>
                  <w:u w:val="single"/>
                </w:rPr>
                <w:t>Form of Pre-Funded Warrant.</w:t>
              </w:r>
            </w:hyperlink>
          </w:p>
        </w:tc>
        <w:tc>
          <w:tcPr>
            <w:tcW w:w="50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5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1024" w:type="dxa"/>
            <w:tcBorders/>
            <w:tcMar>
              <w:top w:w="0" w:type="dxa"/>
              <w:bottom w:w="0" w:type="dxa"/>
            </w:tcMar>
            <w:vAlign w:val="center"/>
          </w:tcPr>
          <w:p>
            <w:pPr>
              <w:pStyle w:val="TableContents"/>
              <w:bidi w:val="0"/>
              <w:spacing w:before="0" w:after="283"/>
              <w:jc w:val="center"/>
              <w:rPr/>
            </w:pPr>
            <w:r>
              <w:rPr/>
              <w:t>June 30, 2026</w:t>
            </w:r>
          </w:p>
        </w:tc>
        <w:tc>
          <w:tcPr>
            <w:tcW w:w="1090" w:type="dxa"/>
            <w:tcBorders/>
            <w:tcMar>
              <w:top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196" w:type="dxa"/>
            <w:tcBorders/>
            <w:tcMar>
              <w:top w:w="0" w:type="dxa"/>
              <w:bottom w:w="0" w:type="dxa"/>
            </w:tcMar>
            <w:vAlign w:val="center"/>
          </w:tcPr>
          <w:p>
            <w:pPr>
              <w:pStyle w:val="TableContents"/>
              <w:bidi w:val="0"/>
              <w:spacing w:before="0" w:after="0"/>
              <w:ind w:left="0" w:right="0" w:hanging="0"/>
              <w:jc w:val="left"/>
              <w:rPr/>
            </w:pPr>
            <w:hyperlink w:anchor="ex_1000821.htm">
              <w:r>
                <w:rPr>
                  <w:rStyle w:val="InternetLink"/>
                  <w:rFonts w:ascii="Times New Roman" w:hAnsi="Times New Roman"/>
                  <w:caps w:val="false"/>
                  <w:smallCaps w:val="false"/>
                  <w:sz w:val="20"/>
                  <w:u w:val="single"/>
                </w:rPr>
                <w:t>Chief Executive Officer Certification pursuant to Exchange Act Rule 13a-14(a).</w:t>
              </w:r>
            </w:hyperlink>
          </w:p>
        </w:tc>
        <w:tc>
          <w:tcPr>
            <w:tcW w:w="500" w:type="dxa"/>
            <w:tcBorders/>
            <w:tcMar>
              <w:top w:w="0" w:type="dxa"/>
              <w:bottom w:w="0" w:type="dxa"/>
            </w:tcMar>
            <w:vAlign w:val="center"/>
          </w:tcPr>
          <w:p>
            <w:pPr>
              <w:pStyle w:val="TableContents"/>
              <w:bidi w:val="0"/>
              <w:spacing w:before="0" w:after="283"/>
              <w:jc w:val="left"/>
              <w:rPr/>
            </w:pPr>
            <w:r>
              <w:rPr/>
              <w:t> </w:t>
            </w:r>
          </w:p>
        </w:tc>
        <w:tc>
          <w:tcPr>
            <w:tcW w:w="650" w:type="dxa"/>
            <w:tcBorders/>
            <w:tcMar>
              <w:top w:w="0" w:type="dxa"/>
              <w:bottom w:w="0" w:type="dxa"/>
            </w:tcMar>
            <w:vAlign w:val="center"/>
          </w:tcPr>
          <w:p>
            <w:pPr>
              <w:pStyle w:val="TableContents"/>
              <w:bidi w:val="0"/>
              <w:spacing w:before="0" w:after="283"/>
              <w:jc w:val="left"/>
              <w:rPr/>
            </w:pPr>
            <w:r>
              <w:rPr/>
              <w:t> </w:t>
            </w:r>
          </w:p>
        </w:tc>
        <w:tc>
          <w:tcPr>
            <w:tcW w:w="1024" w:type="dxa"/>
            <w:tcBorders/>
            <w:tcMar>
              <w:top w:w="0" w:type="dxa"/>
              <w:bottom w:w="0" w:type="dxa"/>
            </w:tcMar>
            <w:vAlign w:val="center"/>
          </w:tcPr>
          <w:p>
            <w:pPr>
              <w:pStyle w:val="TableContents"/>
              <w:bidi w:val="0"/>
              <w:spacing w:before="0" w:after="283"/>
              <w:jc w:val="left"/>
              <w:rPr/>
            </w:pPr>
            <w:r>
              <w:rPr/>
              <w:t> </w:t>
            </w:r>
          </w:p>
        </w:tc>
        <w:tc>
          <w:tcPr>
            <w:tcW w:w="109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196" w:type="dxa"/>
            <w:tcBorders/>
            <w:tcMar>
              <w:top w:w="0" w:type="dxa"/>
              <w:bottom w:w="0" w:type="dxa"/>
            </w:tcMar>
            <w:vAlign w:val="center"/>
          </w:tcPr>
          <w:p>
            <w:pPr>
              <w:pStyle w:val="TableContents"/>
              <w:bidi w:val="0"/>
              <w:spacing w:before="0" w:after="0"/>
              <w:ind w:left="0" w:right="0" w:hanging="0"/>
              <w:jc w:val="left"/>
              <w:rPr/>
            </w:pPr>
            <w:hyperlink w:anchor="ex_1000820.htm">
              <w:r>
                <w:rPr>
                  <w:rStyle w:val="InternetLink"/>
                  <w:rFonts w:ascii="Times New Roman" w:hAnsi="Times New Roman"/>
                  <w:caps w:val="false"/>
                  <w:smallCaps w:val="false"/>
                  <w:sz w:val="20"/>
                  <w:u w:val="single"/>
                </w:rPr>
                <w:t>Chief Financial Officer Certification pursuant to Exchange Act Rule 13a-14(a).</w:t>
              </w:r>
            </w:hyperlink>
          </w:p>
        </w:tc>
        <w:tc>
          <w:tcPr>
            <w:tcW w:w="500" w:type="dxa"/>
            <w:tcBorders/>
            <w:tcMar>
              <w:top w:w="0" w:type="dxa"/>
              <w:bottom w:w="0" w:type="dxa"/>
            </w:tcMar>
            <w:vAlign w:val="center"/>
          </w:tcPr>
          <w:p>
            <w:pPr>
              <w:pStyle w:val="TableContents"/>
              <w:bidi w:val="0"/>
              <w:spacing w:before="0" w:after="283"/>
              <w:jc w:val="left"/>
              <w:rPr/>
            </w:pPr>
            <w:r>
              <w:rPr/>
              <w:t> </w:t>
            </w:r>
          </w:p>
        </w:tc>
        <w:tc>
          <w:tcPr>
            <w:tcW w:w="650" w:type="dxa"/>
            <w:tcBorders/>
            <w:tcMar>
              <w:top w:w="0" w:type="dxa"/>
              <w:bottom w:w="0" w:type="dxa"/>
            </w:tcMar>
            <w:vAlign w:val="center"/>
          </w:tcPr>
          <w:p>
            <w:pPr>
              <w:pStyle w:val="TableContents"/>
              <w:bidi w:val="0"/>
              <w:spacing w:before="0" w:after="283"/>
              <w:jc w:val="left"/>
              <w:rPr/>
            </w:pPr>
            <w:r>
              <w:rPr/>
              <w:t> </w:t>
            </w:r>
          </w:p>
        </w:tc>
        <w:tc>
          <w:tcPr>
            <w:tcW w:w="1024" w:type="dxa"/>
            <w:tcBorders/>
            <w:tcMar>
              <w:top w:w="0" w:type="dxa"/>
              <w:bottom w:w="0" w:type="dxa"/>
            </w:tcMar>
            <w:vAlign w:val="center"/>
          </w:tcPr>
          <w:p>
            <w:pPr>
              <w:pStyle w:val="TableContents"/>
              <w:bidi w:val="0"/>
              <w:spacing w:before="0" w:after="283"/>
              <w:jc w:val="left"/>
              <w:rPr/>
            </w:pPr>
            <w:r>
              <w:rPr/>
              <w:t> </w:t>
            </w:r>
          </w:p>
        </w:tc>
        <w:tc>
          <w:tcPr>
            <w:tcW w:w="109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196" w:type="dxa"/>
            <w:tcBorders/>
            <w:tcMar>
              <w:top w:w="0" w:type="dxa"/>
              <w:bottom w:w="0" w:type="dxa"/>
            </w:tcMar>
            <w:vAlign w:val="center"/>
          </w:tcPr>
          <w:p>
            <w:pPr>
              <w:pStyle w:val="TableContents"/>
              <w:bidi w:val="0"/>
              <w:spacing w:before="0" w:after="0"/>
              <w:ind w:left="0" w:right="0" w:hanging="0"/>
              <w:jc w:val="left"/>
              <w:rPr/>
            </w:pPr>
            <w:hyperlink w:anchor="ex_1000819.htm">
              <w:r>
                <w:rPr>
                  <w:rStyle w:val="InternetLink"/>
                  <w:rFonts w:ascii="Times New Roman" w:hAnsi="Times New Roman"/>
                  <w:caps w:val="false"/>
                  <w:smallCaps w:val="false"/>
                  <w:sz w:val="20"/>
                  <w:u w:val="single"/>
                </w:rPr>
                <w:t>Chief Executive Officer Certification pursuant to 18 U.S.C. Section 1350.</w:t>
              </w:r>
            </w:hyperlink>
          </w:p>
        </w:tc>
        <w:tc>
          <w:tcPr>
            <w:tcW w:w="500" w:type="dxa"/>
            <w:tcBorders/>
            <w:tcMar>
              <w:top w:w="0" w:type="dxa"/>
              <w:bottom w:w="0" w:type="dxa"/>
            </w:tcMar>
            <w:vAlign w:val="center"/>
          </w:tcPr>
          <w:p>
            <w:pPr>
              <w:pStyle w:val="TableContents"/>
              <w:bidi w:val="0"/>
              <w:spacing w:before="0" w:after="283"/>
              <w:jc w:val="left"/>
              <w:rPr/>
            </w:pPr>
            <w:r>
              <w:rPr/>
              <w:t> </w:t>
            </w:r>
          </w:p>
        </w:tc>
        <w:tc>
          <w:tcPr>
            <w:tcW w:w="650" w:type="dxa"/>
            <w:tcBorders/>
            <w:tcMar>
              <w:top w:w="0" w:type="dxa"/>
              <w:bottom w:w="0" w:type="dxa"/>
            </w:tcMar>
            <w:vAlign w:val="center"/>
          </w:tcPr>
          <w:p>
            <w:pPr>
              <w:pStyle w:val="TableContents"/>
              <w:bidi w:val="0"/>
              <w:spacing w:before="0" w:after="283"/>
              <w:jc w:val="left"/>
              <w:rPr/>
            </w:pPr>
            <w:r>
              <w:rPr/>
              <w:t> </w:t>
            </w:r>
          </w:p>
        </w:tc>
        <w:tc>
          <w:tcPr>
            <w:tcW w:w="1024" w:type="dxa"/>
            <w:tcBorders/>
            <w:tcMar>
              <w:top w:w="0" w:type="dxa"/>
              <w:bottom w:w="0" w:type="dxa"/>
            </w:tcMar>
            <w:vAlign w:val="center"/>
          </w:tcPr>
          <w:p>
            <w:pPr>
              <w:pStyle w:val="TableContents"/>
              <w:bidi w:val="0"/>
              <w:spacing w:before="0" w:after="283"/>
              <w:jc w:val="left"/>
              <w:rPr/>
            </w:pPr>
            <w:r>
              <w:rPr/>
              <w:t> </w:t>
            </w:r>
          </w:p>
        </w:tc>
        <w:tc>
          <w:tcPr>
            <w:tcW w:w="109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w:t>
            </w:r>
          </w:p>
        </w:tc>
        <w:tc>
          <w:tcPr>
            <w:tcW w:w="6196" w:type="dxa"/>
            <w:tcBorders/>
            <w:tcMar>
              <w:top w:w="0" w:type="dxa"/>
              <w:bottom w:w="0" w:type="dxa"/>
            </w:tcMar>
            <w:vAlign w:val="center"/>
          </w:tcPr>
          <w:p>
            <w:pPr>
              <w:pStyle w:val="TableContents"/>
              <w:bidi w:val="0"/>
              <w:spacing w:before="0" w:after="0"/>
              <w:ind w:left="0" w:right="0" w:hanging="0"/>
              <w:jc w:val="left"/>
              <w:rPr/>
            </w:pPr>
            <w:hyperlink w:anchor="ex_1000818.htm">
              <w:r>
                <w:rPr>
                  <w:rStyle w:val="InternetLink"/>
                  <w:rFonts w:ascii="Times New Roman" w:hAnsi="Times New Roman"/>
                  <w:caps w:val="false"/>
                  <w:smallCaps w:val="false"/>
                  <w:sz w:val="20"/>
                  <w:u w:val="single"/>
                </w:rPr>
                <w:t>Chief Financial Officer Certification pursuant to 18 U.S.C. Section 1350.</w:t>
              </w:r>
            </w:hyperlink>
          </w:p>
        </w:tc>
        <w:tc>
          <w:tcPr>
            <w:tcW w:w="500" w:type="dxa"/>
            <w:tcBorders/>
            <w:tcMar>
              <w:top w:w="0" w:type="dxa"/>
              <w:bottom w:w="0" w:type="dxa"/>
            </w:tcMar>
            <w:vAlign w:val="center"/>
          </w:tcPr>
          <w:p>
            <w:pPr>
              <w:pStyle w:val="TableContents"/>
              <w:bidi w:val="0"/>
              <w:spacing w:before="0" w:after="283"/>
              <w:jc w:val="left"/>
              <w:rPr/>
            </w:pPr>
            <w:r>
              <w:rPr/>
              <w:t> </w:t>
            </w:r>
          </w:p>
        </w:tc>
        <w:tc>
          <w:tcPr>
            <w:tcW w:w="650" w:type="dxa"/>
            <w:tcBorders/>
            <w:tcMar>
              <w:top w:w="0" w:type="dxa"/>
              <w:bottom w:w="0" w:type="dxa"/>
            </w:tcMar>
            <w:vAlign w:val="center"/>
          </w:tcPr>
          <w:p>
            <w:pPr>
              <w:pStyle w:val="TableContents"/>
              <w:bidi w:val="0"/>
              <w:spacing w:before="0" w:after="283"/>
              <w:jc w:val="left"/>
              <w:rPr/>
            </w:pPr>
            <w:r>
              <w:rPr/>
              <w:t> </w:t>
            </w:r>
          </w:p>
        </w:tc>
        <w:tc>
          <w:tcPr>
            <w:tcW w:w="1024" w:type="dxa"/>
            <w:tcBorders/>
            <w:tcMar>
              <w:top w:w="0" w:type="dxa"/>
              <w:bottom w:w="0" w:type="dxa"/>
            </w:tcMar>
            <w:vAlign w:val="center"/>
          </w:tcPr>
          <w:p>
            <w:pPr>
              <w:pStyle w:val="TableContents"/>
              <w:bidi w:val="0"/>
              <w:spacing w:before="0" w:after="283"/>
              <w:jc w:val="left"/>
              <w:rPr/>
            </w:pPr>
            <w:r>
              <w:rPr/>
              <w:t> </w:t>
            </w:r>
          </w:p>
        </w:tc>
        <w:tc>
          <w:tcPr>
            <w:tcW w:w="109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196" w:type="dxa"/>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500" w:type="dxa"/>
            <w:tcBorders/>
            <w:tcMar>
              <w:top w:w="0" w:type="dxa"/>
              <w:bottom w:w="0" w:type="dxa"/>
            </w:tcMar>
            <w:vAlign w:val="center"/>
          </w:tcPr>
          <w:p>
            <w:pPr>
              <w:pStyle w:val="TableContents"/>
              <w:bidi w:val="0"/>
              <w:spacing w:before="0" w:after="283"/>
              <w:jc w:val="left"/>
              <w:rPr/>
            </w:pPr>
            <w:r>
              <w:rPr/>
              <w:t> </w:t>
            </w:r>
          </w:p>
        </w:tc>
        <w:tc>
          <w:tcPr>
            <w:tcW w:w="650" w:type="dxa"/>
            <w:tcBorders/>
            <w:tcMar>
              <w:top w:w="0" w:type="dxa"/>
              <w:bottom w:w="0" w:type="dxa"/>
            </w:tcMar>
            <w:vAlign w:val="center"/>
          </w:tcPr>
          <w:p>
            <w:pPr>
              <w:pStyle w:val="TableContents"/>
              <w:bidi w:val="0"/>
              <w:spacing w:before="0" w:after="283"/>
              <w:jc w:val="left"/>
              <w:rPr/>
            </w:pPr>
            <w:r>
              <w:rPr/>
              <w:t> </w:t>
            </w:r>
          </w:p>
        </w:tc>
        <w:tc>
          <w:tcPr>
            <w:tcW w:w="1024" w:type="dxa"/>
            <w:tcBorders/>
            <w:tcMar>
              <w:top w:w="0" w:type="dxa"/>
              <w:bottom w:w="0" w:type="dxa"/>
            </w:tcMar>
            <w:vAlign w:val="center"/>
          </w:tcPr>
          <w:p>
            <w:pPr>
              <w:pStyle w:val="TableContents"/>
              <w:bidi w:val="0"/>
              <w:spacing w:before="0" w:after="283"/>
              <w:jc w:val="left"/>
              <w:rPr/>
            </w:pPr>
            <w:r>
              <w:rPr/>
              <w:t> </w:t>
            </w:r>
          </w:p>
        </w:tc>
        <w:tc>
          <w:tcPr>
            <w:tcW w:w="109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196" w:type="dxa"/>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c>
          <w:tcPr>
            <w:tcW w:w="500" w:type="dxa"/>
            <w:tcBorders/>
            <w:tcMar>
              <w:top w:w="0" w:type="dxa"/>
              <w:bottom w:w="0" w:type="dxa"/>
            </w:tcMar>
            <w:vAlign w:val="center"/>
          </w:tcPr>
          <w:p>
            <w:pPr>
              <w:pStyle w:val="TableContents"/>
              <w:bidi w:val="0"/>
              <w:spacing w:before="0" w:after="283"/>
              <w:jc w:val="left"/>
              <w:rPr/>
            </w:pPr>
            <w:r>
              <w:rPr/>
              <w:t> </w:t>
            </w:r>
          </w:p>
        </w:tc>
        <w:tc>
          <w:tcPr>
            <w:tcW w:w="650" w:type="dxa"/>
            <w:tcBorders/>
            <w:tcMar>
              <w:top w:w="0" w:type="dxa"/>
              <w:bottom w:w="0" w:type="dxa"/>
            </w:tcMar>
            <w:vAlign w:val="center"/>
          </w:tcPr>
          <w:p>
            <w:pPr>
              <w:pStyle w:val="TableContents"/>
              <w:bidi w:val="0"/>
              <w:spacing w:before="0" w:after="283"/>
              <w:jc w:val="left"/>
              <w:rPr/>
            </w:pPr>
            <w:r>
              <w:rPr/>
              <w:t> </w:t>
            </w:r>
          </w:p>
        </w:tc>
        <w:tc>
          <w:tcPr>
            <w:tcW w:w="1024" w:type="dxa"/>
            <w:tcBorders/>
            <w:tcMar>
              <w:top w:w="0" w:type="dxa"/>
              <w:bottom w:w="0" w:type="dxa"/>
            </w:tcMar>
            <w:vAlign w:val="center"/>
          </w:tcPr>
          <w:p>
            <w:pPr>
              <w:pStyle w:val="TableContents"/>
              <w:bidi w:val="0"/>
              <w:spacing w:before="0" w:after="283"/>
              <w:jc w:val="left"/>
              <w:rPr/>
            </w:pPr>
            <w:r>
              <w:rPr/>
              <w:t> </w:t>
            </w:r>
          </w:p>
        </w:tc>
        <w:tc>
          <w:tcPr>
            <w:tcW w:w="109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196" w:type="dxa"/>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c>
          <w:tcPr>
            <w:tcW w:w="500" w:type="dxa"/>
            <w:tcBorders/>
            <w:tcMar>
              <w:top w:w="0" w:type="dxa"/>
              <w:bottom w:w="0" w:type="dxa"/>
            </w:tcMar>
            <w:vAlign w:val="center"/>
          </w:tcPr>
          <w:p>
            <w:pPr>
              <w:pStyle w:val="TableContents"/>
              <w:bidi w:val="0"/>
              <w:spacing w:before="0" w:after="283"/>
              <w:jc w:val="left"/>
              <w:rPr/>
            </w:pPr>
            <w:r>
              <w:rPr/>
              <w:t> </w:t>
            </w:r>
          </w:p>
        </w:tc>
        <w:tc>
          <w:tcPr>
            <w:tcW w:w="650" w:type="dxa"/>
            <w:tcBorders/>
            <w:tcMar>
              <w:top w:w="0" w:type="dxa"/>
              <w:bottom w:w="0" w:type="dxa"/>
            </w:tcMar>
            <w:vAlign w:val="center"/>
          </w:tcPr>
          <w:p>
            <w:pPr>
              <w:pStyle w:val="TableContents"/>
              <w:bidi w:val="0"/>
              <w:spacing w:before="0" w:after="283"/>
              <w:jc w:val="left"/>
              <w:rPr/>
            </w:pPr>
            <w:r>
              <w:rPr/>
              <w:t> </w:t>
            </w:r>
          </w:p>
        </w:tc>
        <w:tc>
          <w:tcPr>
            <w:tcW w:w="1024" w:type="dxa"/>
            <w:tcBorders/>
            <w:tcMar>
              <w:top w:w="0" w:type="dxa"/>
              <w:bottom w:w="0" w:type="dxa"/>
            </w:tcMar>
            <w:vAlign w:val="center"/>
          </w:tcPr>
          <w:p>
            <w:pPr>
              <w:pStyle w:val="TableContents"/>
              <w:bidi w:val="0"/>
              <w:spacing w:before="0" w:after="283"/>
              <w:jc w:val="left"/>
              <w:rPr/>
            </w:pPr>
            <w:r>
              <w:rPr/>
              <w:t> </w:t>
            </w:r>
          </w:p>
        </w:tc>
        <w:tc>
          <w:tcPr>
            <w:tcW w:w="109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196" w:type="dxa"/>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c>
          <w:tcPr>
            <w:tcW w:w="500" w:type="dxa"/>
            <w:tcBorders/>
            <w:tcMar>
              <w:top w:w="0" w:type="dxa"/>
              <w:bottom w:w="0" w:type="dxa"/>
            </w:tcMar>
            <w:vAlign w:val="center"/>
          </w:tcPr>
          <w:p>
            <w:pPr>
              <w:pStyle w:val="TableContents"/>
              <w:bidi w:val="0"/>
              <w:spacing w:before="0" w:after="283"/>
              <w:jc w:val="left"/>
              <w:rPr/>
            </w:pPr>
            <w:r>
              <w:rPr/>
              <w:t> </w:t>
            </w:r>
          </w:p>
        </w:tc>
        <w:tc>
          <w:tcPr>
            <w:tcW w:w="650" w:type="dxa"/>
            <w:tcBorders/>
            <w:tcMar>
              <w:top w:w="0" w:type="dxa"/>
              <w:bottom w:w="0" w:type="dxa"/>
            </w:tcMar>
            <w:vAlign w:val="center"/>
          </w:tcPr>
          <w:p>
            <w:pPr>
              <w:pStyle w:val="TableContents"/>
              <w:bidi w:val="0"/>
              <w:spacing w:before="0" w:after="283"/>
              <w:jc w:val="left"/>
              <w:rPr/>
            </w:pPr>
            <w:r>
              <w:rPr/>
              <w:t> </w:t>
            </w:r>
          </w:p>
        </w:tc>
        <w:tc>
          <w:tcPr>
            <w:tcW w:w="1024" w:type="dxa"/>
            <w:tcBorders/>
            <w:tcMar>
              <w:top w:w="0" w:type="dxa"/>
              <w:bottom w:w="0" w:type="dxa"/>
            </w:tcMar>
            <w:vAlign w:val="center"/>
          </w:tcPr>
          <w:p>
            <w:pPr>
              <w:pStyle w:val="TableContents"/>
              <w:bidi w:val="0"/>
              <w:spacing w:before="0" w:after="283"/>
              <w:jc w:val="left"/>
              <w:rPr/>
            </w:pPr>
            <w:r>
              <w:rPr/>
              <w:t> </w:t>
            </w:r>
          </w:p>
        </w:tc>
        <w:tc>
          <w:tcPr>
            <w:tcW w:w="109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196" w:type="dxa"/>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c>
          <w:tcPr>
            <w:tcW w:w="500" w:type="dxa"/>
            <w:tcBorders/>
            <w:tcMar>
              <w:top w:w="0" w:type="dxa"/>
              <w:bottom w:w="0" w:type="dxa"/>
            </w:tcMar>
            <w:vAlign w:val="center"/>
          </w:tcPr>
          <w:p>
            <w:pPr>
              <w:pStyle w:val="TableContents"/>
              <w:bidi w:val="0"/>
              <w:spacing w:before="0" w:after="283"/>
              <w:jc w:val="left"/>
              <w:rPr/>
            </w:pPr>
            <w:r>
              <w:rPr/>
              <w:t> </w:t>
            </w:r>
          </w:p>
        </w:tc>
        <w:tc>
          <w:tcPr>
            <w:tcW w:w="650" w:type="dxa"/>
            <w:tcBorders/>
            <w:tcMar>
              <w:top w:w="0" w:type="dxa"/>
              <w:bottom w:w="0" w:type="dxa"/>
            </w:tcMar>
            <w:vAlign w:val="center"/>
          </w:tcPr>
          <w:p>
            <w:pPr>
              <w:pStyle w:val="TableContents"/>
              <w:bidi w:val="0"/>
              <w:spacing w:before="0" w:after="283"/>
              <w:jc w:val="left"/>
              <w:rPr/>
            </w:pPr>
            <w:r>
              <w:rPr/>
              <w:t> </w:t>
            </w:r>
          </w:p>
        </w:tc>
        <w:tc>
          <w:tcPr>
            <w:tcW w:w="1024" w:type="dxa"/>
            <w:tcBorders/>
            <w:tcMar>
              <w:top w:w="0" w:type="dxa"/>
              <w:bottom w:w="0" w:type="dxa"/>
            </w:tcMar>
            <w:vAlign w:val="center"/>
          </w:tcPr>
          <w:p>
            <w:pPr>
              <w:pStyle w:val="TableContents"/>
              <w:bidi w:val="0"/>
              <w:spacing w:before="0" w:after="283"/>
              <w:jc w:val="left"/>
              <w:rPr/>
            </w:pPr>
            <w:r>
              <w:rPr/>
              <w:t> </w:t>
            </w:r>
          </w:p>
        </w:tc>
        <w:tc>
          <w:tcPr>
            <w:tcW w:w="109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45"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196" w:type="dxa"/>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c>
          <w:tcPr>
            <w:tcW w:w="500" w:type="dxa"/>
            <w:tcBorders/>
            <w:tcMar>
              <w:top w:w="0" w:type="dxa"/>
              <w:bottom w:w="0" w:type="dxa"/>
            </w:tcMar>
            <w:vAlign w:val="center"/>
          </w:tcPr>
          <w:p>
            <w:pPr>
              <w:pStyle w:val="TableContents"/>
              <w:bidi w:val="0"/>
              <w:spacing w:before="0" w:after="283"/>
              <w:jc w:val="left"/>
              <w:rPr/>
            </w:pPr>
            <w:r>
              <w:rPr/>
              <w:t> </w:t>
            </w:r>
          </w:p>
        </w:tc>
        <w:tc>
          <w:tcPr>
            <w:tcW w:w="650" w:type="dxa"/>
            <w:tcBorders/>
            <w:tcMar>
              <w:top w:w="0" w:type="dxa"/>
              <w:bottom w:w="0" w:type="dxa"/>
            </w:tcMar>
            <w:vAlign w:val="center"/>
          </w:tcPr>
          <w:p>
            <w:pPr>
              <w:pStyle w:val="TableContents"/>
              <w:bidi w:val="0"/>
              <w:spacing w:before="0" w:after="283"/>
              <w:jc w:val="left"/>
              <w:rPr/>
            </w:pPr>
            <w:r>
              <w:rPr/>
              <w:t> </w:t>
            </w:r>
          </w:p>
        </w:tc>
        <w:tc>
          <w:tcPr>
            <w:tcW w:w="1024" w:type="dxa"/>
            <w:tcBorders/>
            <w:tcMar>
              <w:top w:w="0" w:type="dxa"/>
              <w:bottom w:w="0" w:type="dxa"/>
            </w:tcMar>
            <w:vAlign w:val="center"/>
          </w:tcPr>
          <w:p>
            <w:pPr>
              <w:pStyle w:val="TableContents"/>
              <w:bidi w:val="0"/>
              <w:spacing w:before="0" w:after="283"/>
              <w:jc w:val="left"/>
              <w:rPr/>
            </w:pPr>
            <w:r>
              <w:rPr/>
              <w:t> </w:t>
            </w:r>
          </w:p>
        </w:tc>
        <w:tc>
          <w:tcPr>
            <w:tcW w:w="1090" w:type="dxa"/>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45" w:type="dxa"/>
            <w:tcBorders>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196" w:type="dxa"/>
            <w:tcBorders>
              <w:bottom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500" w:type="dxa"/>
            <w:tcBorders>
              <w:bottom w:val="single" w:sz="2" w:space="0" w:color="000000"/>
            </w:tcBorders>
            <w:tcMar>
              <w:top w:w="0" w:type="dxa"/>
            </w:tcMar>
            <w:vAlign w:val="center"/>
          </w:tcPr>
          <w:p>
            <w:pPr>
              <w:pStyle w:val="TableContents"/>
              <w:bidi w:val="0"/>
              <w:spacing w:before="0" w:after="283"/>
              <w:jc w:val="left"/>
              <w:rPr/>
            </w:pPr>
            <w:r>
              <w:rPr/>
              <w:t> </w:t>
            </w:r>
          </w:p>
        </w:tc>
        <w:tc>
          <w:tcPr>
            <w:tcW w:w="650" w:type="dxa"/>
            <w:tcBorders>
              <w:bottom w:val="single" w:sz="2" w:space="0" w:color="000000"/>
            </w:tcBorders>
            <w:tcMar>
              <w:top w:w="0" w:type="dxa"/>
            </w:tcMar>
            <w:vAlign w:val="center"/>
          </w:tcPr>
          <w:p>
            <w:pPr>
              <w:pStyle w:val="TableContents"/>
              <w:bidi w:val="0"/>
              <w:spacing w:before="0" w:after="283"/>
              <w:jc w:val="left"/>
              <w:rPr/>
            </w:pPr>
            <w:r>
              <w:rPr/>
              <w:t> </w:t>
            </w:r>
          </w:p>
        </w:tc>
        <w:tc>
          <w:tcPr>
            <w:tcW w:w="1024" w:type="dxa"/>
            <w:tcBorders>
              <w:bottom w:val="single" w:sz="2" w:space="0" w:color="000000"/>
            </w:tcBorders>
            <w:tcMar>
              <w:top w:w="0" w:type="dxa"/>
            </w:tcMar>
            <w:vAlign w:val="center"/>
          </w:tcPr>
          <w:p>
            <w:pPr>
              <w:pStyle w:val="TableContents"/>
              <w:bidi w:val="0"/>
              <w:spacing w:before="0" w:after="283"/>
              <w:jc w:val="left"/>
              <w:rPr/>
            </w:pPr>
            <w:r>
              <w:rPr/>
              <w:t> </w:t>
            </w:r>
          </w:p>
        </w:tc>
        <w:tc>
          <w:tcPr>
            <w:tcW w:w="1090" w:type="dxa"/>
            <w:tcBorders>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0" w:name="sig"/>
      <w:bookmarkEnd w:id="30"/>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850"/>
        <w:gridCol w:w="2630"/>
      </w:tblGrid>
      <w:tr>
        <w:trPr/>
        <w:tc>
          <w:tcPr>
            <w:tcW w:w="185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CREATIVE REALITIES, INC.</w:t>
            </w:r>
          </w:p>
        </w:tc>
      </w:tr>
      <w:tr>
        <w:trPr/>
        <w:tc>
          <w:tcPr>
            <w:tcW w:w="185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i/>
                <w:caps w:val="false"/>
                <w:smallCaps w:val="false"/>
                <w:sz w:val="20"/>
                <w:u w:val="single"/>
              </w:rPr>
              <w:t>/s/ Richard Mills</w:t>
            </w:r>
          </w:p>
        </w:tc>
      </w:tr>
      <w:tr>
        <w:trPr/>
        <w:tc>
          <w:tcPr>
            <w:tcW w:w="185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Mills</w:t>
            </w:r>
          </w:p>
        </w:tc>
      </w:tr>
      <w:tr>
        <w:trPr/>
        <w:tc>
          <w:tcPr>
            <w:tcW w:w="185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85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i/>
                <w:caps w:val="false"/>
                <w:smallCaps w:val="false"/>
                <w:sz w:val="20"/>
                <w:u w:val="single"/>
              </w:rPr>
              <w:t>/s/ Tamra Koshewa</w:t>
            </w:r>
          </w:p>
        </w:tc>
      </w:tr>
      <w:tr>
        <w:trPr/>
        <w:tc>
          <w:tcPr>
            <w:tcW w:w="185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Tamra Koshewa</w:t>
            </w:r>
          </w:p>
        </w:tc>
      </w:tr>
      <w:tr>
        <w:trPr/>
        <w:tc>
          <w:tcPr>
            <w:tcW w:w="185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32 </w:t>
      </w:r>
    </w:p>
    <w:p>
      <w:pPr>
        <w:pStyle w:val="TextBody"/>
        <w:bidi w:val="0"/>
        <w:spacing w:before="0" w:after="0"/>
        <w:ind w:left="0" w:right="0" w:hanging="0"/>
        <w:jc w:val="left"/>
        <w:rPr>
          <w:caps w:val="false"/>
          <w:smallCaps w:val="false"/>
        </w:rPr>
      </w:pPr>
      <w:bookmarkStart w:id="31" w:name="ex_1000821.htm"/>
      <w:bookmarkStart w:id="32" w:name="ksex_1000821"/>
      <w:bookmarkEnd w:id="31"/>
      <w:bookmarkEnd w:id="32"/>
      <w:r>
        <w:rPr>
          <w:caps w:val="false"/>
          <w:smallCaps w:val="false"/>
        </w:rPr>
        <w:t> </w:t>
      </w:r>
      <w:r>
        <w:br w:type="page"/>
      </w:r>
    </w:p>
    <w:p>
      <w:pPr>
        <w:pStyle w:val="TextBody"/>
        <w:bidi w:val="0"/>
        <w:spacing w:before="0" w:after="0"/>
        <w:ind w:left="8640" w:right="0" w:firstLine="720"/>
        <w:jc w:val="righ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CHIEF EXECUTIVE OFFICER CERTIFICATION</w:t>
      </w:r>
      <w:r>
        <w:rPr>
          <w:rFonts w:ascii="Times New Roman" w:hAnsi="Times New Roman"/>
          <w:caps w:val="false"/>
          <w:smallCaps w:val="false"/>
          <w:sz w:val="20"/>
        </w:rPr>
        <w:br/>
      </w:r>
      <w:r>
        <w:rPr>
          <w:rFonts w:ascii="Times New Roman" w:hAnsi="Times New Roman"/>
          <w:b/>
          <w:caps w:val="false"/>
          <w:smallCaps w:val="false"/>
          <w:sz w:val="20"/>
        </w:rPr>
        <w:t>PURSUANT TO EXCHANGE ACT RULE 13a-14(a)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Richard Mills,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for the quarterly period ended June 30, 2026, of Creative Realities,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14, 2026</w:t>
      </w:r>
    </w:p>
    <w:tbl>
      <w:tblPr>
        <w:tblW w:w="2000" w:type="dxa"/>
        <w:jc w:val="left"/>
        <w:tblInd w:w="0" w:type="dxa"/>
        <w:tblLayout w:type="fixed"/>
        <w:tblCellMar>
          <w:top w:w="0" w:type="dxa"/>
          <w:left w:w="0" w:type="dxa"/>
          <w:bottom w:w="0" w:type="dxa"/>
          <w:right w:w="0" w:type="dxa"/>
        </w:tblCellMar>
      </w:tblPr>
      <w:tblGrid>
        <w:gridCol w:w="1940"/>
        <w:gridCol w:w="60"/>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i/>
                <w:caps w:val="false"/>
                <w:smallCaps w:val="false"/>
                <w:sz w:val="20"/>
                <w:u w:val="single"/>
              </w:rPr>
              <w:t>/s/ Richard Mills</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Richard Mills</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3" w:name="ex_1000820.htm"/>
      <w:bookmarkStart w:id="34" w:name="ksex_1000820"/>
      <w:bookmarkEnd w:id="33"/>
      <w:bookmarkEnd w:id="34"/>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CHIEF FINANCIAL OFFICER CERTIFICATION</w:t>
      </w:r>
      <w:r>
        <w:rPr>
          <w:rFonts w:ascii="Times New Roman" w:hAnsi="Times New Roman"/>
          <w:caps w:val="false"/>
          <w:smallCaps w:val="false"/>
          <w:sz w:val="20"/>
        </w:rPr>
        <w:br/>
      </w:r>
      <w:r>
        <w:rPr>
          <w:rFonts w:ascii="Times New Roman" w:hAnsi="Times New Roman"/>
          <w:b/>
          <w:caps w:val="false"/>
          <w:smallCaps w:val="false"/>
          <w:sz w:val="20"/>
        </w:rPr>
        <w:t>PURSUANT TO EXCHANGE ACT RULE 13a-14(a)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Tamra Koshewa,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for the quarterly period ended June 30, 2026, of Creative Realities,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1895"/>
      </w:tblGrid>
      <w:tr>
        <w:trPr/>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i/>
                <w:caps w:val="false"/>
                <w:smallCaps w:val="false"/>
                <w:sz w:val="20"/>
                <w:u w:val="single"/>
              </w:rPr>
              <w:t xml:space="preserve">/s/ </w:t>
            </w:r>
            <w:r>
              <w:rPr>
                <w:rFonts w:ascii="Times New Roman" w:hAnsi="Times New Roman"/>
                <w:caps w:val="false"/>
                <w:smallCaps w:val="false"/>
                <w:sz w:val="20"/>
                <w:u w:val="single"/>
              </w:rPr>
              <w:t>Tamra Koshewa</w:t>
            </w:r>
          </w:p>
        </w:tc>
      </w:tr>
      <w:tr>
        <w:trPr/>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Tamra Koshewa</w:t>
            </w:r>
          </w:p>
        </w:tc>
      </w:tr>
      <w:tr>
        <w:trPr/>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5" w:name="ex_1000819.htm"/>
      <w:bookmarkStart w:id="36" w:name="ksex_1000819"/>
      <w:bookmarkEnd w:id="35"/>
      <w:bookmarkEnd w:id="3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center"/>
        <w:rPr>
          <w:rFonts w:ascii="Times New Roman" w:hAnsi="Times New Roman"/>
          <w:caps w:val="false"/>
          <w:smallCaps w:val="false"/>
          <w:sz w:val="20"/>
        </w:rPr>
      </w:pPr>
      <w:r>
        <w:rPr>
          <w:rFonts w:ascii="Times New Roman" w:hAnsi="Times New Roman"/>
          <w:b/>
          <w:caps w:val="false"/>
          <w:smallCaps w:val="false"/>
          <w:sz w:val="20"/>
        </w:rPr>
        <w:t>CHIEF EXECUTIVE OFFICER CERTIFICATION</w:t>
      </w:r>
      <w:r>
        <w:rPr>
          <w:rFonts w:ascii="Times New Roman" w:hAnsi="Times New Roman"/>
          <w:caps w:val="false"/>
          <w:smallCaps w:val="false"/>
          <w:sz w:val="20"/>
        </w:rPr>
        <w:br/>
      </w:r>
      <w:r>
        <w:rPr>
          <w:rFonts w:ascii="Times New Roman" w:hAnsi="Times New Roman"/>
          <w:b/>
          <w:caps w:val="false"/>
          <w:smallCaps w:val="false"/>
          <w:sz w:val="20"/>
        </w:rPr>
        <w:t>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Creative Realities, Inc. (the “Company”) on Form 10-Q for the quarterly period ended June 30, 2026, as filed with the Securities and Exchange Commission on the date hereof (the “Report”), I, Richard Mills,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940"/>
      </w:tblGrid>
      <w:tr>
        <w:trPr/>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i/>
                <w:caps w:val="false"/>
                <w:smallCaps w:val="false"/>
                <w:sz w:val="20"/>
                <w:u w:val="single"/>
              </w:rPr>
              <w:t>/s/ Richard Mills</w:t>
            </w:r>
          </w:p>
        </w:tc>
      </w:tr>
      <w:tr>
        <w:trPr/>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Mills</w:t>
            </w:r>
          </w:p>
        </w:tc>
      </w:tr>
      <w:tr>
        <w:trPr/>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7" w:name="ex_1000818.htm"/>
      <w:bookmarkStart w:id="38" w:name="ksex_1000818"/>
      <w:bookmarkEnd w:id="37"/>
      <w:bookmarkEnd w:id="38"/>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center"/>
        <w:rPr>
          <w:rFonts w:ascii="Times New Roman" w:hAnsi="Times New Roman"/>
          <w:b/>
          <w:caps w:val="false"/>
          <w:smallCaps w:val="false"/>
          <w:sz w:val="20"/>
        </w:rPr>
      </w:pPr>
      <w:r>
        <w:rPr>
          <w:rFonts w:ascii="Times New Roman" w:hAnsi="Times New Roman"/>
          <w:b/>
          <w:caps w:val="false"/>
          <w:smallCaps w:val="false"/>
          <w:sz w:val="20"/>
        </w:rPr>
        <w:t>CHIEF FINANCIAL OFFICER CERTIFICATION PURSUANT TO</w:t>
      </w:r>
    </w:p>
    <w:p>
      <w:pPr>
        <w:pStyle w:val="TextBody"/>
        <w:bidi w:val="0"/>
        <w:spacing w:before="0" w:after="0"/>
        <w:ind w:left="0" w:right="0" w:firstLine="30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Creative Realities, Inc. (the “Company”) on Form 10-Q for the quarterly period ended June 30, 2026, as filed with the Securities and Exchange Commission on the date hereof (the “Report”), I, Tamra Koshewa,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1895"/>
      </w:tblGrid>
      <w:tr>
        <w:trPr/>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i/>
                <w:caps w:val="false"/>
                <w:smallCaps w:val="false"/>
                <w:sz w:val="20"/>
                <w:u w:val="single"/>
              </w:rPr>
              <w:t xml:space="preserve">/s/ </w:t>
            </w:r>
            <w:r>
              <w:rPr>
                <w:rFonts w:ascii="Times New Roman" w:hAnsi="Times New Roman"/>
                <w:caps w:val="false"/>
                <w:smallCaps w:val="false"/>
                <w:sz w:val="20"/>
                <w:u w:val="single"/>
              </w:rPr>
              <w:t>Tamra Koshewa</w:t>
            </w:r>
          </w:p>
        </w:tc>
      </w:tr>
      <w:tr>
        <w:trPr/>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Tamra Koshewa</w:t>
            </w:r>
          </w:p>
        </w:tc>
      </w:tr>
      <w:tr>
        <w:trPr/>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56093/000143774926022083/ex_982181.htm" TargetMode="External"/><Relationship Id="rId4" Type="http://schemas.openxmlformats.org/officeDocument/2006/relationships/hyperlink" Target="http://www.sec.gov/Archives/edgar/data/1356093/000143774926022083/ex_98218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18722</Words>
  <Characters>102006</Characters>
  <CharactersWithSpaces>123186</CharactersWithSpaces>
  <Paragraphs>7470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