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40" w:right="940" w:hanging="2992"/>
        <w:spacing w:after="0" w:line="414" w:lineRule="auto"/>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54" w:lineRule="exact"/>
        <w:rPr>
          <w:sz w:val="24"/>
          <w:szCs w:val="24"/>
          <w:color w:val="auto"/>
        </w:rPr>
      </w:pPr>
    </w:p>
    <w:p>
      <w:pPr>
        <w:jc w:val="center"/>
        <w:ind w:left="3600" w:right="940" w:hanging="2659"/>
        <w:spacing w:after="0" w:line="424" w:lineRule="auto"/>
        <w:tabs>
          <w:tab w:leader="none" w:pos="11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111760</wp:posOffset>
            </wp:positionV>
            <wp:extent cx="2777490" cy="505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C</w:t>
      </w:r>
      <w:r>
        <w:rPr>
          <w:rFonts w:ascii="Times New Roman" w:cs="Times New Roman" w:eastAsia="Times New Roman" w:hAnsi="Times New Roman"/>
          <w:sz w:val="25"/>
          <w:szCs w:val="25"/>
          <w:b w:val="1"/>
          <w:bCs w:val="1"/>
          <w:color w:val="auto"/>
        </w:rPr>
        <w:t>reative Realities,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100,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34"/>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(502) 791-8800</w:t>
            </w:r>
          </w:p>
        </w:tc>
        <w:tc>
          <w:tcPr>
            <w:tcW w:w="15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7"/>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3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CREXW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16, 2022, the registrant had 21,674,986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$808 and $620,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Work-in-process and 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19,143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seller note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and finance leases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16,855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Related Party Acquisition Term Loan, net of $2,010 and $0 discount,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Consolidation Term Loan, net of $2,146 and $143 discount,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related party convertible loans payable,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consideration,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43,819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14,152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 shares authorized; 21,675 and 12,009 shares issued and outstanding,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(49,783)</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(52,254)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4,298</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3,892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(recovery)/expense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Deal and transaction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extinguishment/settlement of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special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3,519</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forgiveness of Paycheck Protection Program</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and other Government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notes due to in-kind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(5,469)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obligations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(3,724)</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855</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1,201</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(17,184)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intern and external labor for software development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(775)</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common stock in PIPE, net of offering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1,814</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and exercise of pre-funded warrants in PIPE, net of offering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8,295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Acquisition Loan, net of offering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9,868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Seller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shares via registered direct offering,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3,105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2,883</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5,988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12,008,519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and warrants exercised in private investment in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entity (“PIPE”)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7,166,505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Reflect Systems, Inc. Merger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repricing events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21,675,025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19,060</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10,924,287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19,380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Disbursed Escrow Loan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97,144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Special Loan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of Shares via registered direct offering, net of offering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11,840,811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(all currency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these Notes to the accompanying Consolidated Financial Statements to “we,” “us,” “our” and “the Company” 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Creative Realities Canada, Inc., a Canadian corporation, and Reflect Systems, Inc., a Delaware corporation.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Reflect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12, 2021, the Company and Reflect Systems, Inc., or “Reflect,” entered into an Agreement and Plan of Merger (as amended on as amended on February 8, 2022, the “Merger Agreement”) pursuant to which a direct, wholly owned subsidiary of Creative Realities, CRI Acquisition Corporation, or “Merger Sub,” would merge with and into Reflect, with Reflect surviving as a wholly owned subsidiary of Creative Realities, and the surviving company of the merger, which transaction is referred to herein as the “Merger.” On February 17, 2022, the parties consummated the Merger.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upon the closing of the Merger, Reflect stockholders as of the effective time of the Merger collectively received from the Company, in the aggregate, the following Merger consideration: (i) $16,166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firstLine="648"/>
        <w:spacing w:after="0" w:line="261" w:lineRule="auto"/>
        <w:rPr>
          <w:sz w:val="20"/>
          <w:szCs w:val="20"/>
          <w:color w:val="auto"/>
        </w:rPr>
      </w:pPr>
      <w:r>
        <w:rPr>
          <w:rFonts w:ascii="Times New Roman" w:cs="Times New Roman" w:eastAsia="Times New Roman" w:hAnsi="Times New Roman"/>
          <w:sz w:val="18"/>
          <w:szCs w:val="18"/>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firstLine="8"/>
        <w:spacing w:after="0" w:line="253"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calendar days prior to the three-year anniversary of the Closing Date. If the Extension Threshold Price is less than 80% of the Guaranteed Price, then the Guaranteed Price will be increased by $1.00 per share.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Merger, the Company adopted a Retention Bonus Plan and raised capital to, among other things, pay the cash portion of the Merger consideration. The Retention Bonus Plan and financings are described below.</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Retention Bonus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17, 2022, in connection with the closing of the Merger (the “Closing”), the Company adopted a Retention Bonus Plan, pursuant to which the Company is required to pay to key members of Reflect’s management team an aggregate of $1,333 in cash, which was paid 50% at the Closing, and subject to continuous employment with Reflect or Creative Realities, 25% on the one-year anniversary of Closing and 25% on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the one-year anniversary of Closing and the remaining 25% of the value of such shares will be issued on the two-year anniversary of the Closing. The shares issued on the Closing were valued at $2.00 per share, and the shares to be issued after the Closing will be determined based on dividing the value of shares issuable on such date divided by the trailing 10-day volume weighted average price (VWAP) of the shares as of such date as reported on the Nasdaq Capital Market.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securities purchase agreement (the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offering expenses payable by the Company. Net proceeds to the Company were $10,160. The remaining exercise price for the Pre-Funded Warrant was $0.0001. Collectively, we refer to this transaction throughout this filing as the “Equity Financing”. The net proceeds from the Private Placement were used to fund, in part, payment of the closing cash consideration in the Merger.</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17, 2022, the Company and its subsidiaries (collectively, the “Borrowers”) refinanced their current debt facilities with Slipstream Communications, LLC (“Slipstream”), pursuant to a Second Amended and Restated Credit and Security Agreement (the “Credit Agreement”), and raised $10,000 in gross proceeds with a maturity date of February 1, 2025. 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Consolidation Term Loan with a maturity date of February 1, 2025. Collectively, we refer to this transaction throughout this filing as the “Debt Financing”. The net proceeds from the Credit Agreement were used to fund, in part, payment of the closing cash consideration in the Merger, and the cash payable under the terms of the Retention Bonus Plan at the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17, 2022, in connection with the closing of the acquisition of Reflect, the Company issued to the representative of Reflect stockholders, RSI Exit Corporation (“Stockholders’ Representative”), a $2,500 Note and Security Agreement (the “Secured Promissory Note”). The Secured Promissory Note accrues interest at 0.59% (the applicable federal rate) and requires the Company and Reflect to pay equal monthly principal installments of $104 on the fifteenth (15th) day of each month, commencing on March 15, 2022, Any remaining or unpaid principal is due and payable on February 17, 2023. The Secured Promissory Notes represents consideration in the Merger and is included as part of the purchase price.</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Loans Payable</w:t>
      </w:r>
      <w:r>
        <w:rPr>
          <w:rFonts w:ascii="Times New Roman" w:cs="Times New Roman" w:eastAsia="Times New Roman" w:hAnsi="Times New Roman"/>
          <w:sz w:val="18"/>
          <w:szCs w:val="18"/>
          <w:color w:val="auto"/>
        </w:rPr>
        <w:t xml:space="preserve"> to the Consolidated Financial Statements for an additional discussion of the Company’s debt obligations and further discussion of the Company’s refinancing activities subsequent to December 31, 2021.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and Financial Condition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produced positive net income for the three months ended March 31, 2022 and for the year ended December 31, 2021 and had positive cash flows from operating activities for both periods. As of March 31, 2022, we had cash and cash equivalents of $5,988 and a working capital surplus of $2,288.</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based on (i) the execution of the Equity Financing, (ii) the refinancing of our debt as part of the Debt Financing, including extension of the maturity date on our term loans, and (iii) our operational forecast through 2022 following completion of the Merger, that we can continue as a going concern through at least March 31, 2023. However, given our historical net losses and cash used in operating activities, we obtained a continued support letter from Slipstream through May 16, 2023. We can provide no assurance that our ongoing operational efforts will be successful which could have a material adverse effect on our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applicable instructions to Form 10-Q and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2021, included in the Company’s Annual Report on Form 10-K filed with the Securities and Exchange Commission on March 22, 2022.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Revenue Recognition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recognize revenue in accordance with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 See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additional detail and discussion of the Company’s performance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Inventories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including those on consignment, net of reserve of $628 and $502,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Impairment of Long-Lived Assets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 We evaluated whether there were any triggering events for consideration of impairment of our long-lived assets as of March 31, 2022 and concluded there were none.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5. Basic and Diluted Earnings/(Loss) per Common Share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Basic and diluted earnings/(loss)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and warrants totaling 20,732,886 at March 31, 2022 were excluded from the computation of income/(loss) per share as no stock options or warrants were in-the-money as of March 31, 2022. Shares reserved for outstanding stock options and warrants totaling 7,032,375 at March 31, 2021 were excluded from the computation of income/(loss) per share as no stock options or warrants were in-the-money as of March 31, 2021. In calculating diluted earnings per share for the three months ended March 31, 2021,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we excluded the dilutive effect of the potential issuance of common stock upon an assumed conversion of the Convertible Loan as we had the intent and ability to settle the debt in cash.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March 31, 2022 and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Goodwill and Definite-Lived Intangible Assets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follow the provisions of ASC 350, Goodwill and Other Intangible Assets. Pursuant to ASC 350, goodwill acquired in a purchase business combination is not amortized, but instead tested for impairment at least annually. The Company uses an annual measurement date of September 30 (see Note 7 </w:t>
      </w:r>
      <w:r>
        <w:rPr>
          <w:rFonts w:ascii="Times New Roman" w:cs="Times New Roman" w:eastAsia="Times New Roman" w:hAnsi="Times New Roman"/>
          <w:sz w:val="18"/>
          <w:szCs w:val="18"/>
          <w:i w:val="1"/>
          <w:iCs w:val="1"/>
          <w:color w:val="auto"/>
        </w:rPr>
        <w:t>Intangible Assets and Goodwill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 Pursuant to ASC 350, these intangible assets are evaluated for impairment at least annually, or as indicators of impairment are identified.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Use of Estimates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warrant liability valuation, contingent purchase consideration valuation,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account for leases in accordance with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 amended.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current maturities of operating leases, and long-term obligations under operating leases on our condensed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10. Business Combinations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 Refer to Note 5, </w:t>
      </w: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for a discussion of the accounting for the Merger.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RECENTLY ISSUED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2022, we early adopted Accounting Standards Update (“ASU”) No.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(ASU 2021-08), which clarifies that an acquirer of a business should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measure contract assets and contract liabilities in a business combination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adoption of this new standard did not have a material impact on our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No. 2020-06,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Derivatives and Hedging—Contracts in Entity’s Own Equity (Subtopic 815-40): Accounting for Convertible Instruments and Contracts in an Entity’s Own Equity (ASU 2020-06)</w:t>
      </w:r>
      <w:r>
        <w:rPr>
          <w:rFonts w:ascii="Times New Roman" w:cs="Times New Roman" w:eastAsia="Times New Roman" w:hAnsi="Times New Roman"/>
          <w:sz w:val="18"/>
          <w:szCs w:val="18"/>
          <w:color w:val="auto"/>
        </w:rPr>
        <w:t>, which simplifies the accounting for convertible instruments by reducing the number of accounting models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are currently evaluating the disclosure requirements and potential impact on our consolidated financial statements.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months ended March 31,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Media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italicized headers within this footnote represent separate performance obligations the Company may sell. When a contract includes more than one such element, the Company bifurcates these performance obligations according to our accounting policy and separately accounts for each.</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 hardware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When hardware revenue is an element in a multiple-element performance obligation, including those sales in which the Company has bundled installation services, the recognition of system hardware revenue is recognized at completion of the installation services.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Installation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installation service performance obligations that are partially unsatisfied as of March 31, 2022 and 2021 were $301 and $0,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and software license sales are recognized as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12-36 months in length. We account for revenue from these services in accordance with ASC 985-20-15-5 and recognize revenue ratably over the performance period. Software as a service revenues are classified as “Managed Services” within our disaggregated revenue.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maintenance and support services which include access to technical support personnel for software and hardware troubleshooting and monitoring of the health of a customer’s network, access to a sophisticated web-portal for managing the end-to-end hardware and software digital ecosystem, and hosting support services through our network operations center, or NOC. These services provide either physical or automated remote monitoring which support customer networks 7 days a week, 24 hours a day.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contracts are generally 12-36 months in length and generally automatically renew for additional 12-month periods unless cancelled by the customer. Rates for maintenance and support contracts are typically established based upon a fee per location or fee per device structure, with total fees subject to the number of services selected. Revenue is recognized ratably and evenly over the term of the agreement. Maintenance and Support revenues are classified as “Managed Services” within our disaggregated revenue.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the Company’s acquisition of Reflect as a result of the Merger, the Company has the capability to assist its customers with designing, deploying and monetizing, through media services their digital advertising networks. This is executed through both subscription agreements to programmatic advertising content and through direct sales media agreements in which the Company sells ads on behalf of its clients to be deployed on those client networks. The Company and its clients operate these agreements on a revenue share basis. Media sales activities are classified as Services revenues.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12, 2021, the Company and Reflect entered into an Agreement and Plan of Merger (as amended on as amended on February 8, 2022, the “Merger Agreement”) pursuant to which a direct, wholly owned subsidiary of Creative Realities, CRI Acquisition Corporation, or “Merger Sub,” would merge with and into Reflect, with Reflect surviving as a wholly owned subsidiary of Creative Realities, and the surviving company of the merger, which transaction is referred to herein as the “Merger.” On February 17, 2022, the parties consummated the Merger.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upon the closing of the Merger, Reflect stockholders as of the effective time of the Merger collectively received from the Company, in the aggregate, the following Merger consideration: (i) $16,166 payable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firstLine="8"/>
        <w:spacing w:after="0" w:line="253" w:lineRule="auto"/>
        <w:tabs>
          <w:tab w:leader="none" w:pos="2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days prior to the three-year anniversary of the Closing Date. If the Extension Threshold Price is less than 80% of the Guaranteed Price, then the Guaranteed Price will be increased by $1.00 per share.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Retention Bonus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17, 2022, in connection with the closing of the Merger, the Company adopted a Retention Bonus Plan, pursuant to which the Company is required to pay to key members of Reflect’s management team an aggregate of $1,333 in cash, which was paid 50% at the closing of the Merger (the “Closing”), and subject to continuous employment with Reflect or Creative Realities, 25% on the one-year anniversary of Closing and 25% on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the one-year anniversary of Closing and the remaining 25% of the value of such shares will be issued on the two-year anniversary of the Closing. The shares issued on the Closing were valued at $2.00 per share, and the shares to be issued after the Closing will be determined based on dividing the value of shares issuable on such date divided by the trailing 10-day volume weighted average price (VWAP) of the shares as of such date as reported on the Nasdaq Capital Market.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i w:val="1"/>
          <w:iCs w:val="1"/>
          <w:color w:val="auto"/>
        </w:rPr>
        <w:t>Secured Promissory Note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17, 2022, pursuant to the terms of the Merger, the Company issued to Stockholders’ Representative a $2,500 Note and Security Agreement (the “Secured Promissory Note”).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Secured Promissory Note accrues interest at 0.59% (the applicable federal rate) and requires the Company and Reflect to pay equal monthly principal installments of $104 on the fifteenth (15th) day of each month, commencing on March 15, 2022. Any remaining or unpaid principal shall be due and payable on February 17, 2023. All payments under the Secured Promissory Note will be paid to the escrow agent in the Merger Agreement to be placed into the escrow account to secure the Reflect stockholders’ indemnification obligations until released on the one-year anniversary of the closing of the Merger, at which time any remaining proceeds not subject to a pending indemnification claim will be paid to the exchange agent for payment to the Reflect Stockholders. The obligations of the Company and Reflect set forth in the Secured Promissory Note are secured by a first-lien security interest in various contracts of Reflect, together with all accounts arising under such contracts, supporting obligations related to the accounts arising under such contracts, all related books and records, and products and proceeds of the foregoing. Slipstream subordinated its security interest in such collateral, and the recourse for any breach of the Secured Promissory Note by the Company or Reflect will be against such collateral.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preliminary purchase price of Reflect consisted of the following items: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9"/>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15"/>
        </w:trPr>
        <w:tc>
          <w:tcPr>
            <w:tcW w:w="9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Cash consideration for Reflect stock</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16,664</w:t>
            </w: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201"/>
        </w:trPr>
        <w:tc>
          <w:tcPr>
            <w:tcW w:w="9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for Retention Bonus Plan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1,333</w:t>
            </w:r>
            <w:r>
              <w:rPr>
                <w:rFonts w:ascii="Times New Roman" w:cs="Times New Roman" w:eastAsia="Times New Roman" w:hAnsi="Times New Roman"/>
                <w:sz w:val="14"/>
                <w:szCs w:val="14"/>
                <w:color w:val="auto"/>
              </w:rPr>
              <w:t>(2)</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Reflect shareholders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4,667</w:t>
            </w:r>
            <w:r>
              <w:rPr>
                <w:rFonts w:ascii="Times New Roman" w:cs="Times New Roman" w:eastAsia="Times New Roman" w:hAnsi="Times New Roman"/>
                <w:sz w:val="14"/>
                <w:szCs w:val="14"/>
                <w:color w:val="auto"/>
              </w:rPr>
              <w:t>(3)</w:t>
            </w:r>
          </w:p>
        </w:tc>
      </w:tr>
      <w:tr>
        <w:trPr>
          <w:trHeight w:val="15"/>
        </w:trPr>
        <w:tc>
          <w:tcPr>
            <w:tcW w:w="9680" w:type="dxa"/>
            <w:vAlign w:val="bottom"/>
          </w:tcPr>
          <w:p>
            <w:pPr>
              <w:spacing w:after="0"/>
              <w:rPr>
                <w:sz w:val="20"/>
                <w:szCs w:val="20"/>
                <w:color w:val="auto"/>
              </w:rPr>
            </w:pPr>
            <w:r>
              <w:rPr>
                <w:rFonts w:ascii="Times New Roman" w:cs="Times New Roman" w:eastAsia="Times New Roman" w:hAnsi="Times New Roman"/>
                <w:sz w:val="1"/>
                <w:szCs w:val="1"/>
                <w:color w:val="auto"/>
              </w:rPr>
              <w:t>Common stock issued to Retention Bonus Plan</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333</w:t>
            </w:r>
          </w:p>
        </w:tc>
      </w:tr>
      <w:tr>
        <w:trPr>
          <w:trHeight w:val="197"/>
        </w:trPr>
        <w:tc>
          <w:tcPr>
            <w:tcW w:w="9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w:t>
            </w:r>
          </w:p>
        </w:tc>
      </w:tr>
      <w:tr>
        <w:trPr>
          <w:trHeight w:val="22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Promissory Note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w:t>
            </w:r>
            <w:r>
              <w:rPr>
                <w:rFonts w:ascii="Times New Roman" w:cs="Times New Roman" w:eastAsia="Times New Roman" w:hAnsi="Times New Roman"/>
                <w:sz w:val="14"/>
                <w:szCs w:val="14"/>
                <w:color w:val="auto"/>
              </w:rPr>
              <w:t>(5)</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5,600</w:t>
            </w:r>
            <w:r>
              <w:rPr>
                <w:rFonts w:ascii="Times New Roman" w:cs="Times New Roman" w:eastAsia="Times New Roman" w:hAnsi="Times New Roman"/>
                <w:sz w:val="14"/>
                <w:szCs w:val="14"/>
                <w:color w:val="auto"/>
              </w:rPr>
              <w:t>(6)</w:t>
            </w:r>
          </w:p>
        </w:tc>
      </w:tr>
      <w:tr>
        <w:trPr>
          <w:trHeight w:val="216"/>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31,097</w:t>
            </w:r>
          </w:p>
        </w:tc>
        <w:tc>
          <w:tcPr>
            <w:tcW w:w="320" w:type="dxa"/>
            <w:vAlign w:val="bottom"/>
            <w:tcBorders>
              <w:top w:val="single" w:sz="8" w:color="CCEEFF"/>
            </w:tcBorders>
            <w:shd w:val="clear" w:color="auto" w:fill="CCEEFF"/>
          </w:tcPr>
          <w:p>
            <w:pPr>
              <w:spacing w:after="0"/>
              <w:rPr>
                <w:sz w:val="18"/>
                <w:szCs w:val="18"/>
                <w:color w:val="auto"/>
              </w:rPr>
            </w:pPr>
          </w:p>
        </w:tc>
      </w:tr>
      <w:tr>
        <w:trPr>
          <w:trHeight w:val="25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17"/>
                <w:szCs w:val="17"/>
                <w:color w:val="auto"/>
              </w:rPr>
              <w:t>(813)</w:t>
            </w:r>
            <w:r>
              <w:rPr>
                <w:rFonts w:ascii="Times New Roman" w:cs="Times New Roman" w:eastAsia="Times New Roman" w:hAnsi="Times New Roman"/>
                <w:sz w:val="28"/>
                <w:szCs w:val="28"/>
                <w:color w:val="auto"/>
                <w:vertAlign w:val="superscript"/>
              </w:rPr>
              <w:t>(7)</w:t>
            </w:r>
          </w:p>
        </w:tc>
      </w:tr>
      <w:tr>
        <w:trPr>
          <w:trHeight w:val="248"/>
        </w:trPr>
        <w:tc>
          <w:tcPr>
            <w:tcW w:w="9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consideration transferred</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for outstanding shares of Reflect capital stock per Merger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utilized to fund the Retention Bonus Plan per Merger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common stock issued in exchange for outstanding shares of Reflect capital stock per Merger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common stock issued to fund the Retention Bonus Plan per Merger Agreement.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Promissory Note accrues interest at 0.59% (the applicable federal rate) and requires the Company and Reflect to pay equal monthly principal installments of $104 on the fifteenth (15th) day of each month, commencing on March 15, 2022. Any remaining or unpaid principal shall be due and payable on February 17, 2023.</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the fair value of the Guaranteed Consideration as of the Merger, which, if any, is payable on or after the three-year anniversary of the effective time of the Merger (subject to the Extension Option),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subject to the terms of the Merger Agreement.</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Reflect cash balance acquired at Closing.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$391 of direct transaction costs for the three months ended March 31, 2022. These costs are included in deal and transaction expense in the accompanying Condensed Consolidated Statement of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accounted for the Merger using the acquisition method of accounting. The preliminary allocation of the purchase price is based on estimates of the fair value of assets acquired and liabilities assumed as of February 17, 2022. The Company is continuing to obtain information to determine the acquired assets and liabilities, including tax assets, liabilities and other attributes. The components of the preliminary purchase price allocation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Definite-lived trade names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Definite-lived Developed technology</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Definite-lived Customer relationships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Definite-lived Noncompete agreements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37"/>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consideration transferred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engaged a third party valuation specialist to assist in the identification and calculation of the fair value of those separately identifiable intangible assets. The valuation procedures are not complete as of the time of this filing and, as such, preliminary valuations have been assigned based on internal financial models, cash projects, and historic retention information. The Company anticipates adjusting the values of these intangible assets, if any change is identified, through a measurement period to goodwill. Any adjustments to amortization expense will be recorded as an adjustment to the second quarter amortization expense.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anticipates completing the following valuation approaches by asset: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asset will be estimated using the income approach through a discounted cash flow analysis wherein the cash flows will be based on estimates used to price the Merger. Discount rates applied will be benchmarked with reference to the implied rate of return from the Company’s pricing model and the weighted average cost of capital.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 asset represents the “Reflect” brand name as marketed primarily as a full services digital software solution, marketed in numerous verticals with the exception of food service. The Company will apply the income approach through an excess earnings analysis to determine the fair value of the trade name asset. The Company will apply the income approach through a relief-from-royalty analysis to determine the fair value of this asset.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developed technology assets are primarily comprised of know-how and functionality embedded in Reflect’s proprietary content management applications, which drive currently marketed products and services. The Company will apply the income approach through a relief-from-royalty analysis to determine the preliminary fair value of this asset.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the weighted average lives ranging from 5 to 10 years as outlined below.</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preliminary valuation and amortization period of identifiable intangible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Noncompete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Preliminary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414"/>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55"/>
        </w:trPr>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bl>
    <w:p>
      <w:pPr>
        <w:spacing w:after="0" w:line="9" w:lineRule="exact"/>
        <w:rPr>
          <w:sz w:val="20"/>
          <w:szCs w:val="20"/>
          <w:color w:val="auto"/>
        </w:rPr>
      </w:pPr>
    </w:p>
    <w:p>
      <w:pPr>
        <w:ind w:left="645" w:hanging="645"/>
        <w:spacing w:after="0"/>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00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175"/>
            <w:col w:w="2565"/>
          </w:cols>
          <w:pgMar w:left="320" w:top="904" w:right="339" w:bottom="1440" w:gutter="0" w:footer="0" w:header="0"/>
          <w:type w:val="continuous"/>
        </w:sectPr>
      </w:pPr>
    </w:p>
    <w:p>
      <w:pPr>
        <w:spacing w:after="0" w:line="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estimated the preliminary fair value of the acquired property, plant and equipment using a combination of the cost and market approaches, depending on the component. The preliminary fair value of such property, plant and equipment is $96.</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excess of the purchase price over the preliminary estimated fair value of the tangible net assets and identifiable intangible assets acquired was recorded as goodwill and is subject to change upon final valuation.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None of the goodwill is expected to be deductible for income tax purposes.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financial results for the Company and Reflect as if the Merger had been completed at the beginning of the Company’s prior year, January 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earnings per common share)</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30,680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above does not include the pro forma adjustments that would be required under Regulation S-X for pro forma financial information and does not reflect future events that may occur after December 31, 2021 or any operating efficiencies or inefficiencies that may result from the Merger and related financings. Therefore, the information is not necessarily indicative of results that would have been achieved had the businesses been combined during the periods presented or the results that the Company will experience going forward.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calculation of the fair value of the Guaranteed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8 </w:t>
      </w:r>
      <w:r>
        <w:rPr>
          <w:rFonts w:ascii="Times New Roman" w:cs="Times New Roman" w:eastAsia="Times New Roman" w:hAnsi="Times New Roman"/>
          <w:sz w:val="18"/>
          <w:szCs w:val="18"/>
          <w:i w:val="1"/>
          <w:iCs w:val="1"/>
          <w:color w:val="auto"/>
        </w:rPr>
        <w:t>Intangible Assets, Including Goodwill</w:t>
      </w:r>
      <w:r>
        <w:rPr>
          <w:rFonts w:ascii="Times New Roman" w:cs="Times New Roman" w:eastAsia="Times New Roman" w:hAnsi="Times New Roman"/>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9 </w:t>
      </w:r>
      <w:r>
        <w:rPr>
          <w:rFonts w:ascii="Times New Roman" w:cs="Times New Roman" w:eastAsia="Times New Roman" w:hAnsi="Times New Roman"/>
          <w:sz w:val="18"/>
          <w:szCs w:val="18"/>
          <w:i w:val="1"/>
          <w:iCs w:val="1"/>
          <w:color w:val="auto"/>
        </w:rPr>
        <w:t>Loans Payable</w:t>
      </w:r>
      <w:r>
        <w:rPr>
          <w:rFonts w:ascii="Times New Roman" w:cs="Times New Roman" w:eastAsia="Times New Roman" w:hAnsi="Times New Roman"/>
          <w:sz w:val="18"/>
          <w:szCs w:val="18"/>
          <w:color w:val="auto"/>
        </w:rPr>
        <w:t>, the Convertible Loan was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The Convertible Loan was refinanced into the Consolidation Term Loan in February 2022.</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13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the calculation of the fair value of the warranty liability contains valuation inputs which are based on observable inputs (other than Level 1 prices) and are considered Level 2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2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75"/>
        </w:trPr>
        <w:tc>
          <w:tcPr>
            <w:tcW w:w="29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Supplemental Cash Flow Information</w:t>
            </w:r>
          </w:p>
        </w:tc>
        <w:tc>
          <w:tcPr>
            <w:tcW w:w="13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4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net</w:t>
            </w:r>
          </w:p>
        </w:tc>
        <w:tc>
          <w:tcPr>
            <w:tcW w:w="4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2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INTANGIBLE ASSETS, INCLUDING GOODWILL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24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26,445</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4,850</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2022, the Company added intangible assets as a result of accounting for the Merger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outlined in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the three months ended March 31, 2022 and March 31, 2021, amortization of intangible assets charged to operations was $680 and $140, respectively.</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Both the intangible assets and the related amortization expense related to the Merger which were recorded during the three months ended March 31, 2022 represent estimates. The Company has engaged a third party valuation specialist to value the separately identifiable intangible assets. Any differences between the values initially recorded for the intangible assets as of the Merger and those as a result of the valuation report will be recorded as a measurement period adjustment through goodwill, including adjusting year-to-date amortization expense as a period expense, if applicable.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Following the Merger, the Company evaluated its reporting units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and concluded that the Company has only one reporting unit. Therefore, the entire goodwill is allocated to that reporting unit. There were no indicators of impairment as of or during the three months ended March 31,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LOANS PAYABLE</w:t>
      </w:r>
    </w:p>
    <w:p>
      <w:pPr>
        <w:spacing w:after="0" w:line="22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outstanding debt with detachable warrants, as applicable, are shown in the table below. Further discussion of the notes follows.</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As of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Maturity</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Debt Type</w:t>
            </w:r>
          </w:p>
        </w:tc>
        <w:tc>
          <w:tcPr>
            <w:tcW w:w="12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Information</w:t>
            </w:r>
          </w:p>
        </w:tc>
        <w:tc>
          <w:tcPr>
            <w:tcW w:w="100" w:type="dxa"/>
            <w:vAlign w:val="bottom"/>
          </w:tcPr>
          <w:p>
            <w:pPr>
              <w:spacing w:after="0"/>
              <w:rPr>
                <w:sz w:val="21"/>
                <w:szCs w:val="21"/>
                <w:color w:val="auto"/>
              </w:rPr>
            </w:pPr>
          </w:p>
        </w:tc>
      </w:tr>
      <w:tr>
        <w:trPr>
          <w:trHeight w:val="257"/>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26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2/17/2022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21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5"/>
              </w:rPr>
              <w:t>8.0% interest</w:t>
            </w:r>
            <w:r>
              <w:rPr>
                <w:rFonts w:ascii="Times New Roman" w:cs="Times New Roman" w:eastAsia="Times New Roman" w:hAnsi="Times New Roman"/>
                <w:sz w:val="29"/>
                <w:szCs w:val="29"/>
                <w:color w:val="auto"/>
                <w:w w:val="95"/>
                <w:vertAlign w:val="superscript"/>
              </w:rPr>
              <w:t>(1)</w:t>
            </w:r>
          </w:p>
        </w:tc>
      </w:tr>
      <w:tr>
        <w:trPr>
          <w:trHeight w:val="25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2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2/17/2022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2/17/2023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6"/>
              </w:rPr>
              <w:t xml:space="preserve">0.59% interest </w:t>
            </w:r>
            <w:r>
              <w:rPr>
                <w:rFonts w:ascii="Times New Roman" w:cs="Times New Roman" w:eastAsia="Times New Roman" w:hAnsi="Times New Roman"/>
                <w:sz w:val="29"/>
                <w:szCs w:val="29"/>
                <w:color w:val="auto"/>
                <w:w w:val="96"/>
                <w:vertAlign w:val="superscript"/>
              </w:rPr>
              <w:t>(2)</w:t>
            </w:r>
          </w:p>
        </w:tc>
      </w:tr>
      <w:tr>
        <w:trPr>
          <w:trHeight w:val="257"/>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6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2/17/2022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2,694,495</w:t>
            </w:r>
          </w:p>
        </w:tc>
        <w:tc>
          <w:tcPr>
            <w:tcW w:w="2120" w:type="dxa"/>
            <w:vAlign w:val="bottom"/>
            <w:gridSpan w:val="2"/>
            <w:shd w:val="clear" w:color="auto" w:fill="CCEEFF"/>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6"/>
              </w:rPr>
              <w:t>10.0% interest</w:t>
            </w:r>
            <w:r>
              <w:rPr>
                <w:rFonts w:ascii="Times New Roman" w:cs="Times New Roman" w:eastAsia="Times New Roman" w:hAnsi="Times New Roman"/>
                <w:sz w:val="29"/>
                <w:szCs w:val="29"/>
                <w:color w:val="auto"/>
                <w:w w:val="96"/>
                <w:vertAlign w:val="superscript"/>
              </w:rPr>
              <w:t>(3)</w:t>
            </w:r>
          </w:p>
        </w:tc>
      </w:tr>
      <w:tr>
        <w:trPr>
          <w:trHeight w:val="27"/>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debt, gross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5,194,495</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Debt discount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(4,156)</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debt, net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current maturities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(2,396)</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2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Long term debt</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2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Maturity</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Debt Type</w:t>
            </w:r>
          </w:p>
        </w:tc>
        <w:tc>
          <w:tcPr>
            <w:tcW w:w="12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Information</w:t>
            </w:r>
          </w:p>
        </w:tc>
        <w:tc>
          <w:tcPr>
            <w:tcW w:w="100" w:type="dxa"/>
            <w:vAlign w:val="bottom"/>
          </w:tcPr>
          <w:p>
            <w:pPr>
              <w:spacing w:after="0"/>
              <w:rPr>
                <w:sz w:val="21"/>
                <w:szCs w:val="21"/>
                <w:color w:val="auto"/>
              </w:rPr>
            </w:pPr>
          </w:p>
        </w:tc>
      </w:tr>
      <w:tr>
        <w:trPr>
          <w:trHeight w:val="257"/>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D</w:t>
            </w:r>
          </w:p>
        </w:tc>
        <w:tc>
          <w:tcPr>
            <w:tcW w:w="26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8/17/2016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2/17/2025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588,236</w:t>
            </w:r>
          </w:p>
        </w:tc>
        <w:tc>
          <w:tcPr>
            <w:tcW w:w="21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5"/>
              </w:rPr>
              <w:t>8.0% interest</w:t>
            </w:r>
            <w:r>
              <w:rPr>
                <w:rFonts w:ascii="Times New Roman" w:cs="Times New Roman" w:eastAsia="Times New Roman" w:hAnsi="Times New Roman"/>
                <w:sz w:val="29"/>
                <w:szCs w:val="29"/>
                <w:color w:val="auto"/>
                <w:w w:val="95"/>
                <w:vertAlign w:val="superscript"/>
              </w:rPr>
              <w:t>(4)</w:t>
            </w:r>
          </w:p>
        </w:tc>
      </w:tr>
      <w:tr>
        <w:trPr>
          <w:trHeight w:val="25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26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12/30/2019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2/17/2025</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6"/>
              </w:rPr>
              <w:t>10.0% interest</w:t>
            </w:r>
            <w:r>
              <w:rPr>
                <w:rFonts w:ascii="Times New Roman" w:cs="Times New Roman" w:eastAsia="Times New Roman" w:hAnsi="Times New Roman"/>
                <w:sz w:val="29"/>
                <w:szCs w:val="29"/>
                <w:color w:val="auto"/>
                <w:w w:val="96"/>
                <w:vertAlign w:val="superscript"/>
              </w:rPr>
              <w:t>(4)</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gross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7,185</w:t>
            </w:r>
          </w:p>
        </w:tc>
        <w:tc>
          <w:tcPr>
            <w:tcW w:w="13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588,236</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Fair value (B)</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gross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7,019</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Debt discount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current maturities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 term debt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Acquisition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Reflect Seller Secured 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 Consolidation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 Term Loan with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 Secured Convertible Special Loan Promissory Note,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0712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cash interest per annum through maturity at February 15,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0.59% cash interest per annum (the applicable federal rate) through maturity at February 17,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cash interest per annum through maturity at February 15,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was paid-in-kind (“PIK”) through October 2021, at which point interest became payable in cash at the stated interest rates through maturity.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SBA Paycheck Protection Program Loan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27, 2020, the Company entered into a Promissory Note with Old National Bank (the “Promissory Note”), which provided for an unsecured loan of $1,552 pursuant to the Paycheck Protection Program under the Coronavirus Aid, Relief, and Economic Security Act and applicable regulations (the “CARES Act”). The Promissory Note had a term of two years with a 1% per annum interest rate.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Promissory Note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17, 2022, in connection with the closing of the Merger, the Company issued to RSI Exit Corporation (“Stockholders’ Representative”), the representative of Reflect stockholders, a $2,500 Note and Security Agreement (the “Secured Promissory Note”).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Secured Promissory Note accrues interest at 0.59% per annum (the applicable federal rate) and requires the Company and Reflect to pay equal monthly principal installments of $104 on the fifteenth (15th) day of each month, commencing on March 15, 2022. Any remaining or unpaid principal shall be due and payable on February 17, 2023. All payments under the Secured Promissory Note will be paid to the escrow agent in the Merger Agreement to be placed into the escrow account to secure the Reflect stockholders’ indemnification obligations until released on the one-year anniversary of the closing of the Merger, at which time any remaining proceeds not subject to a pending indemnification claim will be paid to the exchange agent for payment to the Reflect Stockholders.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Loan and Security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17, 2022, Creative Realities, Inc. (the “Company”) and its subsidiaries (collectively, the “Borrowers”) refinanced their current debt facilities with Slipstream Communications, LLC (“Slipstream”), pursuant to a Second Amended and Restated Credit and Security Agreement (the “Credit Agreement”). The Borrowers include Reflect Systems, Inc. (“Reflect”), which became a wholly owned subsidiary of the Company as a result of the closing of the Merger on February 17, 2022. The debt facilities continue to be fully secured by all assets of the Borrowers.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2,694,495 warrants). On the first day of each month, commencing March 1, 2022 through February 1, 2025, the Borrowers will make interest-only payments on the Consolidation Term Loan (estimated to be $60 per monthly payment).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(estimated to be $399 per monthly installment). The Company assessed the combination of the pre-existing senior secured term loan and secured convertible loan in accordance with ASC 470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and determined the transaction should be accounted for as an extinguishment, in part as the Consolidation Term Loan eliminated a substantive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feature. In aggregate the Company recorded a loss on extinguishment of $295, primarily associated with the write-off of pre-existing debt discounts.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refinancing the existing debt with Slipstream, the Company issued to Slipstream a $10,000, 36-month senior secured term loan (the “Acquisition Loan”) resulting in $10,000 in gross proceeds, or $9,950 in net proceeds. The Acquisition Loan matures on February 17, 2025 (the “Maturity Date”)and has an interest rate of 8.0%, with 50.0% warrant coverage (or 2,500,000 warrants). On the first day of each month, commencing March 1, 2022 through February 1, 2025, the Borrowers will make interest-only payments on the Acquisition Loan (estimated to be $67 per monthly payment). No principal payments on the Acquisition Loan are payable until the Maturity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Acquisition Loan and Consolidation Term Loan warrant coverage, the Company issued to Slipstream a warrant to purchase an aggregate of 5,194,495 shares of Company common stock (the “Lender Warrant”). The Lender Warrant has a five-year term, an initial exercise price of $2.00 per share, subject to adjustments in the Lender Warrant, and is not exercisable until August 17, 2022. The warrants were assessed in accordance with ASC 470 and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$0.8129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$162 during the three months ended March 31, 2022.</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 History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Ninth, Tenth, Eleventh, Twelfth, and Thirteenth Amendment; Modification of Conversion Date of Special Loan under Loan and Security Agreement</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execution of the Credit Agreement, Borrower and Slipstream were parties to a Loan and Security Agreement. On March 7, 2021, On February 28, 2021, January 31, 2021, December 31, 2020, November 30, 2020, and September 29, 2020, the parties entered into several amendments to the Loan and Security Agreement to amend the automatic conversion date of the Special Loan and, later, to eliminate the conversion feature. Each amendment extended the automatic conversion date of the Special Loan. The Company paid no fees in exchange for these extensions, with the exception of the March 7, 2021 extension which resulted in the Company recording of $133 of incremental debt discount, a net gain of $26 via the extinguishment of the Special Loan, and expense of $69 of costs incurred with third parties as a result of extinguishment of the Special Loan, modification of the New Term Loan, and extinguishment of the Disbursed Escrow Loan.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Disbursed Escrow Promissory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bore no interest. Upon entry into the Credit Agreement on March 7, 2021, this note was converted into Disbursed Escrow Conversion Shares, with elimination of the debt recorded as an equity issuance with the Statement of Shareholders Equity during the three months ended March 31,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 This case remains in the early stages of litigation, in part due to delays resulting from the COVID-19 pandemic, and, as a result, the outcome of each case is unclear, so the Company is unable to reasonably estimate the possible recovery, or range of recovery, if 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This suit remains in the early stages of litigation with discovery requests ongoing, and, as a result, the outcome of the suit and the allocation of liability, if any, remain unclear, so the Company is unable to reasonably estimate the possible liability, recovery, or range of magnitude for either the liability or recovery, if any, at the time of this filing.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RELATED PARTY TRANSACTIONS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had no related party transactions beyond those financing transactions with Slipstream, a related party, discussed in Note 8 </w:t>
      </w:r>
      <w:r>
        <w:rPr>
          <w:rFonts w:ascii="Times New Roman" w:cs="Times New Roman" w:eastAsia="Times New Roman" w:hAnsi="Times New Roman"/>
          <w:sz w:val="18"/>
          <w:szCs w:val="18"/>
          <w:i w:val="1"/>
          <w:iCs w:val="1"/>
          <w:color w:val="auto"/>
        </w:rPr>
        <w:t>Loans Payable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reported tax liability of $0. As of March 31, 2022, the net deferred tax assets totaled $0 after valuation allowance, consistent with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NOTE 13: WARRANTS</w:t>
            </w:r>
          </w:p>
        </w:tc>
        <w:tc>
          <w:tcPr>
            <w:tcW w:w="5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summary of outstanding warrants is included below:</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8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Warrants (Equity)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8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188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1"/>
                <w:szCs w:val="2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(5,851,505)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188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4,103,211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
        </w:trPr>
        <w:tc>
          <w:tcPr>
            <w:tcW w:w="1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18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700" w:type="dxa"/>
            <w:vAlign w:val="bottom"/>
            <w:tcBorders>
              <w:bottom w:val="single" w:sz="8" w:color="auto"/>
            </w:tcBorders>
            <w:gridSpan w:val="5"/>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Warrants (Liability)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8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188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1"/>
                <w:szCs w:val="2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88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13,761,000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1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1,400,000 shares of Company common stock in an at-the-market offering under Nasdaq rules. The number of shares of Company common stock subject to the Purchaser Warrant is equal to the waiver fee ($175) divided by $0.125 per share. The exercise price of the Purchaser Warrant is $1.41 per share, and the Purchaser Warrant is not exercisable until August 17, 2022. The Purchaser Warrant expires five years from the date of issuance. The Company evaluated the Purchaser Warrant and concluded that it does not meet the criteria to be classified within stockholders’ equity. The Purchaser Warrant includes provisions which could result in a different settlement value, for the Purchaser Warrant depending on the registration status of the underlying shares. Because these conditions are not an input into the pricing of a fixed-for-fixed option on the Company’s ordinary shares, the Purchaser Warrant is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Purchaser Warrant, resulting in a fair value of $0.8656 per warrant. In recording the warrant liability, the Company recorded an expense in the Condensed Consolidated Statement of Operations associated with the issuance of the Purchaser Warrant of $1,211. At March 31, 2022, the Company reassessed the fair value of the Purchase Warrant via Black Scholes valuation methodology and determined that the fair value of the Purchaser Warrant was $0.5815 per warrant, resulting in the Company recording a gain on the fair value of the Purchaser Warrant of $398 in the Condensed Consolidated Statement of Operations for the three months ended March 31,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3, 2022, the Company, entered into a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estimated offering expenses payable by the Company. During the three months ended March 31, 2022, each of the Pre-Funded Warrants were exercised. The Common Stock Warrants expire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 and concluded they do not meet the criteria to be classified within stockholders’ equity. The Common Stock Warrant include provisions which could result in a different settlement value, for the Common Stock Warrant depending on the registration status of the underlying shares. Because these conditions are not an input into the pricing of a fixed-for-fixed option on the Company’s ordinary shares, the Common Stock Warrant is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$1.0927 per warrant. At March 31, 2022, the Company reassessed the fair value of these warrants via Black Scholes valuation methodology and determined that the fair value of these warrants was $0.5815 per warrant, resulting in the Company recording a gain on the fair value of these warrants of $3,664 in the Condensed Consolidated Statement of Operations for the three months ended March 31, 2022.</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2022, in connection with the restructured Credit Agreement with Slipstream, the Company issued 5,194,495 warrants with an exercise price of $2.00 per share which expire five years from the date of issuance (the “Lender Warrant”). These warrants are not exercisable until 180 days after the issuance date. The common shares underlying these warrants have not yet been registered for resale under the Securities Act of 1933, which provides Slipstream with an option for cashless exercise once the warrant becomes exercisable until such time as such registration occurs. The warrants issued to Slipstream expire five years from the date of issuance. The Company evaluated the Lender Warrant and concluded that it does not meet the criteria to be classified within stockholders’ equity. The Lender Warrant includes provisions which could result in a different settlement value, for the Lender Warrant depending on the registration status of the underlying shares. Because these conditions are not an input into the pricing of a fixed-for-fixed option on the Company’s ordinary shares, the Lender Warrant is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$0.8129 per warrant. In recording the warrant liability, the Company recorded an increased in debt discount in the Condensed Consolidated Balance Sheet associated with the issuance of the warrants of $4,223, which is being amortized through interest expense in the Condensed Consolidated Statement of Operations over the life of the Acquisition and Consolidation Term Loans. At March 31, 2022, the Company reassessed the fair value of these warrants via Black Scholes valuation methodology and determined that the fair value of these warrants was $0.5420 per warrant, resulting in the Company recording a gain on the fair value of these warrants of $1,408 in the Condensed Consolidated Statement of Operations for the three months ended March 31, 2022.</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2022, there remained outstanding 597,678 warrants which contain weighted average anti-dilution protection. During the three months ended March 31, 2022, those warrants were subject to a downward adjustment in their strike price following completion of the Company’s issuance of common stock and warrants in (1) the Merger, (2) the Debt Offering, and (3) the Equity Offering – each in February 2022. The strike prices prior to adjustment ranged from $5.61 and $5.76 and were adjusted to between $3.41 and $3.48. The remaining weighted-average contractual life of warrants subject to weighted average anti-dilution protection is 0.67 years as of March 31, 2022. The repricing resulted in a reclassification of $31 between retained earnings and additional paid in capital during the three months ended March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NOTE 14: STOCK-BASED COMPENSATION</w:t>
            </w:r>
          </w:p>
        </w:tc>
        <w:tc>
          <w:tcPr>
            <w:tcW w:w="9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$0.01 - $3.00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1,780,000</w:t>
            </w:r>
          </w:p>
        </w:tc>
        <w:tc>
          <w:tcPr>
            <w:tcW w:w="14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6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$3.01 - $7.50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184,830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$7.51+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103,979</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908,675</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6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$0.01 - $3.00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266,667</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 Options</w:t>
            </w:r>
          </w:p>
        </w:tc>
        <w:tc>
          <w:tcPr>
            <w:tcW w:w="0" w:type="dxa"/>
            <w:vAlign w:val="bottom"/>
          </w:tcPr>
          <w:p>
            <w:pPr>
              <w:spacing w:after="0"/>
              <w:rPr>
                <w:sz w:val="1"/>
                <w:szCs w:val="1"/>
                <w:color w:val="auto"/>
              </w:rPr>
            </w:pPr>
          </w:p>
        </w:tc>
      </w:tr>
      <w:tr>
        <w:trPr>
          <w:trHeight w:val="194"/>
        </w:trPr>
        <w:tc>
          <w:tcPr>
            <w:tcW w:w="3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2,068,809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1,813,809</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7.26 years as of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Information for Stock-Based Compensation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estimated fair value under FASB ASC 718-10,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computed the estimated fair values of stock options using the Black-Scholes model. On June 1, 2020 the Board of Directors of the Company granted 10-year options to purchase an aggregate of 2,380,000 shares of its common stock to employees of the Company. Of the 2,380,000 options awarded, 1,580,000 vest over 3 years and have an exercise price of $2.53, the market value of the Company’s common stock on the grant date. The fair value of the options on the grant date was $1.87 and was determined using the Black-Scholes model.</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800,000 options awarded vest in equal installments over a three-year period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three years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Calendar Year</w:t>
            </w:r>
          </w:p>
        </w:tc>
        <w:tc>
          <w:tcPr>
            <w:tcW w:w="220" w:type="dxa"/>
            <w:vAlign w:val="bottom"/>
          </w:tcPr>
          <w:p>
            <w:pPr>
              <w:spacing w:after="0"/>
              <w:rPr>
                <w:sz w:val="23"/>
                <w:szCs w:val="2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Revenue Target</w:t>
            </w:r>
          </w:p>
        </w:tc>
        <w:tc>
          <w:tcPr>
            <w:tcW w:w="200" w:type="dxa"/>
            <w:vAlign w:val="bottom"/>
          </w:tcPr>
          <w:p>
            <w:pPr>
              <w:spacing w:after="0"/>
              <w:rPr>
                <w:sz w:val="23"/>
                <w:szCs w:val="2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EBITDA Target</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 million</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 million</w:t>
            </w: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million</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 million</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 million</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million</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of the foregoing options is $2.53 per share, the closing price of the Company’s common stock on the date of issuance. The options were issued from the Company’s 2014 Stock Incentive Plan. The fair value of the options on the grant date was $1.87 and was determined using the Black-Scholes model. These values were calculated using the same weighted average assumptions as the time vesting options issued. Performance against the identified revenue and EBITDA targets will be assessed quarterly by the Company in order to determine whether any compensation expense should be recorded.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the Company deemed it probable that the Company would achieve both the Revenue and EBITDA targets for Calendar Year 2022 and recorded catch-up compensation expense in the Condensed Consolidated Statement of Operations with respect to these awards of $112 during the three months ended March 31, 2022, specifically related to the Revenue Target. These awards have not yet vested and are subject to actual results for the full fiscal year 2022. Should this target not be achieved, amounts recorded as expense in the Condensed Consolidated Statement of Operations would be reversed. The Company anticipates recording approximately $225 during each subsequent quarter of 2022 related to the Revenue target for Calendar Year 2020 and 2021 portion of these awards. During the three months ended March 31, 2021, the Company deemed it probable that the Company would achieve the EBITDA target for Calendar Year 2021 and recorded catch-up compensation expense in the Consolidated Statement of Operations with respect to these awards of $263 during the three months ended March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 Information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ASC 718-10,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12,001 options outstanding under the 2006 Equity Incentive Plan.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There are 2,696, 674 options outstanding under the 2014 Stock Incentive Plan, including those Performance Awards.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the issuance of stock options, including those options awarded to our Board, for the three months ended March 31, 2022 and 2021 of $646 and $539, respectively, was included in general and administrative expense in the Condensed Consolidated Statement of Operations. Amounts recorded include stock compensation expense for awards granted to directors of the Company in exchange for services at fair value of $82 and $27 for the three months ended March 31, 2022 and 2021, respectively.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2022, there was approximately $1,420 and $674 of total unrecognized compensation expense related to unvested share-based awards with time vesting and performance vesting criteria, respectively. As of March 31, 2021, there was approximately $2,113 and $1,236 of total unrecognized compensation expense related to unvested share-based awards with time vesting and performance vesting criteria,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SIGNIFICANT CUSTOMERS/VENDORS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three (3) and two (2) customers that in the aggregate accounted for 62.5% and 41.1% of accounts receivable as of March 31, 2022 and December 31, 2021, respectively.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three (3) and two (2) customers that accounted for 70% and 40% of revenue for the three months ended March 31, 2022 and 2021,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two (2) and three (3) vendors that accounted for 57.9% and 69.1% of outstanding accounts payable at March 31, 2022 and December 31, 2021,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various non-cancelable operating lease agreements for certain of our offices and office equipment. Our leases have original lease periods expiring between 2021 and 2025.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lease costs, lease term and discount rate are as follows: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Three Months</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r>
      <w:tr>
        <w:trPr>
          <w:trHeight w:val="27"/>
        </w:trPr>
        <w:tc>
          <w:tcPr>
            <w:tcW w:w="84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r>
      <w:tr>
        <w:trPr>
          <w:trHeight w:val="21"/>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2.24 years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 years</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414"/>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schedule, by years, of maturities of lease liabilities as of March 31, 2022: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remainder of 2022</w:t>
            </w: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cash flows</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top w:val="single" w:sz="8" w:color="CCEEFF"/>
            </w:tcBorders>
          </w:tcPr>
          <w:p>
            <w:pPr>
              <w:spacing w:after="0"/>
              <w:rPr>
                <w:sz w:val="17"/>
                <w:szCs w:val="17"/>
                <w:color w:val="auto"/>
              </w:rPr>
            </w:pPr>
          </w:p>
        </w:tc>
      </w:tr>
      <w:tr>
        <w:trPr>
          <w:trHeight w:val="23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0"/>
        </w:trPr>
        <w:tc>
          <w:tcPr>
            <w:tcW w:w="8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CEEFF"/>
            </w:tcBorders>
          </w:tcPr>
          <w:p>
            <w:pPr>
              <w:spacing w:after="0"/>
              <w:rPr>
                <w:sz w:val="18"/>
                <w:szCs w:val="18"/>
                <w:color w:val="auto"/>
              </w:rPr>
            </w:pPr>
          </w:p>
        </w:tc>
      </w:tr>
      <w:tr>
        <w:trPr>
          <w:trHeight w:val="432"/>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10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637"/>
        </w:trPr>
        <w:tc>
          <w:tcPr>
            <w:tcW w:w="84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2021 as filed with the Securities and Exchange Commission on March 22, 2022.</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Creative Realities, Inc. (“Creative Realities,” “we,” “us,” or 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patient outcomes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including our recent acquisition of Reflect Systems, Inc. in February 2022, the Company assist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Creative Realities to other digital signage providers, our customers value the following competitive advantages:</w:t>
      </w:r>
    </w:p>
    <w:p>
      <w:pPr>
        <w:spacing w:after="0" w:line="221" w:lineRule="exact"/>
        <w:rPr>
          <w:sz w:val="20"/>
          <w:szCs w:val="20"/>
          <w:color w:val="auto"/>
        </w:rPr>
      </w:pPr>
    </w:p>
    <w:p>
      <w:pPr>
        <w:jc w:val="both"/>
        <w:ind w:left="980" w:hanging="324"/>
        <w:spacing w:after="0" w:line="26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is one of only a few companies in the industry capable of providing the full portfolio of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services required to implement and run an effective digital signage network. We leverage a ‘single vendor’ approach, providing clients with a one-stop-shop for sourcing digital signage solutions from design through day two services.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including thousands of qualified and vetted field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technicians available to service clients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clients in repurposing existing content for digital signage experiences or creating new content,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clients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software as a service (“SaaS”) content management platforms power some of the largest and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 management platform </w:t>
      </w:r>
      <w:r>
        <w:rPr>
          <w:rFonts w:ascii="Times New Roman" w:cs="Times New Roman" w:eastAsia="Times New Roman" w:hAnsi="Times New Roman"/>
          <w:sz w:val="18"/>
          <w:szCs w:val="18"/>
          <w:color w:val="auto"/>
        </w:rPr>
        <w:t>– Our customers are increasingly interested in monetizing their digital signage networks through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sales </w:t>
      </w:r>
      <w:r>
        <w:rPr>
          <w:rFonts w:ascii="Times New Roman" w:cs="Times New Roman" w:eastAsia="Times New Roman" w:hAnsi="Times New Roman"/>
          <w:sz w:val="18"/>
          <w:szCs w:val="18"/>
          <w:color w:val="auto"/>
        </w:rPr>
        <w:t>– Few, if any other digital signage solution providers, can offer their clients media sales as a service. We have in-house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expertise to elevate conversations with clients interested in better understanding network monetization. We believe this meaningful differentiation in the sales process provides an additional revenue stream to Creative Realities compared to our competitors.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quick-serve restaurants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980" w:right="2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logistics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Creative Realities helps simplify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Interactive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system design/engineering</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installation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development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scheduling</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Post-deployment network and field support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sales, as a result of our acquisition of Reflect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These include:</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25"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0"/>
        <w:spacing w:after="0" w:line="28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ads daily</w:t>
      </w:r>
    </w:p>
    <w:p>
      <w:pPr>
        <w:spacing w:after="0" w:line="154"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Reflect Clarity</w:t>
      </w:r>
      <w:r>
        <w:rPr>
          <w:rFonts w:ascii="Times New Roman" w:cs="Times New Roman" w:eastAsia="Times New Roman" w:hAnsi="Times New Roman"/>
          <w:sz w:val="18"/>
          <w:szCs w:val="18"/>
          <w:color w:val="auto"/>
        </w:rPr>
        <w:t>, the Company’s menu board solution, which has become a market leader for a range of restaurant and convenience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left="1300" w:hanging="320"/>
        <w:spacing w:after="0" w:line="28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mobile device</w:t>
      </w:r>
    </w:p>
    <w:p>
      <w:pPr>
        <w:spacing w:after="0" w:line="154" w:lineRule="exact"/>
        <w:rPr>
          <w:rFonts w:ascii="Times New Roman" w:cs="Times New Roman" w:eastAsia="Times New Roman" w:hAnsi="Times New Roman"/>
          <w:sz w:val="18"/>
          <w:szCs w:val="18"/>
          <w:color w:val="auto"/>
        </w:rPr>
      </w:pPr>
    </w:p>
    <w:p>
      <w:pPr>
        <w:ind w:left="1300" w:hanging="320"/>
        <w:spacing w:after="0" w:line="263"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sector, which integrates with dozens of key data services including dealer inventory at the VIN</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w:t>
      </w:r>
    </w:p>
    <w:p>
      <w:pPr>
        <w:spacing w:after="0" w:line="202"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Please see Note 1 </w:t>
      </w:r>
      <w:r>
        <w:rPr>
          <w:rFonts w:ascii="Times New Roman" w:cs="Times New Roman" w:eastAsia="Times New Roman" w:hAnsi="Times New Roman"/>
          <w:sz w:val="18"/>
          <w:szCs w:val="18"/>
          <w:i w:val="1"/>
          <w:iCs w:val="1"/>
          <w:color w:val="auto"/>
        </w:rPr>
        <w:t>Nature of Organization and Operations</w:t>
      </w:r>
      <w:r>
        <w:rPr>
          <w:rFonts w:ascii="Times New Roman" w:cs="Times New Roman" w:eastAsia="Times New Roman" w:hAnsi="Times New Roman"/>
          <w:sz w:val="18"/>
          <w:szCs w:val="18"/>
          <w:color w:val="auto"/>
        </w:rPr>
        <w:t xml:space="preserve"> to the Company’s Condensed Consolidated Financial Statements contained in this report for a description of recent developments of the Company that occurred during the three months ended March 31,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through digital signage solution sales, which include system hardware, professional and implementation services, software design and development, software licensing, deployment, and maintenance and support services.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 We acquired Reflect via the Merger during the three months ended March 31, 2022, on February 17, 2022. As a result, our consolidated financial results for such period include the operations of Reflect for 44 days, between February 17, 2022 and March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6,865</w:t>
            </w:r>
          </w:p>
        </w:tc>
        <w:tc>
          <w:tcPr>
            <w:tcW w:w="3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2,770</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4,095</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2,754</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expense/(recovery)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 and Transaction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2,447</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2,459</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Special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5,469</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3,519</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1,272</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were $10,757, representing an increase of $5,753, or 115%, as compared to the same period in 2021 despite a reduction in revenues generated from the sale of our Safe Space Solutions products and services of $894. Revenues generated from our core digital signage products and services increased $6,647, or 133% in 2022 as compared to 2021, despite continued supply chain disruptions related to semiconductor chips delaying the delivery of digital displays and media players to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acquired Reflect on February 17, 2022, and the Company’s consolidated results for the three months ended March 31, 2022 include 44 days of Reflect’s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Hardware revenues were $6,459 in 2022, an increase of $3,643, or 129%, as compared to the prior year, driven primarily delivering Phase I of our previously announced a large customer transaction expected to exceed $10,000 in revenues. The Company began providing services and deliverables on the customer transaction in February 2022 and is anticipated to complete the project by the end of the first quarter of 2023, subject to the customer’s capacity to receive such products and services. Excluding Safe Space Solutions hardware, which reduced $768 year-over-year, core digital signage hardware sales increased $4,411 million, or 158%.</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Services and other revenues were $4,298 in the three months ended March 31,2022, an increase of $2,110, or 96%, with the inclusion of 44 days of Reflect’s operations in the Company’s consolidated results for such period. Managed services revenue, which includes both software-as-a-service (“SaaS”) and help desk technical subscription services, were $2,703 in the three months ended March 31, 2022 as compared to $1,339 in the same period in 2021, with the inclusion of 44 days of Reflect’s operations in the Company’s consolidated results for such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by $1,658, or 74% driven by an increase in revenue but offset by a reduction in gross profit margin. Gross profit margin decreased to 36.2% from 44.6% driven by a shift in revenue mix to 60% hardware in the first quarter of 2022 related to a material customer rollout underway. We expect this contraction in gross profit margin to be less severe as we move into the second quarter of 2022 and beyond, with significant pressure in the current quarter driving by a single, large-scale/hardware-heavy deployment.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$372, or 111%, driven by the acquisition of Reflect during the three months ended March 31, 2022period. Immediately following the acquisition of Reflect, the Company integrated the sales and marketing functions and does not disaggregate these expenses between the two legacy companies. Following the Merger and through integration activities, the Company has adopted certain tools, technology, and processes – particularly with respect to lead generation and brand marketing – that were minimally invested in historically by the Company. Additionally, the Company engaged an Investor Relations firm and has increased investor relations activities, including conferences and presentations. As a result, we expect the sales and marketing expenses of the Company to continue at the current pace for future periods.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$70, or 41% in 2022, driven primarily by the acquisition of Reflect. Through the acquisition of Reflect, we acquired a fully staffed, experienced software development team and elected to keep that team in-tact, in full,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We expect this elevated level of expense to continue into the future as we continue to develop our current and future product set.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 excluding bad debt expense – increased $645, or 31%, driven by the acquisition of Reflect. While the Company anticipates carrying higher G&amp;A expenses moving forward as a result of the acquisition, the integration activities include several projects (including but not limited to consolidation of CMS tools, cloud hosting environments, IT tools, and rightsizing leases for office space) that we expect will be realized by the end of 2022. Bad debt expense returned to a more normalized rate of $106 during the first quarter of 2022, representing an increase of $618 as compared to the comparable period in 2021 as the result of a bankruptcy recovery in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Bad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Expenses related to the Company’s allowance for bad debts increased by $618, or 121%, in 2022 compared to 2021. This return to expense is the result of standard operations. The prior year included a cash recovery of $555 related to a customer bankruptcy for which the Company previously recorded a reserve.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$363, or 106%, in 2022 compared to 2021. This was driven by the addition of $21,500 in amortizing intangible assets as a result of the Merger.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Change in fair value of warrant liability, Other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Loans Payable</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 gain of $5,469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and were subsequently re-assessed at March 31, 2022, resulting in the gain.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Operating Results on a Non-GAAP Basis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EBITDA is a performance measure and not a liquidity measure, and therefore a reconciliation between net loss/income and EBITDA and Adjusted EBITDA has been provided. EBITDA should not be considered as an alternative to net loss/income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vMerge w:val="continue"/>
            <w:shd w:val="clear" w:color="auto" w:fill="CCEEFF"/>
          </w:tcPr>
          <w:p>
            <w:pPr>
              <w:spacing w:after="0"/>
              <w:rPr>
                <w:sz w:val="21"/>
                <w:szCs w:val="21"/>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fair value of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(Gain)/loss on fair value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(5,469)</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settlement of obligations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(Gain)/loss on debt waiver consent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Deal and transaction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vMerge w:val="continue"/>
          </w:tcPr>
          <w:p>
            <w:pPr>
              <w:spacing w:after="0"/>
              <w:rPr>
                <w:sz w:val="20"/>
                <w:szCs w:val="20"/>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produced net income for the three months ended March 31, 2022 and for the year ended December 31, 2021 and had positive cash flows from operating activities for both periods. As of March 31, 2022, we had cash and cash equivalents of $5,988 and a working capital surplus of $2,288.</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based on (i) the execution of the Equity Financing, (ii) the refinancing of our debt as part of the Debt Financing, including extension of the maturity date on our term loans, and (iii) our operational forecast through 2022 following completion of the Merger, that we can continue as a going concern through at least June 30, 2023. However, given our historical net losses and cash used in operating activities, we obtained a continued support letter from Slipstream through May 16, 2023. We can provide no assurance that our ongoing operational efforts will be successful which could have a material adverse effect on our results of operations and cash flows.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 flows provided by operating activities were $1,201 for the period ended March 31, 2022 as compared to cash flows used in operating activities of $21 for the period ended March 31, 2021. We produced net income of $2,502. Following the Merger, our business has significantly expanded, particularly with respect to managed services revenue. Other than net income, cash provided by operating activities was driven by growth of $1,901 of deferred revenue and $2,292 of accounts payable, partially offset by an expansion of accounts receivable of $3,724.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was $17,969 compared to $115 during the same period in 2021. The use of cash in the current year was driven by (1) completion of the Merger and (2) continued investments in our software platforms. We currently do not have any material commitments for capital expenditures as of March 31, 2022; however, we anticipate continued elevated capital expenditures in excess of historical trends through as a result of the Merger, which included acquisition of a software development team.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2022 was $19,873 compared to $1,845 for the same period in 2021. The increase is the result of the Company’s completion of the Equity Financing and the Debt Financing (each as described in “Recent Developments” above) in the period to facilitate the Merger, which provided net cash of $10,109 and $9,868,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material commitments for capital expenditures, and we do not anticipate any significant capital expenditures for the remainder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did not engage in any off-balance sheet arrangements set forth in Item 303(a) (4)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March 31, 2022,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22, 2022. Such risks and uncertainties have the potential to affect our business, financial condition, results of operations, cash flow, strategies or prospects in a material and adverse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Reflect Financial Statements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17, 2022, Creative Realities, Inc. consummated its acquisition of Reflect Systems, Inc. (“Reflect”). Attached as Exhibit 99.1 to this report are the audited financial statements of Reflect for the years ended December 31, 2021 and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16, 2022, the Company issued a press release announcing its financial condition and results of operations for the three months ended March 31, 2022. A copy of the press release is furnished as Exhibit 99.2 and is incorporated by reference into this Item 5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right w:val="single" w:sz="8" w:color="CCEEFF"/>
            </w:tcBorders>
            <w:gridSpan w:val="17"/>
            <w:shd w:val="clear" w:color="auto" w:fill="CCEEFF"/>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Placement Agency Agreement dated February 3, 2022 by and between Creative Realities, Inc. and A.G.P./Alliance Global Partners</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(incorporated by reference to Exhibit 1.1 to the registrant’s Current Report on Form 8-K filed February 4, 2022)</w:t>
              </w:r>
            </w:hyperlink>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Agreement and Plan of Merger, dated as of November 12, 2021, by and between the registrant, CRI Acquisition Corporation, Reflect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Systems, Inc., and RSI Exit Corporation (incorporated by reference to Exhibit 2.1 to the registrant’s Current Report on Form 8-K filed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November 15, 2021)</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to Agreement and Plan of Merger, dated as of February 8, 2022, by and among the registrant, CRI Acquisition Corporation,</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Reflect Systems, Inc., and RSI Exit Corporation (incorporated by reference to Exhibit 2.1 to the registrant’s Current Report on Form 8-K</w:t>
              </w:r>
            </w:hyperlink>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filed February 9, 2022)</w:t>
              </w:r>
            </w:hyperlink>
          </w:p>
        </w:tc>
        <w:tc>
          <w:tcPr>
            <w:tcW w:w="8420" w:type="dxa"/>
            <w:vAlign w:val="bottom"/>
            <w:tcBorders>
              <w:bottom w:val="single" w:sz="8" w:color="CCEEFF"/>
              <w:right w:val="single" w:sz="8" w:color="CCEEFF"/>
            </w:tcBorders>
            <w:gridSpan w:val="1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Pre-Funded Warrant (incorporated by reference to Exhibit 4.1 to the registrant’s Current Report on Form 8-K filed February 4,</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2022)</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Common Stock Warrant (incorporated by reference to Exhibit 4.2 to the registrant’s Current Report on Form 8-K filed February 4,</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2022)</w:t>
              </w:r>
            </w:hyperlink>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Lender Warrant dated February 17, 2022 (incorporated by reference to Exhibit 4.1 to the registrant’s Current Report on Form 8-K filed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February 18, 2022)</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Purchaser Warrant dated February 17, 2022 (incorporated by reference to Exhibit 4.2 to the registrant’s Current Report on Form 8-K filed</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February 18, 2022)</w:t>
              </w:r>
            </w:hyperlink>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Securities Purchase Agreement dated February 3, 2022 by and between Creative Realities, Inc. and the Investors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reference to Exhibit 10.1 to the registrant’s Current Report on Form 8-K filed February 4,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Registration Rights Agreement dated February 3, 2022 by and between Creative Realities, Inc. and the Investors (incorporated by</w:t>
              </w:r>
            </w:hyperlink>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920" w:type="dxa"/>
            <w:vAlign w:val="bottom"/>
            <w:tcBorders>
              <w:top w:val="single" w:sz="8" w:color="0000EE"/>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reference to Exhibit 10.2 to the registrant’s Current Report on Form 8-K filed February 4, 2022)</w:t>
              </w:r>
            </w:hyperlink>
          </w:p>
        </w:tc>
        <w:tc>
          <w:tcPr>
            <w:tcW w:w="3180" w:type="dxa"/>
            <w:vAlign w:val="bottom"/>
            <w:tcBorders>
              <w:top w:val="single" w:sz="8" w:color="0000EE"/>
              <w:bottom w:val="single" w:sz="8" w:color="CCEEFF"/>
              <w:right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Second Amended and Restated Loan and Security Agreement (incorporated by reference to Exhibit 10.1 to the registrant’s Current Report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on Form 8-K filed February 18, 2022)</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10,000,000 Acquisition Term Note (incorporated by reference to Exhibit 10.2 to the registrant’s Current Report on Form 8-K filed</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February 18, 2022)</w:t>
              </w:r>
            </w:hyperlink>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7,185,319.06 Consolidation Term Note (incorporated by reference to Exhibit 10.3 to the registrant’s Current Report on Form 8-K filed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February 18,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Secured Promissory Note (incorporated by reference to Exhibit 10.4 to the registrant’s Current Report on Form 8-K filed February 18,</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2022)</w:t>
              </w:r>
            </w:hyperlink>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Retention Bonus Plan (incorporated by reference to Exhibit 10.5 to the registrant’s Current Report on Form 8-K filed February 18,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Retention Bonus Plan Agreement (incorporated by reference to Exhibit 10.6 to the registrant’s Current Report on Form 8-K filed</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February 18, 2022)</w:t>
              </w:r>
            </w:hyperlink>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Baker Tilly US, LLP*</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 13a-14(a).*</w:t>
            </w:r>
          </w:p>
        </w:tc>
        <w:tc>
          <w:tcPr>
            <w:tcW w:w="424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 13a-14(a).*</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54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18 U.S.C. Section 1350.*</w:t>
            </w:r>
          </w:p>
        </w:tc>
        <w:tc>
          <w:tcPr>
            <w:tcW w:w="468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 1350.*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Reflect Systems, Inc. 2021 audited financial statements*</w:t>
            </w:r>
          </w:p>
        </w:tc>
        <w:tc>
          <w:tcPr>
            <w:tcW w:w="602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Press release dated May 16, 2022</w:t>
            </w:r>
          </w:p>
        </w:tc>
        <w:tc>
          <w:tcPr>
            <w:tcW w:w="140" w:type="dxa"/>
            <w:vAlign w:val="bottom"/>
            <w:tcBorders>
              <w:bottom w:val="single" w:sz="8" w:color="0000EE"/>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0000EE"/>
                <w:w w:val="80"/>
              </w:rPr>
              <w:t>+*</w:t>
            </w:r>
          </w:p>
        </w:tc>
        <w:tc>
          <w:tcPr>
            <w:tcW w:w="754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Borders>
              <w:bottom w:val="single" w:sz="8" w:color="0000EE"/>
            </w:tcBorders>
            <w:gridSpan w:val="5"/>
            <w:vMerge w:val="continue"/>
          </w:tcPr>
          <w:p>
            <w:pPr>
              <w:spacing w:after="0"/>
              <w:rPr>
                <w:sz w:val="4"/>
                <w:szCs w:val="4"/>
                <w:color w:val="auto"/>
              </w:rPr>
            </w:pPr>
          </w:p>
        </w:tc>
        <w:tc>
          <w:tcPr>
            <w:tcW w:w="140" w:type="dxa"/>
            <w:vAlign w:val="bottom"/>
            <w:gridSpan w:val="2"/>
          </w:tcPr>
          <w:p>
            <w:pPr>
              <w:spacing w:after="0"/>
              <w:rPr>
                <w:sz w:val="4"/>
                <w:szCs w:val="4"/>
                <w:color w:val="auto"/>
              </w:rPr>
            </w:pPr>
          </w:p>
        </w:tc>
        <w:tc>
          <w:tcPr>
            <w:tcW w:w="75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3" w:lineRule="exact"/>
        <w:rPr>
          <w:sz w:val="20"/>
          <w:szCs w:val="20"/>
          <w:color w:val="auto"/>
        </w:rPr>
      </w:pPr>
    </w:p>
    <w:p>
      <w:pPr>
        <w:ind w:left="1140" w:hanging="11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1140" w:hanging="1132"/>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Richard Mills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Will Logan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333-262516, 333-239108, 333-238275, and 333-255001 on Form S-3, Nos. 333-225876 and 333-209847 on Form S-1, No. 333-261048 on Form S-4 and Nos. 333-189318, 333-181999, 333-174861, 333-167454, 333-159927, 333-147458 and 333-145795 on Form S-8 of Creative Realities, Inc. of our report dated May 16, 2022, relating to the financial statements of Reflect Systems, Inc. as of December 31, 2021 and 2020 included in this Quarterly Report on Form 10-Q of Creative Realities, Inc. for the three months ended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Plano,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ectPr>
          <w:pgSz w:w="11900" w:h="16838" w:orient="portrait"/>
          <w:cols w:equalWidth="0" w:num="1">
            <w:col w:w="11240"/>
          </w:cols>
          <w:pgMar w:left="320" w:top="10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2022, of Creative Realities, Inc.;</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5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332"/>
        <w:spacing w:after="0" w:line="282" w:lineRule="auto"/>
        <w:tabs>
          <w:tab w:leader="none" w:pos="5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332"/>
        <w:spacing w:after="0" w:line="282" w:lineRule="auto"/>
        <w:tabs>
          <w:tab w:leader="none" w:pos="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Mills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Logan,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2022, of Creative Realities, Inc.;</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5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332"/>
        <w:spacing w:after="0" w:line="282" w:lineRule="auto"/>
        <w:tabs>
          <w:tab w:leader="none" w:pos="5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332"/>
        <w:spacing w:after="0" w:line="282" w:lineRule="auto"/>
        <w:tabs>
          <w:tab w:leader="none" w:pos="5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Logan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months ended March 31, 2022,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Mills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months ended March 31, 2022, as filed with the Securities and Exchange Commission on the date hereof (the “Report”), I, Will Logan,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Logan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Reflect Systems, Inc.</w:t>
      </w:r>
    </w:p>
    <w:p>
      <w:pPr>
        <w:spacing w:after="0" w:line="2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1594485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4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Independent Auditors’ Report</w:t>
            </w:r>
          </w:p>
        </w:tc>
        <w:tc>
          <w:tcPr>
            <w:tcW w:w="6640" w:type="dxa"/>
            <w:vAlign w:val="bottom"/>
            <w:gridSpan w:val="2"/>
            <w:shd w:val="clear" w:color="auto" w:fill="CCEEFF"/>
          </w:tcPr>
          <w:p>
            <w:pPr>
              <w:jc w:val="center"/>
              <w:ind w:left="55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3"/>
        </w:trPr>
        <w:tc>
          <w:tcPr>
            <w:tcW w:w="1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216"/>
        </w:trPr>
        <w:tc>
          <w:tcPr>
            <w:tcW w:w="4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44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6640" w:type="dxa"/>
            <w:vAlign w:val="bottom"/>
            <w:gridSpan w:val="2"/>
            <w:shd w:val="clear" w:color="auto" w:fill="CCEEFF"/>
          </w:tcPr>
          <w:p>
            <w:pPr>
              <w:jc w:val="center"/>
              <w:ind w:left="55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3"/>
        </w:trPr>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44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6640" w:type="dxa"/>
            <w:vAlign w:val="bottom"/>
            <w:gridSpan w:val="2"/>
            <w:shd w:val="clear" w:color="auto" w:fill="CCEEFF"/>
          </w:tcPr>
          <w:p>
            <w:pPr>
              <w:jc w:val="center"/>
              <w:ind w:left="55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3"/>
        </w:trPr>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44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Deficit</w:t>
            </w:r>
          </w:p>
        </w:tc>
        <w:tc>
          <w:tcPr>
            <w:tcW w:w="6640" w:type="dxa"/>
            <w:vAlign w:val="bottom"/>
            <w:gridSpan w:val="2"/>
            <w:shd w:val="clear" w:color="auto" w:fill="CCEEFF"/>
          </w:tcPr>
          <w:p>
            <w:pPr>
              <w:jc w:val="center"/>
              <w:ind w:left="55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3"/>
        </w:trPr>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44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6640" w:type="dxa"/>
            <w:vAlign w:val="bottom"/>
            <w:gridSpan w:val="2"/>
            <w:shd w:val="clear" w:color="auto" w:fill="CCEEFF"/>
          </w:tcPr>
          <w:p>
            <w:pPr>
              <w:jc w:val="center"/>
              <w:ind w:left="55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3"/>
        </w:trPr>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44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6640" w:type="dxa"/>
            <w:vAlign w:val="bottom"/>
            <w:gridSpan w:val="2"/>
            <w:shd w:val="clear" w:color="auto" w:fill="CCEEFF"/>
          </w:tcPr>
          <w:p>
            <w:pPr>
              <w:jc w:val="center"/>
              <w:ind w:left="55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547"/>
        </w:trPr>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6640" w:type="dxa"/>
            <w:vAlign w:val="bottom"/>
            <w:tcBorders>
              <w:top w:val="single" w:sz="8" w:color="CCEEFF"/>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Systems,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the Audit of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financial statements of Reflect Systems, Inc. (the Company) which comprise the balance sheets as of December 31, 2021 and 2020, and the related statements of operations, changes in stockholders’ deficit, and cash flows for the years then ended, and the related notes to the financial statements.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2021 and 2020,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4,098,371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2,726,431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1,124,513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3,609,113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Work-in-progress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6,111</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76,785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169,560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5,494,808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6,511,215</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280,135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419,932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2,665,907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2,944,452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3,274,759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3,105,207</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35,816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35,816</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11,751,425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13,016,622</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jc w:val="right"/>
              <w:ind w:right="293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632,679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262,647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368,578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2,028,558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3,069,591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rent and tenant allowance, current portion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104,173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3,454,625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4,675,021</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and tenant allowance, net of current portion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231,371</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583,333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1,083,333</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4,157,481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5,989,725</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Temporary Stockholders’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$0.001 par value, 3,000,000 shares authorized, issued and outstanding $4,600,200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liquidation preference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2,303,000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2,303,000</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$0.001 par value, 2,472,443 shares authorized, issued and outstanding $4,089,421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liquidation preference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2,047,182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2,047,182</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preferred stock, $0.001 par value, 10,400,000 shares authorized, 3,727,613 issued and outstanding</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$6,709,703 liquidation preference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3,358,579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3,358,579</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C-1 preferred stock, $0.001 par value, 8,000,000 shares authorized, issued and outstanding $12,000,000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liquidation preference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6,008,000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6,008,000</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D preferred stock, $0.001 par value, 4,000,000 shares authorized, issued and outstanding $4,000,000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liquidation preference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2,004,000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2,004,000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temporary stockholders’ equity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15,720,761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15,720,761</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35,000,0000 shares authorized; 6,258,505 issued and outstanding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1,567,119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1,567,119</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(9,700,195)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(10,267,242)</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(8,126,817)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(8,693,864)</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11,751,425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13,016,622</w:t>
            </w:r>
          </w:p>
        </w:tc>
      </w:tr>
      <w:tr>
        <w:trPr>
          <w:trHeight w:val="432"/>
        </w:trPr>
        <w:tc>
          <w:tcPr>
            <w:tcW w:w="8680" w:type="dxa"/>
            <w:vAlign w:val="bottom"/>
            <w:tcBorders>
              <w:top w:val="single" w:sz="8" w:color="CCEEFF"/>
            </w:tcBorders>
          </w:tcPr>
          <w:p>
            <w:pPr>
              <w:ind w:left="444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47"/>
        </w:trPr>
        <w:tc>
          <w:tcPr>
            <w:tcW w:w="868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081"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10,222,779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10,061,939</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2,020,252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1,962,971</w:t>
            </w: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12,243,031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12,024,910</w:t>
            </w:r>
          </w:p>
        </w:tc>
      </w:t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3,040,246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2,841,390</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1,503,957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1,798,893</w:t>
            </w:r>
          </w:p>
        </w:tc>
      </w:tr>
      <w:tr>
        <w:trPr>
          <w:trHeight w:val="27"/>
        </w:trPr>
        <w:tc>
          <w:tcPr>
            <w:tcW w:w="41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4,544,203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4,640,283</w:t>
            </w:r>
          </w:p>
        </w:tc>
      </w:tr>
      <w:tr>
        <w:trPr>
          <w:trHeight w:val="216"/>
        </w:trPr>
        <w:tc>
          <w:tcPr>
            <w:tcW w:w="4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7,698,828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7,384,627</w:t>
            </w:r>
          </w:p>
        </w:tc>
      </w:tr>
      <w:tr>
        <w:trPr>
          <w:trHeight w:val="216"/>
        </w:trPr>
        <w:tc>
          <w:tcPr>
            <w:tcW w:w="4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wages</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5,521,322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5,825,078</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labor and other employee expenses</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239,511</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578,764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549,612</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155,223</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expense</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352,639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330,731</w:t>
            </w:r>
          </w:p>
        </w:tc>
      </w:tr>
      <w:tr>
        <w:trPr>
          <w:trHeight w:val="22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1,273,529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530,131</w:t>
            </w:r>
          </w:p>
        </w:tc>
      </w:tr>
      <w:tr>
        <w:trPr>
          <w:trHeight w:val="216"/>
        </w:trPr>
        <w:tc>
          <w:tcPr>
            <w:tcW w:w="4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8,222,175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7,630,286</w:t>
            </w:r>
          </w:p>
        </w:tc>
      </w:tr>
      <w:tr>
        <w:trPr>
          <w:trHeight w:val="216"/>
        </w:trPr>
        <w:tc>
          <w:tcPr>
            <w:tcW w:w="4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(523,347)</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(245,659)</w:t>
            </w:r>
          </w:p>
        </w:tc>
      </w:tr>
      <w:tr>
        <w:trPr>
          <w:trHeight w:val="216"/>
        </w:trPr>
        <w:tc>
          <w:tcPr>
            <w:tcW w:w="4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(73,439)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(95,852)</w:t>
            </w:r>
          </w:p>
        </w:tc>
      </w:tr>
      <w:tr>
        <w:trPr>
          <w:trHeight w:val="22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Forgiveness on Paycheck Protection Program loan</w:t>
            </w:r>
          </w:p>
        </w:tc>
        <w:tc>
          <w:tcPr>
            <w:tcW w:w="4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998,393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1,062,400</w:t>
            </w:r>
          </w:p>
        </w:tc>
      </w:tr>
      <w:tr>
        <w:trPr>
          <w:trHeight w:val="216"/>
        </w:trPr>
        <w:tc>
          <w:tcPr>
            <w:tcW w:w="41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4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925,596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969,133</w:t>
            </w:r>
          </w:p>
        </w:tc>
      </w:tr>
      <w:tr>
        <w:trPr>
          <w:trHeight w:val="216"/>
        </w:trPr>
        <w:tc>
          <w:tcPr>
            <w:tcW w:w="41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before income tax benefit</w:t>
            </w: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723,474</w:t>
            </w:r>
          </w:p>
        </w:tc>
      </w:t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4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164,798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135,887</w:t>
            </w:r>
          </w:p>
        </w:tc>
      </w:tr>
      <w:tr>
        <w:trPr>
          <w:trHeight w:val="216"/>
        </w:trPr>
        <w:tc>
          <w:tcPr>
            <w:tcW w:w="41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567,047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859,361</w:t>
            </w:r>
          </w:p>
        </w:tc>
      </w:tr>
      <w:tr>
        <w:trPr>
          <w:trHeight w:val="432"/>
        </w:trPr>
        <w:tc>
          <w:tcPr>
            <w:tcW w:w="4120" w:type="dxa"/>
            <w:vAlign w:val="bottom"/>
            <w:tcBorders>
              <w:top w:val="single" w:sz="8" w:color="CCEEFF"/>
            </w:tcBorders>
          </w:tcPr>
          <w:p>
            <w:pPr>
              <w:spacing w:after="0"/>
              <w:rPr>
                <w:sz w:val="24"/>
                <w:szCs w:val="24"/>
                <w:color w:val="auto"/>
              </w:rPr>
            </w:pPr>
          </w:p>
        </w:tc>
        <w:tc>
          <w:tcPr>
            <w:tcW w:w="4560" w:type="dxa"/>
            <w:vAlign w:val="bottom"/>
            <w:tcBorders>
              <w:top w:val="single" w:sz="8" w:color="CCEEFF"/>
            </w:tcBorders>
          </w:tcPr>
          <w:p>
            <w:pPr>
              <w:jc w:val="center"/>
              <w:ind w:right="147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Changes in Stockholders’ Deficit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 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2020</w:t>
            </w:r>
          </w:p>
        </w:tc>
        <w:tc>
          <w:tcPr>
            <w:tcW w:w="2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6,258,505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1,555,548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(11,126,603)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(9,564,796)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859,361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859,361</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2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6,258,505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1,567,119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(10,267,242)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(8,693,864)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567,047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567,047</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6,258,505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(9,700,195)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(8,126,817)</w:t>
            </w:r>
          </w:p>
        </w:tc>
        <w:tc>
          <w:tcPr>
            <w:tcW w:w="0" w:type="dxa"/>
            <w:vAlign w:val="bottom"/>
          </w:tcPr>
          <w:p>
            <w:pPr>
              <w:spacing w:after="0"/>
              <w:rPr>
                <w:sz w:val="1"/>
                <w:szCs w:val="1"/>
                <w:color w:val="auto"/>
              </w:rPr>
            </w:pPr>
          </w:p>
        </w:tc>
      </w:tr>
      <w:tr>
        <w:trPr>
          <w:trHeight w:val="21"/>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300" w:type="dxa"/>
            <w:vAlign w:val="bottom"/>
          </w:tcPr>
          <w:p>
            <w:pPr>
              <w:spacing w:after="0"/>
              <w:rPr>
                <w:sz w:val="24"/>
                <w:szCs w:val="24"/>
                <w:color w:val="auto"/>
              </w:rPr>
            </w:pPr>
          </w:p>
        </w:tc>
        <w:tc>
          <w:tcPr>
            <w:tcW w:w="408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859,361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155,223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software amortization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1,080,154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Forgiveness on Paycheck Protection Program loan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(998,393)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(1,062,400)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(169,552)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(153,517)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(446,922)</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Work-in-progress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(189,028)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677,439</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78,065</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(81,107)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(904,917)</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(450,351)</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(1,041,033)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279,912</w:t>
            </w:r>
          </w:p>
        </w:tc>
      </w:tr>
      <w:tr>
        <w:trPr>
          <w:trHeight w:val="223"/>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rent and tenant allowance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(104,173)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(96,498)</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1,725,169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27,120</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(8,361)</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(844,901)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(1,002,764)</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(851,622)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(1,011,125)</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1,062,400</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note payable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(416,667)</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498,393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645,733</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(338,272)</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2,726,431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3,064,703</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4,098,371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2,726,431</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Transaction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Forgiveness on Paycheck Protection Program loan</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998,393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1,062,400</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86,638</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 Systems, Inc. (the Company) was incorporated under the laws of the State of Delaware on September 7, 2001. The Company began operations on September 11, 2001.</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develops, manufactures, licenses, and supports a suite of software products that provide enterprises and retailers the ability to create, manage and distribute bandwidth-intensive applications, including streaming media and digital signage content, across LAN/WAN, internet and satellite-based networks. The Company also provides maintenance, digital media advertising, professional training and product support services as well as resells third-party hardware and internet-based communication and information services.</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12, 2016, the Company formed a subsidiary, Reflect Acquisition, LLC, a Texas limited liability company. For the years ended December 31, 2021 and 2020, Reflect Acquisition, LLC has had no activity.</w:t>
      </w:r>
    </w:p>
    <w:p>
      <w:pPr>
        <w:spacing w:after="0" w:line="157" w:lineRule="exact"/>
        <w:rPr>
          <w:rFonts w:ascii="Times New Roman" w:cs="Times New Roman" w:eastAsia="Times New Roman" w:hAnsi="Times New Roman"/>
          <w:sz w:val="18"/>
          <w:szCs w:val="18"/>
          <w:b w:val="1"/>
          <w:bCs w:val="1"/>
          <w:color w:val="auto"/>
        </w:rPr>
      </w:pPr>
    </w:p>
    <w:p>
      <w:pPr>
        <w:ind w:left="340" w:right="8520" w:hanging="332"/>
        <w:spacing w:after="0" w:line="503" w:lineRule="auto"/>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audited financial statements for the years ended December 31, 2021 and 2020 have been prepared in accordance with accounting principles generally accepted in the United States of America (GAAP).</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financial statements and the reported amounts of revenues and expenses during the reporting period. Actual results could differ from those estimates.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accounts payable, and a credit agreement. The carrying amounts of these instruments approximate their respective fair values because of their short-term maturities or the underlying terms of these instruments. The estimated fair value of the credit agreement also approximates carrying value because the terms are comparable to similar lending arrangements in the marketplace.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During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ASU No. 2016-02 requires lessees to recognize the assets and liabilities that arise from leases on the balance sheet. A lessee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recognize in the statement of financial position a liability to make lease payments (the lease liability) and a right-of-use asset representing its right to use the underlying asset for the lease term. During 2018, the FASB also issued ASU No. 2018-01, </w:t>
      </w:r>
      <w:r>
        <w:rPr>
          <w:rFonts w:ascii="Times New Roman" w:cs="Times New Roman" w:eastAsia="Times New Roman" w:hAnsi="Times New Roman"/>
          <w:sz w:val="18"/>
          <w:szCs w:val="18"/>
          <w:i w:val="1"/>
          <w:iCs w:val="1"/>
          <w:color w:val="auto"/>
        </w:rPr>
        <w:t>Land Easement Practical Expedient</w:t>
      </w:r>
      <w:r>
        <w:rPr>
          <w:rFonts w:ascii="Times New Roman" w:cs="Times New Roman" w:eastAsia="Times New Roman" w:hAnsi="Times New Roman"/>
          <w:sz w:val="18"/>
          <w:szCs w:val="18"/>
          <w:color w:val="auto"/>
        </w:rPr>
        <w:t xml:space="preserve">, which permits an entity to elect an optional transition practical expedient to not evaluate land easements that existed or expired before the entity’s adoption of Topic 842 and that were not previously accounted for under ASC 840; ASU 2018-10,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addresses narrow aspects of the guidance originally issued in ASU No. 2016-02; ASU 2018-11,</w:t>
      </w:r>
      <w:r>
        <w:rPr>
          <w:rFonts w:ascii="Times New Roman" w:cs="Times New Roman" w:eastAsia="Times New Roman" w:hAnsi="Times New Roman"/>
          <w:sz w:val="18"/>
          <w:szCs w:val="18"/>
          <w:i w:val="1"/>
          <w:iCs w:val="1"/>
          <w:color w:val="auto"/>
        </w:rPr>
        <w:t xml:space="preserve"> Targeted Improvements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provides entities with an additional (and optional) transition method whereby an entity initially applies the new leases standard at the adoption date and recognizes a cumulative-effect adjustment to the opening balance of retained earnings in the period of adoption and also provides lessors with a practical expedient, by class of underlying asset, to not separate nonlease components from the associated lease component and, instead, to account for those components as a single component; and ASU No. 2018-20, </w:t>
      </w:r>
      <w:r>
        <w:rPr>
          <w:rFonts w:ascii="Times New Roman" w:cs="Times New Roman" w:eastAsia="Times New Roman" w:hAnsi="Times New Roman"/>
          <w:sz w:val="18"/>
          <w:szCs w:val="18"/>
          <w:i w:val="1"/>
          <w:iCs w:val="1"/>
          <w:color w:val="auto"/>
        </w:rPr>
        <w:t>Narrow-Scope Improvements for Lessors</w:t>
      </w:r>
      <w:r>
        <w:rPr>
          <w:rFonts w:ascii="Times New Roman" w:cs="Times New Roman" w:eastAsia="Times New Roman" w:hAnsi="Times New Roman"/>
          <w:sz w:val="18"/>
          <w:szCs w:val="18"/>
          <w:color w:val="auto"/>
        </w:rPr>
        <w:t xml:space="preserve">, which addresses sales and other similar taxes collected from lessees, certain lessor costs, and the recognition of variable payments for contracts with lease and nonlease components. During 2019, the FASB issued ASU No. 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xml:space="preserve">, which deferred the effective date for certain entities and, during 2020, issued ASU No. 2020-05, </w:t>
      </w:r>
      <w:r>
        <w:rPr>
          <w:rFonts w:ascii="Times New Roman" w:cs="Times New Roman" w:eastAsia="Times New Roman" w:hAnsi="Times New Roman"/>
          <w:sz w:val="18"/>
          <w:szCs w:val="18"/>
          <w:i w:val="1"/>
          <w:iCs w:val="1"/>
          <w:color w:val="auto"/>
        </w:rPr>
        <w:t>Effective Dates for Certain Entities</w:t>
      </w:r>
      <w:r>
        <w:rPr>
          <w:rFonts w:ascii="Times New Roman" w:cs="Times New Roman" w:eastAsia="Times New Roman" w:hAnsi="Times New Roman"/>
          <w:sz w:val="18"/>
          <w:szCs w:val="18"/>
          <w:color w:val="auto"/>
        </w:rPr>
        <w:t>, which deferred the effective date of ASU No. 2016-02 for those entities that had not yet issued their financial statements at the time of ASU No. 2020-05’s issuance. Topic 842 (as amended) is effective for annual periods beginning after December 15, 2021, and interim periods within fiscal years beginning after December 15, 2022. Early adoption is permitted. The Company is currently assessing the effect that Topic 842 (as amended) will have on its results of operations, financial position and cash flows.</w:t>
      </w:r>
    </w:p>
    <w:p>
      <w:pPr>
        <w:spacing w:after="0" w:line="19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During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No. 2016-13 requires financial assets measured at amortized cost to be presented at the net amount expected to be collected, through an allowance for credit losses that is deducted from the amortized cost basis. The measurement of expected credit losses is based on relevant information about past events, including historical experience, current conditions, and reasonable and supportable forecasts that affect the collectability of the reported amount. During November 2018, April 2019, May 2019, November 2019 and March 2020, respectively, the FASB also issued ASU No. 2018-19,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326, Financial Instruments – Credit Losses</w:t>
      </w:r>
      <w:r>
        <w:rPr>
          <w:rFonts w:ascii="Times New Roman" w:cs="Times New Roman" w:eastAsia="Times New Roman" w:hAnsi="Times New Roman"/>
          <w:sz w:val="18"/>
          <w:szCs w:val="18"/>
          <w:color w:val="auto"/>
        </w:rPr>
        <w:t>; ASU No. 2019-04,</w:t>
      </w:r>
      <w:r>
        <w:rPr>
          <w:rFonts w:ascii="Times New Roman" w:cs="Times New Roman" w:eastAsia="Times New Roman" w:hAnsi="Times New Roman"/>
          <w:sz w:val="18"/>
          <w:szCs w:val="18"/>
          <w:i w:val="1"/>
          <w:iCs w:val="1"/>
          <w:color w:val="auto"/>
        </w:rPr>
        <w:t xml:space="preserve"> Codification Improvements to Topic 326, Financial Instruments – Credit Losses</w:t>
      </w:r>
      <w:r>
        <w:rPr>
          <w:rFonts w:ascii="Times New Roman" w:cs="Times New Roman" w:eastAsia="Times New Roman" w:hAnsi="Times New Roman"/>
          <w:sz w:val="18"/>
          <w:szCs w:val="18"/>
          <w:color w:val="auto"/>
        </w:rPr>
        <w:t>; ASU No. 2019-05</w:t>
      </w:r>
      <w:r>
        <w:rPr>
          <w:rFonts w:ascii="Times New Roman" w:cs="Times New Roman" w:eastAsia="Times New Roman" w:hAnsi="Times New Roman"/>
          <w:sz w:val="18"/>
          <w:szCs w:val="18"/>
          <w:i w:val="1"/>
          <w:iCs w:val="1"/>
          <w:color w:val="auto"/>
        </w:rPr>
        <w:t xml:space="preserve"> Targeted Transition Relief</w:t>
      </w:r>
      <w:r>
        <w:rPr>
          <w:rFonts w:ascii="Times New Roman" w:cs="Times New Roman" w:eastAsia="Times New Roman" w:hAnsi="Times New Roman"/>
          <w:sz w:val="18"/>
          <w:szCs w:val="18"/>
          <w:color w:val="auto"/>
        </w:rPr>
        <w:t>; ASU No. 2019-11,</w:t>
      </w:r>
      <w:r>
        <w:rPr>
          <w:rFonts w:ascii="Times New Roman" w:cs="Times New Roman" w:eastAsia="Times New Roman" w:hAnsi="Times New Roman"/>
          <w:sz w:val="18"/>
          <w:szCs w:val="18"/>
          <w:i w:val="1"/>
          <w:iCs w:val="1"/>
          <w:color w:val="auto"/>
        </w:rPr>
        <w:t xml:space="preserve"> Codification Improvements to Topic 326, Financial Instruments – Credit Losses</w:t>
      </w:r>
      <w:r>
        <w:rPr>
          <w:rFonts w:ascii="Times New Roman" w:cs="Times New Roman" w:eastAsia="Times New Roman" w:hAnsi="Times New Roman"/>
          <w:sz w:val="18"/>
          <w:szCs w:val="18"/>
          <w:color w:val="auto"/>
        </w:rPr>
        <w:t>; and ASU No. 2020-03</w:t>
      </w:r>
      <w:r>
        <w:rPr>
          <w:rFonts w:ascii="Times New Roman" w:cs="Times New Roman" w:eastAsia="Times New Roman" w:hAnsi="Times New Roman"/>
          <w:sz w:val="18"/>
          <w:szCs w:val="18"/>
          <w:i w:val="1"/>
          <w:iCs w:val="1"/>
          <w:color w:val="auto"/>
        </w:rPr>
        <w:t xml:space="preserve"> Codification Improvements to Financial Instruments</w:t>
      </w:r>
      <w:r>
        <w:rPr>
          <w:rFonts w:ascii="Times New Roman" w:cs="Times New Roman" w:eastAsia="Times New Roman" w:hAnsi="Times New Roman"/>
          <w:sz w:val="18"/>
          <w:szCs w:val="18"/>
          <w:color w:val="auto"/>
        </w:rPr>
        <w:t>. ASU No. 2018-19 clarifies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for nonpublic entities and that receivables arising from operating leases are not within the scope of Subtopic 326-20, ASU Nos. 2019-04 and 2019-05 amend the transition guidance provided in ASU No. 2016-13, and ASU Nos. 2019-11 and 2020-03 amend ASU No. 2016-13 to clarify, correct errors in, or improve the guidance. ASU No. 2016-13 (as amended) is effective for annual periods and interim periods within those annual periods beginning after December 15, 2022. Early adoption is permitted for annual and interim periods beginning after December 15, 2018. The Company is currently assessing the effect that ASU No. 2016-13 (as amended) will have on its results of operations, financial position and cash flows.</w:t>
      </w:r>
    </w:p>
    <w:p>
      <w:pPr>
        <w:spacing w:after="0" w:line="18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During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ASU No. 2019-12 simplifies the accounting for income taxes by removing the following exceptions: (a) exception to the incremental approach for intraperiod tax allocation when there is a loss from continuing operations and income or a gain from other items; (b) exception to the requirement to recognize a deferred tax liability for equity method investments when a foreign subsidiary becomes an equity method investment; (c) exception to the ability not to recognize a deferred tax liability for a foreign subsidiary when a foreign equity method investment becomes a subsidiary; and (d) exception to the general methodology for calculating income taxes in an interim period when a year-to-date loss exceeds the anticipated loss for the year. The ASU also makes the following amendments to the guidance: (a) requiring that an entity recognize a franchise tax (or similar tax) that is partially based on income as an income-based tax and account for any incremental amount incurred as a nonincome-based tax; (b) requiring that an entity evaluate when a step-up in the tax basis of goodwill should be considered part of the business combination in which the book goodwill was originally recognized and when it should be considered a separate transaction; (c) specifying that an entity is not required to allocate the consolidated amount of current and deferred tax expense to a legal entity that is not subject to tax in its separate financial statements, however, an entity may elect to do so (on an entity-by-entity basis) for a legal entity that is both not subject to tax and disregarded by the taxing authority; (d) requiring that an entity reflect the effect of an enacted change in tax laws or rates in the annual effective tax rate computation in the interim period that includes the enactment date; and (e) and making minor Codification improvements for income taxes related to employee stock ownership plans and investments in qualified affordable housing projects accounted for using the equity method. ASU No. 2019-12 is effective for fiscal years beginning after December 15, 2021, and interim periods within annual periods beginning after December 15, 2022. Early adoption is permitted. The Company is currently assessing the effect that ASU No. 2019-12 will have on its results of operation, financial position and cash flows.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or cash equivalents. The Company maintains cash deposits with federally insured financial institutions that may, at times, exceed federally insured limits. The Company has not incurred any losses from such accounts, and management considers the risk to be minimal.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Accounts receivable represents the uncollected portion of amounts recorded as revenues or contract liabilities. Management performs periodic analyses to evaluate all outstanding accounts receivable to estimate an allowance for doubtful accounts that may not be collectible, based on the best facts available to management. Management considers historical collection patterns, accounts receivable aging trends and specific identification of disputed invoices in its analyses. After all reasonable attempts to collect a receivable have failed, the receivable is written off against the allowance for doubtful accounts. As of December 31, 2021 and 2020, the Company did not record any bad debt expense. As of December 31, 2021 and 2020, there was no allowance for doubtful accounts.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Property and equipment are reported at cost less accumulated depreciation. Depreciation is computed using the straight-line method over the estimated useful life of the asset. Leasehold improvements are amortized using the straight-line method, over the shorter of the estimated useful life of the improvement or the remaining term of the lease. Useful lives of property and equipment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14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00" w:type="dxa"/>
            <w:vAlign w:val="bottom"/>
          </w:tcPr>
          <w:p>
            <w:pPr>
              <w:spacing w:after="0"/>
              <w:rPr>
                <w:sz w:val="21"/>
                <w:szCs w:val="2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34"/>
        </w:trPr>
        <w:tc>
          <w:tcPr>
            <w:tcW w:w="10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7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Additions and major repairs or replacements of property and equipment that increase the life of an asset, are capitalized over the asset’s estimated remaining useful life. Maintenance, repairs and minor replacements are charged to expense as incurred. Cost and the related accumulated depreciation on assets retired or otherwise disposed of are removed from the accounts, and related gains or losses are included in operating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capitalizes the costs incurred to develop software for internal use during the application development stage. Costs incurred during the preliminary project planning stage, along with post-implementation stages, are expensed as incurred. Capitalized costs are amortized using the straight-line method over the estimated useful life of the developed product, typically five years. Amortization expense is included in cost of revenues in the accompanying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Long-lived assets, including property and equipment and capitalized software development, are evaluated for impairment whenever events or changes in circumstances indicate that the carrying amounts may not be recoverable. Recoverability of these assets is generally measured by a comparison of the carrying value of the asset to the estimated future undiscounted cash flows expected to be generated by the related asset. Any impairment is recognized in the period that such determination is made for the amount by which the carrying value exceeds the fair value of the asset. There were no impairment charges recorded for the years ended December 31, 2021 and 2020.</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provides customers channel access to a digital product content database and access to tools by which to create, store, manage and distribute their product’s digital content for consumers via either Software-as-a-Service (SaaS) or an on-premise software license. The Company also provides software maintenance, digital media advertising, professional training and product support services. Additionally, the Company resells third-party hardware and internet-based communication and information services. The Company accounts for revenue from contracts with customers, which comprises 100 percent of its revenue, through the following steps:</w:t>
      </w:r>
    </w:p>
    <w:p>
      <w:pPr>
        <w:spacing w:after="0" w:line="183"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Generally, SaaS and maintenance and support services are invoiced annually or bi-annually in advance of the services being provided to the customer. On-premise software licenses are invoiced upon the delivery of the license to the customer which can occur either upon shipment of the media device containing the software or at the time the download link for the software is transmitted to the customer. Nonrecurring professional services and third-party services are generally invoiced monthly in arrears after services have been provided to the customer. Sales of third-party hardware (which includes digital signage equipment) often requires the customer to prepay all or a portion of the amount due in advance. Upon the delivery of the hardware, the customer is invoiced for the net amount due after application of the advance payment. Invoiced amounts are due between thirty and forty-five days from the invoice date.</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contract consideration is generally variable based on a fixed per item charge applied to a variable quantity of units. Variable consideration received for the Company’s services is generally recognized over time in accordance with the “right to invoice” practical expedient and therefore is not subject to revenue constraint evaluation.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products or providing services. Revenue is recognized when the Company satisfies its performance obligations under the contract by transferring the promised product or service to its customer.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contracts generally do not include any material significant financing components.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SaaS, maintenance and support, nonrecurring professional and third-party services over time as the services are provided to the customer and the customer receives and consumes the benefits of the services.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satisfies its performance obligations with respect to the provision of on-premise software licenses and third-party hardware at the point in time when the customer obtains control of the license or hardware upon delivery.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established a contract liability for payments received in advance of providing SaaS and maintenance and support services, on-premise software licenses and third-party hardware to customers. This is classified as contract liabilities in the accompanying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the adoption of Topic 606 on January 1, 2020, the Company has elected the following practical expedients provided for in the standard.</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to not adjust the promised amount of consideration for the effect of a significant financing component if it expects, at contract inception, that the period between the Company’s transfer of a promised good or service to a customer and the customer’s payment for that good or service will be one year or less.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excluding from its transaction price all sales and similar taxes collected from its customers.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to recognize the incremental costs of obtaining a contract as an expense when incurred if the amortization period of the asset that the entity otherwise would have recognized is one year or less.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to account for shipping and handling activities that occur after control of the related good transfers as fulfillment activities instead of assessing such activities as performance obligations.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approach has been elected, when applicable, by the Company as it expects any effects of adoption would not be materially different in application at the portfolio level compared with the application at an individual contract level.</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the “right to invoice” expedient which states that for performance obligations satisfied over time, if an entity has a right to consideration from a customer in an amount that corresponds directly with the value to the customer of the entity’s performance completed to date, the entity may recognize revenue in the amount to which the entity has a right to invoice.</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not to disclose information about its remaining performance obligations for any contract that has an original expected duration of one year or less.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Disaggregation of Revenue From Contracts With Customers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revenue based on the timing of the transfer of products and services to customers for the years ending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4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9,812,563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2,430,468</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12,243,031</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50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8,858,944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12,024,910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
        </w:trPr>
        <w:tc>
          <w:tcPr>
            <w:tcW w:w="8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Neither the type of product or service sold nor the location of sale significantly impacts the nature, amount, timing, or uncertainty of revenue and cash flows.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Stock options are accounted for using the grant date fair value method. Under this method, stock-based compensation expense is measured by the estimated fair value of the granted stock options at the date of grant, using the Black-Scholes option pricing model, and recognized over the vesting period with a corresponding increase to additional paid-in capital.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8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estimates its income taxes in preparing the financial statements. This process involves estimating the actual current tax exposure together with deferred tax assets and liabilities. The Company has not established a valuation allowance to reserve deferred tax assets, as management believes the recovery of deferred tax assets is more likely than not of being recovered from future taxable income prior to expiration.</w:t>
      </w:r>
    </w:p>
    <w:p>
      <w:pPr>
        <w:spacing w:after="0" w:line="17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uncertainties in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clarifies the accounting for uncertainty in income taxes recognized in financial statements and requires the impact of a tax position to be recognized in the financial statements if that position is more likely than not of being sustained upon examination by the taxing authority. The Company accounts for interest and penalties relating to uncertain tax positions in the current Statement of Operations, if necessary. As of December 31, 2021 and 2020, the Company had no uncertain tax positions.</w:t>
      </w:r>
    </w:p>
    <w:p>
      <w:pPr>
        <w:spacing w:after="0" w:line="18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adopted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and classified all deferred tax assets and liabilities, along with any related valuation allowance, as noncurrent on the balance sheets.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Advertising and Promotion Costs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Advertising and other marketing costs are expensed when incurred and totaled $578,764 and $520,275 for the years ended December 31, 2021 and 2020, respectively. These costs are included in the statements of operations as selling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excluding the capitalized software development, are expensed as incurred. For the years ended December 31, 2021 and 2020, research and development expense was $1,128,766 and $1,004,571,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2021, four customers represented 39 percent, 26 percent, 14 percent, and 11 percent of the Company’s accounts receivable. As of December 31, 2020, one customer represented 74 percent of the Company’s accounts receivable. As of December 31, 2021, four vendors represented 36 percent, 17 percent, 17 percent, and 12 percent of the Company’s accounts payable. As of December 31, 2020, one vendor represented 78 percent of the Company’s accounts payable.</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three customers represented 26 percent, 18 percent and 10 percent of the Company’s total revenue. For the year ended December 31, 2020, three customers represented 15 percent, 23 percent and 26 percent of the Company’s total revenue. The Company performs ongoing credit evaluations and does not require collateral. It maintains no reserves for potential losses based on the nature of its clients and historical collection patterns.</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165,437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296,350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18,733</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776,633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960,803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1,091,716</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(680,668)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(671,784)</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280,135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419,932</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Depreciation expense was $146,518 and $155,223 for the years ended December 31, 2021 and 2020, respectively. For the year ended December 31, 2021, the Company wrote-off $137,634 of fully depreciated property and equipment.</w:t>
      </w:r>
    </w:p>
    <w:p>
      <w:pPr>
        <w:spacing w:after="0" w:line="158"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Development Costs,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Capitalized software consisted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7,290,490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6,445,589</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(4,624,583)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(3,501,137)</w:t>
            </w: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net</w:t>
            </w:r>
          </w:p>
        </w:tc>
        <w:tc>
          <w:tcPr>
            <w:tcW w:w="11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2,665,907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2,944,452</w:t>
            </w:r>
          </w:p>
        </w:tc>
      </w:tr>
      <w:tr>
        <w:trPr>
          <w:trHeight w:val="20"/>
        </w:trPr>
        <w:tc>
          <w:tcPr>
            <w:tcW w:w="7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software development costs was $1,123,446 and $1,080,154, for the years ended December 31, 2021 and 2020,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right="8360" w:hanging="332"/>
        <w:spacing w:after="0" w:line="503"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its headquarters along with additional storage space in Richardson, Texas. In addition, the Company leases certain equipment and furniture under an operating lease agreement. These lease agreements expire on various dates through December 31, 2023. Future minimum lease payments required under the related operating lease agreements as of December 31, 2021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jc w:val="right"/>
              <w:ind w:right="7930"/>
              <w:spacing w:after="0"/>
              <w:rPr>
                <w:sz w:val="20"/>
                <w:szCs w:val="20"/>
                <w:color w:val="auto"/>
              </w:rPr>
            </w:pPr>
            <w:r>
              <w:rPr>
                <w:rFonts w:ascii="Times New Roman" w:cs="Times New Roman" w:eastAsia="Times New Roman" w:hAnsi="Times New Roman"/>
                <w:sz w:val="18"/>
                <w:szCs w:val="18"/>
                <w:color w:val="auto"/>
                <w:w w:val="98"/>
              </w:rPr>
              <w:t>Years ending December 31: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291,650</w:t>
            </w:r>
          </w:p>
        </w:tc>
        <w:tc>
          <w:tcPr>
            <w:tcW w:w="0" w:type="dxa"/>
            <w:vAlign w:val="bottom"/>
          </w:tcPr>
          <w:p>
            <w:pPr>
              <w:spacing w:after="0"/>
              <w:rPr>
                <w:sz w:val="1"/>
                <w:szCs w:val="1"/>
                <w:color w:val="auto"/>
              </w:rPr>
            </w:pPr>
          </w:p>
        </w:tc>
      </w:tr>
      <w:tr>
        <w:trPr>
          <w:trHeight w:val="223"/>
        </w:trPr>
        <w:tc>
          <w:tcPr>
            <w:tcW w:w="1002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299,325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jc w:val="right"/>
              <w:ind w:right="92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590,975</w:t>
            </w:r>
          </w:p>
        </w:tc>
        <w:tc>
          <w:tcPr>
            <w:tcW w:w="0" w:type="dxa"/>
            <w:vAlign w:val="bottom"/>
          </w:tcPr>
          <w:p>
            <w:pPr>
              <w:spacing w:after="0"/>
              <w:rPr>
                <w:sz w:val="1"/>
                <w:szCs w:val="1"/>
                <w:color w:val="auto"/>
              </w:rPr>
            </w:pPr>
          </w:p>
        </w:tc>
      </w:tr>
      <w:tr>
        <w:trPr>
          <w:trHeight w:val="21"/>
        </w:trPr>
        <w:tc>
          <w:tcPr>
            <w:tcW w:w="1002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Rent expense for the years ended December 31, 2021 and 2020 was $352,639 and $330,731, respectively.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be subject to certain claims and contingent liabilities that arise in the normal course of business. None of these, in the opinion of management, are expected to have a material adverse effect on the Company’s financial position, results of operations, or cash flows.</w:t>
      </w:r>
    </w:p>
    <w:p>
      <w:pPr>
        <w:spacing w:after="0" w:line="15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 2019, the Company entered into a $2,000,000 Credit Agreement with a maturity of February 1, 2024. The Credit Agreement requires monthly interest payments beginning on March 1, 2019 and monthly principal payments of $41,667, beginning on March 1, 2020. The loan bears interest at a rate of 5.35 percent per annum. At December 31, 2021 and 2020, the balance on the loan was $1,083,333 and $1,583,333, respectively.</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Credit Agreement, the Company also entered into a revolving line of credit with a maximum borrowing of $500,000. The Credit Agreement requires monthly interest payments until its maturity. On August 16, 2021, the Company amended its revolving line of credit extending the maturity to July 15, 2022.</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bears interest at the Prime Rate as published by the Wall Street Journal (3.25 percent at December 31, 2021 and 2020). As of December 31, 2021 and 2020, there was no outstanding balance on the line of credit.</w:t>
      </w:r>
    </w:p>
    <w:p>
      <w:pPr>
        <w:spacing w:after="0" w:line="162"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Credit Agreement is collateralized by substantially all assets of the Company. The Credit Agreement requires the Company to meet certain financial and nonfinancial covenants. At December 31, 2021, the Company was in compliance with its debt covenants.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required under the credit agreement as of December 31, 2021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98"/>
              </w:rPr>
              <w:t>Years ending December 31:</w:t>
            </w:r>
          </w:p>
        </w:tc>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color w:val="auto"/>
              </w:rPr>
              <w:t>2022</w:t>
            </w:r>
          </w:p>
        </w:tc>
        <w:tc>
          <w:tcPr>
            <w:tcW w:w="6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760" w:type="dxa"/>
            <w:vAlign w:val="bottom"/>
          </w:tcPr>
          <w:p>
            <w:pPr>
              <w:jc w:val="right"/>
              <w:ind w:right="3150"/>
              <w:spacing w:after="0"/>
              <w:rPr>
                <w:sz w:val="20"/>
                <w:szCs w:val="20"/>
                <w:color w:val="auto"/>
              </w:rPr>
            </w:pPr>
            <w:r>
              <w:rPr>
                <w:rFonts w:ascii="Times New Roman" w:cs="Times New Roman" w:eastAsia="Times New Roman" w:hAnsi="Times New Roman"/>
                <w:sz w:val="18"/>
                <w:szCs w:val="18"/>
                <w:color w:val="auto"/>
              </w:rPr>
              <w:t>2023</w:t>
            </w: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376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color w:val="auto"/>
              </w:rPr>
              <w:t>2024</w:t>
            </w:r>
          </w:p>
        </w:tc>
        <w:tc>
          <w:tcPr>
            <w:tcW w:w="6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83,333</w:t>
            </w:r>
          </w:p>
        </w:tc>
      </w:tr>
      <w:tr>
        <w:trPr>
          <w:trHeight w:val="216"/>
        </w:trPr>
        <w:tc>
          <w:tcPr>
            <w:tcW w:w="37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760" w:type="dxa"/>
            <w:vAlign w:val="bottom"/>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color w:val="auto"/>
              </w:rPr>
              <w:t>Total</w:t>
            </w:r>
          </w:p>
        </w:tc>
        <w:tc>
          <w:tcPr>
            <w:tcW w:w="6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1,083,333</w:t>
            </w:r>
          </w:p>
        </w:tc>
      </w:tr>
      <w:tr>
        <w:trPr>
          <w:trHeight w:val="547"/>
        </w:trPr>
        <w:tc>
          <w:tcPr>
            <w:tcW w:w="3760" w:type="dxa"/>
            <w:vAlign w:val="bottom"/>
            <w:tcBorders>
              <w:top w:val="single" w:sz="8" w:color="CCEEFF"/>
              <w:bottom w:val="single" w:sz="8" w:color="auto"/>
            </w:tcBorders>
          </w:tcPr>
          <w:p>
            <w:pPr>
              <w:spacing w:after="0"/>
              <w:rPr>
                <w:sz w:val="24"/>
                <w:szCs w:val="24"/>
                <w:color w:val="auto"/>
              </w:rPr>
            </w:pPr>
          </w:p>
        </w:tc>
        <w:tc>
          <w:tcPr>
            <w:tcW w:w="6260" w:type="dxa"/>
            <w:vAlign w:val="bottom"/>
            <w:tcBorders>
              <w:top w:val="single" w:sz="8" w:color="CCEEFF"/>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Paycheck Protection Program Loan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29, 2020, the Company received loan proceeds in the amount of $1,062,400 under the Paycheck Protection Program (PPP) which was established as part of the Coronavirus Aid, Relief and Economic Security (CARES) Act and is administered through the Small Business Administration (SBA). The PPP provides loans to qualifying businesses in amounts up to 2.5 times their average monthly payroll expenses and was designed to provide a direct financial incentive for qualifying businesses to keep their workforce employed during the Coronavirus crisis. PPP loans are uncollateralized and guaranteed by the SBA and are forgivable after a “covered period” (eight or twenty-four weeks) as long as the borrower maintains its payroll levels and uses the loan proceeds for eligible expenses, including payroll, benefits, mortgage interest, rent, and utilities. The forgiveness amount will be reduced if the borrower terminates employees or reduces salaries and wages more than 25 percent during the covered period. Any unforgiven portion is payable over 2 years at an interest rate of 1 percent with payments deferred until the SBA remits the borrower’s loan forgiveness amount to the lender, or, if the borrower does not apply for forgiveness, ten months after the end of the covered period. PPP loan terms provide for customary events of default, including payment defaults, breaches of representations and warranties, and insolvency events and may be accelerated upon the occurrence of one or more of these events of default. Additionally, PPP loan terms do not include prepayment penalties.</w:t>
      </w:r>
    </w:p>
    <w:p>
      <w:pPr>
        <w:spacing w:after="0" w:line="19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portion of the Company’s PPP loan is not forgiven, the Company will be required to repay that portion, plus interest, with the repayment term beginning at the time the SBA remits the amount forgiven to the Company’s lender. On November 13, 2020, the Company received legal forgiveness on the PPP loan proceeds of $1,062,400.</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27, 2020, the Economic Aid to Hard-Hit Small Businesses, Nonprofits, and Venues Act (Economic Aid Act) was enacted, permitting Second Draw PPP loans. In January 2021, the Company applied for and was approved for a second loan draw (PPP 2) pursuant to the Economic Aid Act, administered by the U.S. Small Business Administration. The Company received $998,393 of loan proceeds with an effective date of January 28, 2021, with a maturity of five years and will bear interest at 1 percent per annum. Under the terms of the PPP 2, loan payments will be deferred for the Company if they apply for loan forgiveness until SBA remits the Company’s loan forgiveness amount to the lender. If the Company does not apply for loan forgiveness, payments are deferred seventeen months from the date of PPP 2 issuance. The Company received legal forgiveness of the PPP 2 loan proceeds of $998,393 on July 16, 2021.</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SBA reserves the right to audit any PPP loan, regardless of size. These audits may occur after forgiveness has been granted. In accordance with the CARES Act, all borrowers are required to maintain their PPP loan documentation for six years after the PPP loan was forgiven or repaid in full and to provide that documentation to the SBA upon request.</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2002, the Company’s board of directors established a long-term incentive plan (the Plan), under which options to purchase shares of common stock are made available for grant to qualified consultants, directors, or employees of the Company. The Plan is authorized to issue up to 3,326,087 shares of the Company’s common stock. The Plan expired in 2012 after the initial 10-year life; however, the Board of Directors continued to grant Board approved options after the Plan’s expiration.</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of the options is determined by the Company as defined in the option agreements and may be immediately vested in whole or over multiple years. The Company recognizes compensation expense for options granted to employees or directors using the straight-line method over the vesting period. All nonvested stock options issued as of the date of the option holder’s termination will be forfeited, with the exception of certain nonvested stock options granted to executive management that have special vesting provisions upon involuntary termination or resignation. The special provisions call for the accelerated vesting of a portion of the option shares granted to the employee.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option activity for the years ended December 31, 2021 and 2020 is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2,383,000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(233,000)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491,944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(152,500)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2,644,444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fair value for these options was estimated at the date of grant using the Black-Scholes option pricing model. The Company determined that the grant date fair value of the options for year ended December 31, 2021 was insignificant to the financial statements and therefore recorded no compensation expense. The grant date fair value of the options for year ended December 31, 2020 was $0.02 and the Company recorded $11,571 of stock compensation expense. The Black-Scholes option pricing model used the following weighted average assumptions, along with no dividends, for the years ended December, 2021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Method Inputs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risk free rate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1.08%-1.64%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0.62%-1.76%</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bl>
    <w:p>
      <w:pPr>
        <w:spacing w:after="0" w:line="17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also estimated a forfeiture rate of 14 percent and 15 percent for the years December 31, 2021 and 2020, respectively. The Black-Scholes option-pricing model requires the input of highly subjective assumptions. The Company calculates expected volatility for stock options based upon the volatility of public companies of similar size and industry as the Company believes the expected volatility will approximate historical volatility. The risk-free rate is based on U.S. Treasury rates with a remaining term that approximates the expected life of the option. The Company continues to assess the assumptions and methodologies used to calculate the established fair value of share-based compensation. Circumstances may change and additional data may become available over time, which could result in changes to these assumptions and methodologies, which could materially impact the fair value determinations.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Options outstanding and exercisable as of December 31,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Borders>
              <w:top w:val="single" w:sz="8" w:color="auto"/>
            </w:tcBorders>
          </w:tcPr>
          <w:p>
            <w:pPr>
              <w:jc w:val="center"/>
              <w:ind w:left="73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6"/>
                <w:szCs w:val="16"/>
                <w:color w:val="auto"/>
              </w:rPr>
            </w:pPr>
          </w:p>
        </w:tc>
        <w:tc>
          <w:tcPr>
            <w:tcW w:w="26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2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5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2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00" w:type="dxa"/>
            <w:vAlign w:val="bottom"/>
          </w:tcPr>
          <w:p>
            <w:pPr>
              <w:spacing w:after="0"/>
              <w:rPr>
                <w:sz w:val="21"/>
                <w:szCs w:val="21"/>
                <w:color w:val="auto"/>
              </w:rPr>
            </w:pPr>
          </w:p>
        </w:tc>
      </w:tr>
      <w:tr>
        <w:trPr>
          <w:trHeight w:val="216"/>
        </w:trPr>
        <w:tc>
          <w:tcPr>
            <w:tcW w:w="2160" w:type="dxa"/>
            <w:vAlign w:val="bottom"/>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1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2,664,494</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2,599,077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Options outstanding and exercisable as of December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Borders>
              <w:top w:val="single" w:sz="8" w:color="auto"/>
            </w:tcBorders>
          </w:tcPr>
          <w:p>
            <w:pPr>
              <w:jc w:val="center"/>
              <w:ind w:left="73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6"/>
                <w:szCs w:val="16"/>
                <w:color w:val="auto"/>
              </w:rPr>
            </w:pPr>
          </w:p>
        </w:tc>
        <w:tc>
          <w:tcPr>
            <w:tcW w:w="26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2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5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2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00" w:type="dxa"/>
            <w:vAlign w:val="bottom"/>
          </w:tcPr>
          <w:p>
            <w:pPr>
              <w:spacing w:after="0"/>
              <w:rPr>
                <w:sz w:val="21"/>
                <w:szCs w:val="21"/>
                <w:color w:val="auto"/>
              </w:rPr>
            </w:pPr>
          </w:p>
        </w:tc>
      </w:tr>
      <w:tr>
        <w:trPr>
          <w:trHeight w:val="216"/>
        </w:trPr>
        <w:tc>
          <w:tcPr>
            <w:tcW w:w="2160" w:type="dxa"/>
            <w:vAlign w:val="bottom"/>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1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2,325,000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2,214,895</w:t>
            </w:r>
          </w:p>
        </w:tc>
      </w:tr>
      <w:tr>
        <w:trPr>
          <w:trHeight w:val="547"/>
        </w:trPr>
        <w:tc>
          <w:tcPr>
            <w:tcW w:w="2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provision for income taxes for the years ended December 31, 2021 and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benefit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125,513</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 benefit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28,004</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153,517</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135,887</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statutory income tax rate to the effective income tax rates as a percentage of income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True-ups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-29.91%</w:t>
            </w:r>
          </w:p>
        </w:tc>
      </w:tr>
      <w:tr>
        <w:trPr>
          <w:trHeight w:val="27"/>
        </w:trPr>
        <w:tc>
          <w:tcPr>
            <w:tcW w:w="8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-18.78%</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taxes for the years ended December 31, 2021 and 2020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3,285,693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3,195,974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484,005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payroll tax</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42,513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(585,408)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(658,540)</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(59,681)</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3,274,759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3,105,207</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At December 31, 2021 and 2020, the Company had a net operating loss carryforward of $15,436,196 and $15,031,883, respectively. The net operating losses generated in 2017 and earlier are eligible for carryforward for a period of 20 years which will begin expire in 2031. The annual utilization of the net operating losses generated in 2018 and forward, do not have an expiration, but are limited to 80 percent of taxable income in future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Temporary Stockholders’ Equity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preferred shares are entitled to vote with common stock on an as-converted basis. The Board of Directors as of December 31, 2021 and 2020, had authorized the issuance of 27,872,443 shares in five series of preferred stock, each with a par value of $0.001, as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38"/>
        </w:trPr>
        <w:tc>
          <w:tcPr>
            <w:tcW w:w="19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Dividend Rate</w:t>
            </w: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2,472,443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2,472,443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10,400,000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3,727,613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8,000,000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r>
      <w:tr>
        <w:trPr>
          <w:trHeight w:val="223"/>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19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27,872,443</w:t>
            </w: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21,200,056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preferred stock includes an optional holder redemption feature in which the holders can request redemption of the stock to be paid in three equal installments. The redemption amount is based on the original issue price of the preferred stock and is at the option of the majority preferred stockholders upon written request. As this redemption feature does not meet the definition of unconditional obligation to transfer assets and is not certain to occur until the request occurs in the applicable time period, the preferred stock is not considered mandatorily redeemable stock, but is rather contingently redeemable and therefore classified as temporary equity. Accordingly, all preferred stock with a carrying value of $15,720,761 is classified as temporary equity because the Company cannot control whether or not it will settle the redemption of preferred stock in cash or common stock. No redemption requests have been received as of the balance sheet date but subsequent to December 31, 2021, the Company was acquired (Footnote 12). As a result, no changes have been made to the carrying value of the temporary equity as of December 31, 2021 and 2020, respectively.</w:t>
      </w:r>
    </w:p>
    <w:p>
      <w:pPr>
        <w:spacing w:after="0" w:line="18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share of preferred stock is convertible into common stock at the option of the holder based on a conversion price as defined in the Fourth Amended and Restated Certification of Incorporation which may be adjusted based on stock dividends, splits, mergers and reorganizations as well as adjusted if there is a future dilutive issuance of common stock at a price lower than the original issue price of the preferred stock. All preferred stock will automatically convert upon public offering of at least five times the original Series D issue price in which net proceeds are at least $35,000,000 or upon an event specified by vote or written consent of the majority stockholders.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the Corporation, the holders of the preferred stock are entitled to be paid out of the assets of the corporation available for distribution to its stockholders or out of the consideration payable to the stockholders prior to the payment is made to the holders of common stock. If, however, the assets available for distribution to the holders of preferred stock are not sufficient to permit payment to such stockholders of the full liquidation preference, then all the assets of the Company shall be distributed ratably to the holders of preferred stock as defined in the Fourth Amended and Restated Certificate of Incorporation.</w:t>
      </w:r>
    </w:p>
    <w:p>
      <w:pPr>
        <w:spacing w:after="0" w:line="179" w:lineRule="exact"/>
        <w:rPr>
          <w:sz w:val="20"/>
          <w:szCs w:val="20"/>
          <w:color w:val="auto"/>
        </w:rPr>
      </w:pPr>
    </w:p>
    <w:p>
      <w:pPr>
        <w:ind w:left="340" w:right="9300" w:hanging="332"/>
        <w:spacing w:after="0" w:line="532" w:lineRule="auto"/>
        <w:tabs>
          <w:tab w:leader="none" w:pos="3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Deficit Common Stock</w:t>
      </w:r>
    </w:p>
    <w:p>
      <w:pPr>
        <w:spacing w:after="0" w:line="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35,000,000 shares of common stock with par value of $0.001 per share. Holders of the common stock are entitled to one vote per share.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Reflect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3"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all material events and transactions that occurred subsequent to December 31, 2021, the balance sheet date, through Date of Report, the date the financial statements were available to be issued and determined there were no other events or transactions which would impact these financial statements for the year ended December 31, 2021, except as noted below:</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12, 2021, the Company and Creative Realities, Inc. (a publicly traded company) entered into an Agreement and Plan of Merger (as amended on February 8, 2022, the Merger Agreement). On February 17, 2022, the parties consummated the Merger. Subject to the terms and conditions of the Merger Agreement, upon the closing of the Merger, Reflect stockholders as of the effective time of the Merger collectively received from the Company, in the aggregate, the following Merger consideration: (i) $16,166,000 payable in cash, (ii) 2,333,334 shares of common stock of Creative Realities, Inc. (valued based on an issuance price of $2 per share) (iii) the secured promissory note (as defined in the Merger Agreement) and (iv) supplemental cash payments, the guaranteed consideration (as defined in the Merger Agreement).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Reports First Quarter 2022 Results</w:t>
      </w:r>
    </w:p>
    <w:p>
      <w:pPr>
        <w:spacing w:after="0" w:line="31" w:lineRule="exact"/>
        <w:rPr>
          <w:sz w:val="20"/>
          <w:szCs w:val="20"/>
          <w:color w:val="auto"/>
        </w:rPr>
      </w:pPr>
    </w:p>
    <w:p>
      <w:pPr>
        <w:ind w:left="1960" w:hanging="332"/>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Announces revenue of $10.8 million</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Reaffirms 2022 Revenue Guidance to Exceed $43 Million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 May 16, 2022 </w:t>
      </w:r>
      <w:r>
        <w:rPr>
          <w:rFonts w:ascii="Times New Roman" w:cs="Times New Roman" w:eastAsia="Times New Roman" w:hAnsi="Times New Roman"/>
          <w:sz w:val="18"/>
          <w:szCs w:val="18"/>
          <w:color w:val="auto"/>
        </w:rPr>
        <w:t>– Creative Realities, Inc. (“Creative Realities,” “CRI,” or the “Company”) (NASDAQ: CREX, CREXW),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digital signage solutions, announced its financial results for the three months ended March 31, 2022.</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Rick Mills, Chief Executive Officer, commented “During the first quarter of 2022, we completed financing activities and closed on our previously announced acquisition of Reflect Systems, Inc. (“Reflect”). Customers spoke immediately, with Creative Realities and Reflect initially winning a $10 million customer project which began in February and will continue deployment through the first quarter of 2023. Despite combined company results which include only 44 days with Reflect in our consolidated results, we produced record revenue of approximately $10.8 million. Our current client base continues to expand, as evidenced by the expansion in our annual recurring run-rate to in excess of $13.5 million per year. Our pipeline for potential new logos and new clients has never been more robust.”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Mills continued, “Our primary focus remains in expanding the number of SaaS devices managed via our digital signage software, in turn increasing the value of our Company through increasing in our annual recurring services revenue. As we grow the software subscription base and continue to integrate Creative Realities and Reflect, we expect to further enhance our operating leverage and improve financial results.”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expansion of our SaaS revenue and the momentum within our pipeline, we reiterate our expected target to generate revenue in excess of $43 million during 2022, which would represent an organic growth rate in excess of 40% on a pro forma, combined company basis as compared to 2021. We remain on track to deliver 25% growth in our annual recurring revenue on a pro forma, combined company basis in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Mills concluded, “We are proud about the work we have completed thus far, but remain even more engaged and excited about what is to come for Creative Realities. We are positioned to service enterprise customers with our end-to-end offering and to drive profitability through our increased scale.”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First Quarter 2022 Financial Overview</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results herein represent the financial results of Creative Realities, Inc. and include financial results for Reflect Systems, Inc. for the period February 17, 2022 – March 31, 2022 during which Reflect operated as a wholly owned subsidiary of Creative Realities following their merger on February 17,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Highlights:</w:t>
      </w:r>
    </w:p>
    <w:p>
      <w:pPr>
        <w:spacing w:after="0" w:line="2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$5.8 million, or 115%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run-rate exceeds $13.5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gross profit, and gross margin:</w:t>
      </w:r>
    </w:p>
    <w:p>
      <w:pPr>
        <w:spacing w:after="0" w:line="29" w:lineRule="exact"/>
        <w:rPr>
          <w:sz w:val="20"/>
          <w:szCs w:val="20"/>
          <w:color w:val="auto"/>
        </w:rPr>
      </w:pPr>
    </w:p>
    <w:p>
      <w:pPr>
        <w:jc w:val="both"/>
        <w:ind w:left="660" w:hanging="328"/>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$10.8 million, representing an increase of $5.8 million, or 115%, as compared to the same period in 2021 despite a reduction in revenues generated from the sale of our Safe Space Solutions products and services of $0.9 million. Revenues generated from our core digital signage products and services increased $6.6 million, or 133% in 2022 as compared to 2021, despite continued supply chain disruptions related to semiconductor chips delaying the delivery of digital displays and media players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 acquired Reflect on February 17, 2022, and the Company’s consolidated results for the three months ended March 31, 2022 include 44 days of Reflect’s operations. Had the companies completed the Merger as of December 31, 2021, the combined company would have revenue in excess of $12 million during the three months ended March 31, 2022.</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were $6.5 million in 2022, an increase of $3.6 million, or 129%, as compared to the prior year. Services and other revenues were $4.3 million in 2022, an increase of $2.1 million, or 96% with the inclusion of 44 days of Reflect in the consolidated results.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services revenue, which includes both software-as-a-service (“SaaS”) and help desk technical subscription services, were $2.7 million in the three months ended March 31, 2022 as compared to $1.3 million in the same period in 2021, which included $0.8 million contributed by Reflect in the 44 days from February 17 – March 31, 2022. The Company’s annual recurring revenue run-rate exceeds $13.5 million as of March 31, 2022.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$1.7 million, or 74% driven by an increase in revenue but offset by a reduction in gross profit margin. Gross profit margin decreased to 36.2% from 44.6% driven by a shift in revenue mix to 60% hardware in the first quarter of 2022 related to a material customer rollout underway. We expect this contraction in gross profit margin to be less severe as we move into the second quarter of 2022 and beyond, with significant pressure in the current quarter driving by a single, large-scale/hardware-heavy deployment.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ind w:left="660" w:hanging="328"/>
        <w:spacing w:after="0" w:line="25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increased by $0.4 million, or 111%, from $0.3 million during the three months ended March 31, 2021 to $0.7 million in the three months ended March 31, 2022, driven by the acquisition of Reflect during the period. Immediately following the acquisition of Reflect, the company integrated the sales and marketing functions and does not disaggregate these expenses between the two legacy companies. Through the acquisition and integration activities, the Company has adopted certain tools, technology, and processes – particularly with respect to digital marketing utilized to generate demand and qualified sales leads – that were only minimally invested into by Creative Realities in the past. Additionally, the Company formally engaged an investor relations firm, HaydenIR, and has increased investor relations activities, including conferences and presentations. As a result, we expect the sales and marketing expenses of the combined company to continue at the current pace for future periods.</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increased $0.1 million, or 41% in 2022, from $0.1 million during the three months ended March 31, 2021 to $0.2 million during the three months ended March 31, 2022, driven primarily by the acquisition of Reflect. Through the acquisition of Reflect, we acquired a fully staffed, experienced software development team and elected to keep these resources intact, in full, particularly given employment market conditions with respect to talented software engineers. We have integrated the pre-existing CRI development team with the acquired team and have experienced speed to market on feature and functionality development activities from enhancing this resource pool. We expect this elevated level of expense to continue into the future as we continue to develop our current and future product set.</w:t>
      </w:r>
    </w:p>
    <w:p>
      <w:pPr>
        <w:spacing w:after="0" w:line="36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 excluding bad debt expense – increased $0.6 million, or 31%, from $2.1 million during the three months ended March 31, 2021 to $2.7 million during the three months ended March 31, 2022, driven by the acquisition of Reflect. While the company anticipates carrying higher general and administrative expenses moving forward as a result of the acquisition of Reflect, the integration activities include several projects that we expect will be realized by the end of 2022. Bad debt expense returned to a more normalized rate of $0.1 million during the three months ended March 31, 2022, representing an increase of $0.6 million as compared to 2021 as the result of a bankruptcy recovery in the same period in 2021. Our general and administrative expenses also include $0.6 million in non-cash stock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Operating loss, net income, and EBITDA:</w:t>
      </w:r>
    </w:p>
    <w:p>
      <w:pPr>
        <w:spacing w:after="0" w:line="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$1.0 million during the three months ended March 31, 2022, inclusive of the following $1.7 million in non-cash charges:</w:t>
      </w:r>
    </w:p>
    <w:p>
      <w:pPr>
        <w:spacing w:after="0" w:line="9" w:lineRule="exact"/>
        <w:rPr>
          <w:sz w:val="20"/>
          <w:szCs w:val="20"/>
          <w:color w:val="auto"/>
        </w:rPr>
      </w:pPr>
    </w:p>
    <w:p>
      <w:pPr>
        <w:ind w:left="1300" w:hanging="320"/>
        <w:spacing w:after="0" w:line="250"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$0.7 million, with $0.4 million the result of one-half of one quarter of incremental amortization related to intangible assets recorded during the acquisition of Reflect;</w:t>
      </w:r>
    </w:p>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and transaction costs: $0.4 million in expenses incurred to facilitate the Reflect acquisition and related financing activities;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employee &amp; director stock compensation expenses: $0.6 million for both time and performance vesting options.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$2.5 million during the three months ended March 31, 2022 including:</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gain on marking outstanding warrants to fair value;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charge related to the issuance of warrants in exchange for a debt waiver;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interest expense, $0.2 million of which represents non-cash amortization of debt discount recorded in conjunction with the issuance of warrants; and</w:t>
      </w:r>
    </w:p>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loss related to amending our debt facilities.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was $4.1 million in 2022, with Adjusted EBITDA of $0.6 million. Adjusted EBITDA margin was 6% during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will host a webinar to review the results and provide additional commentary about the Company’s recent performance and the Reflect merger, which is scheduled for Tuesday, May 17, 2022 at 9:00 am Eastern Time.</w:t>
      </w:r>
    </w:p>
    <w:p>
      <w:pPr>
        <w:spacing w:after="0" w:line="1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Prior to the call, participants should register at bit.ly/CRIearnings2022Q1. Once registered, participants can use the weblink provided in the registration email to listen to and view prepared materials via live webcast. An archived edition of the conference call will also be posted on our website at www.cri.com later that same day and will remain available to interested parties via the same link for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With its recent acquisition of Reflect Systems, Inc., a leading provider of digital signage software platforms, the company is poised to extend its product and service offering and accelerate growth in SaaS revenue. While Reflect provided a broad range of digital signage solutions, Reflect’s flagship products are the market-leading ReflectView digital signage platform and Reflect AdLogic ad management platform. ReflectView is the industry’s most comprehensive, scalable, enterprise-grade digital signage platform, powering enterprise customer networks. Meanwhile, Reflect AdLogic has become the benchmark for digital signage powered ad networks, delivering nearly 50 million ads daily. The acquisition of Reflect also brought to the Company a media sales division with the expertise and relationships to help any digital signage venue owner develop and execute a monetization plan for their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combined company has operations across North America with active installations in more than 10 countries.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please refer to Creative Realities, Inc.’s filings available online at www.sec.gov, including its Annual Report on Form 10-K filed with the Securities and Exchange Commission on March 22,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2021 and the Company’s subsequent filings with the U.S. Securities and Exchange Commission. Important factors, among others, that may affect actual results or outcomes include: our ability to effectively integrate Reflect’s business operations, our strategy for customer retention, growth, product development, market position, financial results and reserves, our ability to execute on our business plan, our ability to retain key personnel, potential litigation, supply chain shortages, and general economic and market conditions impacting demand for our products and services, including those as a result of the COVID-19 pandemic.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Davies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cdavies@ideagrove.com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4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1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fair value of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(Gain)/loss on fair value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(5,469)</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settlement of obligations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(Gain)/loss on debt waiver consent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Deal and transaction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Roman"/>
      <w:start w:val="2"/>
    </w:lvl>
  </w:abstractNum>
  <w:abstractNum w:abstractNumId="3">
    <w:nsid w:val="79838CB2"/>
    <w:multiLevelType w:val="hybridMultilevel"/>
    <w:lvl w:ilvl="0">
      <w:lvlJc w:val="left"/>
      <w:lvlText w:val="(%1)"/>
      <w:numFmt w:val="lowerRoman"/>
      <w:start w:val="2"/>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lvl w:ilvl="1">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decimal"/>
      <w:start w:val="5"/>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decimal"/>
      <w:start w:val="5"/>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3"/>
    </w:lvl>
  </w:abstractNum>
  <w:abstractNum w:abstractNumId="32">
    <w:nsid w:val="51EAD36B"/>
    <w:multiLevelType w:val="hybridMultilevel"/>
    <w:lvl w:ilvl="0">
      <w:lvlJc w:val="left"/>
      <w:lvlText w:val="%1."/>
      <w:numFmt w:val="decimal"/>
      <w:start w:val="4"/>
    </w:lvl>
  </w:abstractNum>
  <w:abstractNum w:abstractNumId="33">
    <w:nsid w:val="2D517796"/>
    <w:multiLevelType w:val="hybridMultilevel"/>
    <w:lvl w:ilvl="0">
      <w:lvlJc w:val="left"/>
      <w:lvlText w:val="%1."/>
      <w:numFmt w:val="decimal"/>
      <w:start w:val="5"/>
    </w:lvl>
  </w:abstractNum>
  <w:abstractNum w:abstractNumId="34">
    <w:nsid w:val="580BD78F"/>
    <w:multiLevelType w:val="hybridMultilevel"/>
    <w:lvl w:ilvl="0">
      <w:lvlJc w:val="left"/>
      <w:lvlText w:val="%1."/>
      <w:numFmt w:val="decimal"/>
      <w:start w:val="6"/>
    </w:lvl>
  </w:abstractNum>
  <w:abstractNum w:abstractNumId="35">
    <w:nsid w:val="153EA438"/>
    <w:multiLevelType w:val="hybridMultilevel"/>
    <w:lvl w:ilvl="0">
      <w:lvlJc w:val="left"/>
      <w:lvlText w:val="%1."/>
      <w:numFmt w:val="decimal"/>
      <w:start w:val="7"/>
    </w:lvl>
  </w:abstractNum>
  <w:abstractNum w:abstractNumId="36">
    <w:nsid w:val="3855585C"/>
    <w:multiLevelType w:val="hybridMultilevel"/>
    <w:lvl w:ilvl="0">
      <w:lvlJc w:val="left"/>
      <w:lvlText w:val="%1."/>
      <w:numFmt w:val="decimal"/>
      <w:start w:val="9"/>
    </w:lvl>
  </w:abstractNum>
  <w:abstractNum w:abstractNumId="37">
    <w:nsid w:val="70A64E2A"/>
    <w:multiLevelType w:val="hybridMultilevel"/>
    <w:lvl w:ilvl="0">
      <w:lvlJc w:val="left"/>
      <w:lvlText w:val="%1."/>
      <w:numFmt w:val="decimal"/>
      <w:start w:val="11"/>
    </w:lvl>
  </w:abstractNum>
  <w:abstractNum w:abstractNumId="38">
    <w:nsid w:val="6A2342EC"/>
    <w:multiLevelType w:val="hybridMultilevel"/>
    <w:lvl w:ilvl="0">
      <w:lvlJc w:val="left"/>
      <w:lvlText w:val="%1."/>
      <w:numFmt w:val="decimal"/>
      <w:start w:val="12"/>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56" Type="http://schemas.openxmlformats.org/officeDocument/2006/relationships/hyperlink" Target="http://www.sec.gov/Archives/edgar/data/1356093/000121390022005397/ea154895ex1-1_creative.htm" TargetMode="External"/><Relationship Id="rId57" Type="http://schemas.openxmlformats.org/officeDocument/2006/relationships/hyperlink" Target="http://www.sec.gov/Archives/edgar/data/1356093/000121390021059463/ea150536ex2-1_creativereal.htm" TargetMode="External"/><Relationship Id="rId58" Type="http://schemas.openxmlformats.org/officeDocument/2006/relationships/hyperlink" Target="http://www.sec.gov/Archives/edgar/data/1356093/000121390022006040/ea155158ex2-1_creativereal.htm" TargetMode="External"/><Relationship Id="rId59" Type="http://schemas.openxmlformats.org/officeDocument/2006/relationships/hyperlink" Target="http://www.sec.gov/Archives/edgar/data/1356093/000121390022005397/ea154895ex4-1_creative.htm" TargetMode="External"/><Relationship Id="rId60" Type="http://schemas.openxmlformats.org/officeDocument/2006/relationships/hyperlink" Target="http://www.sec.gov/Archives/edgar/data/1356093/000121390022005397/ea154895ex4-2_creative.htm" TargetMode="External"/><Relationship Id="rId61" Type="http://schemas.openxmlformats.org/officeDocument/2006/relationships/hyperlink" Target="http://www.sec.gov/Archives/edgar/data/1356093/000121390022008352/ea155906ex4-1_creative.htm" TargetMode="External"/><Relationship Id="rId62" Type="http://schemas.openxmlformats.org/officeDocument/2006/relationships/hyperlink" Target="http://www.sec.gov/Archives/edgar/data/1356093/000121390022008352/ea155906ex4-2_creative.htm" TargetMode="External"/><Relationship Id="rId63" Type="http://schemas.openxmlformats.org/officeDocument/2006/relationships/hyperlink" Target="http://www.sec.gov/Archives/edgar/data/1356093/000121390022005397/ea154895ex10-1_creative.htm" TargetMode="External"/><Relationship Id="rId64" Type="http://schemas.openxmlformats.org/officeDocument/2006/relationships/hyperlink" Target="http://www.sec.gov/Archives/edgar/data/1356093/000121390022005397/ea154895ex10-2_creative.htm" TargetMode="External"/><Relationship Id="rId65" Type="http://schemas.openxmlformats.org/officeDocument/2006/relationships/hyperlink" Target="http://www.sec.gov/Archives/edgar/data/1356093/000121390022008352/ea155906ex10-1_creative.htm" TargetMode="External"/><Relationship Id="rId66" Type="http://schemas.openxmlformats.org/officeDocument/2006/relationships/hyperlink" Target="http://www.sec.gov/Archives/edgar/data/1356093/000121390022008352/ea155906ex10-2_creative.htm" TargetMode="External"/><Relationship Id="rId67" Type="http://schemas.openxmlformats.org/officeDocument/2006/relationships/hyperlink" Target="http://www.sec.gov/Archives/edgar/data/1356093/000121390022008352/ea155906ex10-3_creative.htm" TargetMode="External"/><Relationship Id="rId68" Type="http://schemas.openxmlformats.org/officeDocument/2006/relationships/hyperlink" Target="http://www.sec.gov/Archives/edgar/data/1356093/000121390022008352/ea155906ex10-4_creative.htm" TargetMode="External"/><Relationship Id="rId69" Type="http://schemas.openxmlformats.org/officeDocument/2006/relationships/hyperlink" Target="http://www.sec.gov/Archives/edgar/data/1356093/000121390022008352/ea155906ex10-5_creative.htm" TargetMode="External"/><Relationship Id="rId70" Type="http://schemas.openxmlformats.org/officeDocument/2006/relationships/hyperlink" Target="http://www.sec.gov/Archives/edgar/data/1356093/000121390022008352/ea155906ex10-6_crea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2022-05-16T17:20:18Z</dcterms:created>
  <dcterms:modified xsi:type="dcterms:W3CDTF">2022-05-16T17:20:18Z</dcterms:modified>
</cp:coreProperties>
</file>