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3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20" w:hanging="2794"/>
        <w:spacing w:after="0" w:line="383" w:lineRule="auto"/>
        <w:tabs>
          <w:tab w:leader="none" w:pos="132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30" w:lineRule="exact"/>
        <w:rPr>
          <w:rFonts w:ascii="MS PGothic" w:cs="MS PGothic" w:eastAsia="MS PGothic" w:hAnsi="MS PGothic"/>
          <w:sz w:val="18"/>
          <w:szCs w:val="18"/>
          <w:color w:val="auto"/>
        </w:rPr>
      </w:pPr>
    </w:p>
    <w:p>
      <w:pPr>
        <w:jc w:val="center"/>
        <w:ind w:left="3420" w:right="940" w:hanging="2479"/>
        <w:spacing w:after="0" w:line="393"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92075</wp:posOffset>
            </wp:positionV>
            <wp:extent cx="277749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Minnesota</w:t>
            </w: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4920" w:type="dxa"/>
            <w:vAlign w:val="bottom"/>
            <w:gridSpan w:val="3"/>
          </w:tcPr>
          <w:p>
            <w:pPr>
              <w:jc w:val="center"/>
              <w:ind w:left="510"/>
              <w:spacing w:after="0" w:line="201" w:lineRule="exact"/>
              <w:rPr>
                <w:sz w:val="20"/>
                <w:szCs w:val="20"/>
                <w:color w:val="auto"/>
              </w:rPr>
            </w:pPr>
            <w:r>
              <w:rPr>
                <w:rFonts w:ascii="Arial" w:cs="Arial" w:eastAsia="Arial" w:hAnsi="Arial"/>
                <w:sz w:val="18"/>
                <w:szCs w:val="18"/>
                <w:color w:val="auto"/>
                <w:w w:val="93"/>
              </w:rPr>
              <w:t>State or other jurisdiction of</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920" w:type="dxa"/>
            <w:vAlign w:val="bottom"/>
            <w:gridSpan w:val="3"/>
          </w:tcPr>
          <w:p>
            <w:pPr>
              <w:jc w:val="center"/>
              <w:ind w:left="510"/>
              <w:spacing w:after="0"/>
              <w:rPr>
                <w:sz w:val="20"/>
                <w:szCs w:val="20"/>
                <w:color w:val="auto"/>
              </w:rPr>
            </w:pPr>
            <w:r>
              <w:rPr>
                <w:rFonts w:ascii="Arial" w:cs="Arial" w:eastAsia="Arial" w:hAnsi="Arial"/>
                <w:sz w:val="18"/>
                <w:szCs w:val="18"/>
                <w:color w:val="auto"/>
                <w:w w:val="92"/>
              </w:rPr>
              <w:t>incorporation or organization</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5"/>
              </w:rPr>
              <w:t>Identification No.</w:t>
            </w:r>
          </w:p>
        </w:tc>
      </w:tr>
      <w:tr>
        <w:trPr>
          <w:trHeight w:val="344"/>
        </w:trPr>
        <w:tc>
          <w:tcPr>
            <w:tcW w:w="49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492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Address of principal executive offices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3"/>
              </w:rPr>
              <w:t>Zip Code</w:t>
            </w:r>
          </w:p>
        </w:tc>
      </w:tr>
      <w:tr>
        <w:trPr>
          <w:trHeight w:val="283"/>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9"/>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338"/>
        </w:trPr>
        <w:tc>
          <w:tcPr>
            <w:tcW w:w="4920" w:type="dxa"/>
            <w:vAlign w:val="bottom"/>
            <w:gridSpan w:val="3"/>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19"/>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92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6"/>
          </w:tcPr>
          <w:p>
            <w:pPr>
              <w:jc w:val="center"/>
              <w:ind w:right="10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gridSpan w:val="4"/>
            <w:shd w:val="clear" w:color="auto" w:fill="CCEEFF"/>
          </w:tcPr>
          <w:p>
            <w:pPr>
              <w:jc w:val="center"/>
              <w:ind w:right="1120"/>
              <w:spacing w:after="0"/>
              <w:rPr>
                <w:sz w:val="20"/>
                <w:szCs w:val="20"/>
                <w:color w:val="auto"/>
              </w:rPr>
            </w:pPr>
            <w:r>
              <w:rPr>
                <w:rFonts w:ascii="Arial" w:cs="Arial" w:eastAsia="Arial" w:hAnsi="Arial"/>
                <w:sz w:val="18"/>
                <w:szCs w:val="18"/>
                <w:color w:val="auto"/>
                <w:w w:val="95"/>
              </w:rPr>
              <w:t>CREX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920" w:type="dxa"/>
            <w:vAlign w:val="bottom"/>
            <w:gridSpan w:val="3"/>
          </w:tcPr>
          <w:p>
            <w:pPr>
              <w:jc w:val="center"/>
              <w:ind w:right="1080"/>
              <w:spacing w:after="0"/>
              <w:rPr>
                <w:sz w:val="20"/>
                <w:szCs w:val="20"/>
                <w:color w:val="auto"/>
              </w:rPr>
            </w:pPr>
            <w:r>
              <w:rPr>
                <w:rFonts w:ascii="Arial" w:cs="Arial" w:eastAsia="Arial" w:hAnsi="Arial"/>
                <w:sz w:val="18"/>
                <w:szCs w:val="18"/>
                <w:color w:val="auto"/>
                <w:w w:val="89"/>
              </w:rPr>
              <w:t>Warrants to purchase Common Stock</w:t>
            </w:r>
          </w:p>
        </w:tc>
        <w:tc>
          <w:tcPr>
            <w:tcW w:w="140" w:type="dxa"/>
            <w:vAlign w:val="bottom"/>
          </w:tcPr>
          <w:p>
            <w:pPr>
              <w:spacing w:after="0"/>
              <w:rPr>
                <w:sz w:val="20"/>
                <w:szCs w:val="20"/>
                <w:color w:val="auto"/>
              </w:rPr>
            </w:pPr>
          </w:p>
        </w:tc>
        <w:tc>
          <w:tcPr>
            <w:tcW w:w="2580" w:type="dxa"/>
            <w:vAlign w:val="bottom"/>
            <w:gridSpan w:val="5"/>
          </w:tcPr>
          <w:p>
            <w:pPr>
              <w:jc w:val="center"/>
              <w:ind w:right="1200"/>
              <w:spacing w:after="0"/>
              <w:rPr>
                <w:sz w:val="20"/>
                <w:szCs w:val="20"/>
                <w:color w:val="auto"/>
              </w:rPr>
            </w:pPr>
            <w:r>
              <w:rPr>
                <w:rFonts w:ascii="Arial" w:cs="Arial" w:eastAsia="Arial" w:hAnsi="Arial"/>
                <w:sz w:val="18"/>
                <w:szCs w:val="18"/>
                <w:color w:val="auto"/>
                <w:w w:val="98"/>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8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0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18" w:right="339" w:bottom="1440" w:gutter="0" w:footer="0" w:header="0"/>
        </w:sectPr>
      </w:pPr>
    </w:p>
    <w:p>
      <w:pPr>
        <w:spacing w:after="0" w:line="5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6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5100" w:space="720"/>
            <w:col w:w="5420"/>
          </w:cols>
          <w:pgMar w:left="320" w:top="418" w:right="339" w:bottom="1440" w:gutter="0" w:footer="0" w:header="0"/>
          <w:type w:val="continuous"/>
        </w:sect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was $25,772,393 as of the last business day of the registrant’s most recently completed second fiscal quarter.</w:t>
      </w:r>
    </w:p>
    <w:p>
      <w:pPr>
        <w:spacing w:after="0" w:line="7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March 22, 2022, the registrant had 17,124,986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00" w:type="dxa"/>
            <w:vAlign w:val="bottom"/>
            <w:gridSpan w:val="14"/>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0160" w:type="dxa"/>
            <w:vAlign w:val="bottom"/>
            <w:gridSpan w:val="3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 RISK FACTOR SUMMARY</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rPr>
              <w:t>ii</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1A</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3</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5</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w:t>
              </w:r>
            </w:hyperlink>
          </w:p>
        </w:tc>
        <w:tc>
          <w:tcPr>
            <w:tcW w:w="1080" w:type="dxa"/>
            <w:vAlign w:val="bottom"/>
            <w:shd w:val="clear" w:color="auto" w:fill="CCEEFF"/>
          </w:tcPr>
          <w:p>
            <w:pPr>
              <w:spacing w:after="0"/>
              <w:rPr>
                <w:sz w:val="15"/>
                <w:szCs w:val="15"/>
                <w:color w:val="auto"/>
              </w:rPr>
            </w:pPr>
          </w:p>
        </w:tc>
      </w:tr>
      <w:tr>
        <w:trPr>
          <w:trHeight w:val="217"/>
        </w:trPr>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310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PURCHASES OF EQUITY SECURITIES</w:t>
              </w:r>
            </w:hyperlink>
          </w:p>
        </w:tc>
        <w:tc>
          <w:tcPr>
            <w:tcW w:w="500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89"/>
              </w:rPr>
              <w:t>24</w:t>
            </w:r>
          </w:p>
        </w:tc>
      </w:tr>
      <w:tr>
        <w:trPr>
          <w:trHeight w:val="176"/>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6</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[RESERVED]</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7</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w:t>
              </w:r>
            </w:hyperlink>
          </w:p>
        </w:tc>
        <w:tc>
          <w:tcPr>
            <w:tcW w:w="10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60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OPERATIONS</w:t>
              </w:r>
            </w:hyperlink>
          </w:p>
        </w:tc>
        <w:tc>
          <w:tcPr>
            <w:tcW w:w="920" w:type="dxa"/>
            <w:vAlign w:val="bottom"/>
            <w:tcBorders>
              <w:top w:val="single" w:sz="8" w:color="CCEEFF"/>
            </w:tcBorders>
            <w:gridSpan w:val="4"/>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89"/>
              </w:rPr>
              <w:t>25</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7A</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8</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9</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w:t>
              </w:r>
            </w:hyperlink>
          </w:p>
        </w:tc>
        <w:tc>
          <w:tcPr>
            <w:tcW w:w="1080" w:type="dxa"/>
            <w:vAlign w:val="bottom"/>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tcBorders>
              <w:top w:val="single" w:sz="8" w:color="0000EE"/>
            </w:tcBorders>
            <w:gridSpan w:val="22"/>
          </w:tcPr>
          <w:p>
            <w:pPr>
              <w:ind w:left="16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DISCLOSURE</w:t>
              </w:r>
            </w:hyperlink>
          </w:p>
        </w:tc>
        <w:tc>
          <w:tcPr>
            <w:tcW w:w="740" w:type="dxa"/>
            <w:vAlign w:val="bottom"/>
            <w:gridSpan w:val="3"/>
          </w:tcPr>
          <w:p>
            <w:pPr>
              <w:spacing w:after="0"/>
              <w:rPr>
                <w:sz w:val="17"/>
                <w:szCs w:val="17"/>
                <w:color w:val="auto"/>
              </w:rPr>
            </w:pPr>
          </w:p>
        </w:tc>
        <w:tc>
          <w:tcPr>
            <w:tcW w:w="1080" w:type="dxa"/>
            <w:vAlign w:val="bottom"/>
          </w:tcPr>
          <w:p>
            <w:pPr>
              <w:jc w:val="center"/>
              <w:ind w:left="10"/>
              <w:spacing w:after="0" w:line="196" w:lineRule="exact"/>
              <w:rPr>
                <w:sz w:val="20"/>
                <w:szCs w:val="20"/>
                <w:color w:val="auto"/>
              </w:rPr>
            </w:pPr>
            <w:r>
              <w:rPr>
                <w:rFonts w:ascii="Arial" w:cs="Arial" w:eastAsia="Arial" w:hAnsi="Arial"/>
                <w:sz w:val="18"/>
                <w:szCs w:val="18"/>
                <w:color w:val="auto"/>
                <w:w w:val="89"/>
              </w:rPr>
              <w:t>39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9A</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9B</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9C</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DISCLOSURE REGARDING FOREIGN JURISDICTIONS THAT PREVENT INSPECTIONS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PART III</w:t>
              </w:r>
            </w:hyperlink>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10</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DIRECTORS, EXECUTIVE OFFICERS AND CORPORATE GOVERNANCE</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11</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12</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w:t>
              </w:r>
            </w:hyperlink>
          </w:p>
        </w:tc>
        <w:tc>
          <w:tcPr>
            <w:tcW w:w="10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4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STOCKHOLDER MATTERS</w:t>
              </w:r>
            </w:hyperlink>
          </w:p>
        </w:tc>
        <w:tc>
          <w:tcPr>
            <w:tcW w:w="680" w:type="dxa"/>
            <w:vAlign w:val="bottom"/>
            <w:tcBorders>
              <w:top w:val="single" w:sz="8" w:color="CCEEFF"/>
            </w:tcBorders>
            <w:gridSpan w:val="2"/>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89"/>
              </w:rPr>
              <w:t>48</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40" w:type="dxa"/>
            <w:vAlign w:val="bottom"/>
            <w:gridSpan w:val="6"/>
          </w:tcPr>
          <w:p>
            <w:pPr>
              <w:ind w:left="180"/>
              <w:spacing w:after="0" w:line="176" w:lineRule="exact"/>
              <w:rPr>
                <w:sz w:val="20"/>
                <w:szCs w:val="20"/>
                <w:color w:val="auto"/>
              </w:rPr>
            </w:pPr>
            <w:r>
              <w:rPr>
                <w:rFonts w:ascii="Arial" w:cs="Arial" w:eastAsia="Arial" w:hAnsi="Arial"/>
                <w:sz w:val="18"/>
                <w:szCs w:val="18"/>
                <w:color w:val="auto"/>
              </w:rPr>
              <w:t>ITEM 13</w:t>
            </w:r>
          </w:p>
        </w:tc>
        <w:tc>
          <w:tcPr>
            <w:tcW w:w="8820" w:type="dxa"/>
            <w:vAlign w:val="bottom"/>
            <w:gridSpan w:val="26"/>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10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50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14</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51</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PART IV</w:t>
              </w:r>
            </w:hyperlink>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15</w:t>
            </w:r>
          </w:p>
        </w:tc>
        <w:tc>
          <w:tcPr>
            <w:tcW w:w="8820" w:type="dxa"/>
            <w:vAlign w:val="bottom"/>
            <w:gridSpan w:val="26"/>
            <w:shd w:val="clear" w:color="auto" w:fill="CCEEFF"/>
          </w:tcPr>
          <w:p>
            <w:pPr>
              <w:ind w:left="14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52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340" w:type="dxa"/>
            <w:vAlign w:val="bottom"/>
            <w:gridSpan w:val="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53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3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INDEX TO CONSOLIDATED FINANCIAL STATEMENTS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EXHIBIT INDEX</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E-1</w:t>
            </w:r>
          </w:p>
        </w:tc>
      </w:tr>
      <w:tr>
        <w:trPr>
          <w:trHeight w:val="20"/>
        </w:trPr>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information in this Report contains various forward-looking statements within the meaning of Section 21E of the Exchange Act of 1934, as amended. Although we believe that, in making any such statements, our expectations are based on reasonable assumptions, any such statements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are intended to identify such forward-looking statements.</w:t>
      </w:r>
    </w:p>
    <w:p>
      <w:pPr>
        <w:spacing w:after="0" w:line="176"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We caution you that these forward-looking statements are subject to numerous risks and uncertainties, most of which are difficult to predict and many of which are beyond our control. Should one or more of the risks or uncertainties described in this Report occur, or should underlying assumptions prove incorrect, our actual results and plans could differ materially from those expressed in any forward-looking statements.</w:t>
      </w:r>
    </w:p>
    <w:p>
      <w:pPr>
        <w:spacing w:after="0" w:line="14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All forward-looking statements, expressed or implied, included in this Report are expressly qualified in their entirety by this cautionary note. This cautionary note should also be considered in connection with any subsequent written or oral forward-looking statements that we or persons acting on our behalf may issue. Except as otherwise required by applicable law, we disclaim any duty to update any forward-looking statements, all of which are expressly qualified by the statements in this section, to reflect events or circumstances after the date of this Report.</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summary of the principal risk factors that make investing in our securities risky and might cause our actual results to differ is set forth below. The following is only a summary of the principal risks that may materially adversely affect our business, financial condition, results of operations and cash flows. This summary should be read in conjunction with the more complete discussion of the risk factors we face, which are set forth in the section entitled “Risk Factors”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our Industry</w:t>
      </w:r>
    </w:p>
    <w:p>
      <w:pPr>
        <w:spacing w:after="0" w:line="225" w:lineRule="exact"/>
        <w:rPr>
          <w:sz w:val="20"/>
          <w:szCs w:val="20"/>
          <w:color w:val="auto"/>
        </w:rPr>
      </w:pPr>
    </w:p>
    <w:p>
      <w:pPr>
        <w:ind w:left="980" w:right="2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COVID-19 pandemic has previously had, and may in the future have, a significant adverse impact on our advertising revenue and also exposes our business to other risks.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generally incurred losses, and may never become or remain profitable.</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digital marketing business is evolving in a rapidly changing market, and we cannot ensure the long-term successful operation of our business or the execution of our business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Adequate funds for our operations may not be available, requiring us to raise additional financing or else curtail our activities significantly.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do not have sufficient capital to engage in material research and development, which may harm our long-term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reliant on the continued support of a related party for adequate financing of our operations.</w:t>
      </w:r>
    </w:p>
    <w:p>
      <w:pPr>
        <w:spacing w:after="0" w:line="225" w:lineRule="exact"/>
        <w:rPr>
          <w:rFonts w:ascii="Arial" w:cs="Arial" w:eastAsia="Arial" w:hAnsi="Arial"/>
          <w:sz w:val="18"/>
          <w:szCs w:val="18"/>
          <w:color w:val="auto"/>
        </w:rPr>
      </w:pPr>
    </w:p>
    <w:p>
      <w:pPr>
        <w:ind w:left="980" w:right="36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There has been, and we expect that there will continue to be, significant consolidation in our industry. Our failure or inability to lead that consolidation would have a severe adverse impact on our access to financing, customers, technology, and human resources.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success depends on our interactive marketing technologies achieving and maintaining widespread acceptance in our targeted markets.</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condition and potential for continued net losses may negatively impact our relationships with customers, prospective customers and third-party suppliers.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do not have long-term purchase commitments from our customers, the failure to obtain anticipated orders or the deferral or cancellation of commitments could have adverse effects on our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growth and financial performance could be adversely affected by the loss of several key customers.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of our contracts are terminable by our customers with limited notice and without penalty payments, and early terminations could have a material adverse effect on our business, operating results and financial condition.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 w:name="page4"/>
    <w:bookmarkEnd w:id="3"/>
    <w:p>
      <w:pPr>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common for our current and prospective customers to take a long time to evaluate our products, most especially during economic downturns that affect our customers’ businesses, including as a result of the COVID-19 pandemic. The lengthy and variable sales cycle makes it difficult to predict our operating results.</w:t>
      </w:r>
    </w:p>
    <w:p>
      <w:pPr>
        <w:spacing w:after="0" w:line="183"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70" w:lineRule="exact"/>
        <w:rPr>
          <w:rFonts w:ascii="Arial" w:cs="Arial" w:eastAsia="Arial" w:hAnsi="Arial"/>
          <w:sz w:val="18"/>
          <w:szCs w:val="18"/>
          <w:color w:val="auto"/>
        </w:rPr>
      </w:pPr>
    </w:p>
    <w:p>
      <w:pPr>
        <w:ind w:left="980" w:right="4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portion of our business involves the use of software technology that we have developed or licensed. Industries involving the ownership and licensing of software-based intellectual property are characterized by frequent intellectual-property litigation, and we could face claims of infringement by others in the industry. Such claims are costly and add uncertainty to our operational results.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may be adversely affected by malicious applications that interfere with, or exploit security flaws in, our products and services.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compete with other companies that have more resources, which puts us at a competitive disadvantage.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success depends on key personnel and our ability to attract and retain additional personnel.</w:t>
      </w:r>
    </w:p>
    <w:p>
      <w:pPr>
        <w:spacing w:after="0" w:line="225" w:lineRule="exact"/>
        <w:rPr>
          <w:rFonts w:ascii="Arial" w:cs="Arial" w:eastAsia="Arial" w:hAnsi="Arial"/>
          <w:sz w:val="18"/>
          <w:szCs w:val="18"/>
          <w:color w:val="auto"/>
        </w:rPr>
      </w:pPr>
    </w:p>
    <w:p>
      <w:pPr>
        <w:ind w:left="980" w:right="46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cyber security risks and interruptions or failures in our information technology systems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our technology, products, platform, and services are complex and are deployed in and across complex environments, they may have errors or defects that could seriously harm our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have insufficient network or server capacity, which could result in interruptions in our services and loss of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are susceptible to interruptions caused by events beyond our control.</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operate are rapidly emerging, and we may be unable to compete successfully against existing or future competitors to our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Safe Space Solutions products may no longer be marketable.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Acquisition of Reflect Systems, Inc. (“Reflect”)</w:t>
      </w:r>
    </w:p>
    <w:p>
      <w:pPr>
        <w:spacing w:after="0" w:line="225" w:lineRule="exact"/>
        <w:rPr>
          <w:sz w:val="20"/>
          <w:szCs w:val="20"/>
          <w:color w:val="auto"/>
        </w:rPr>
      </w:pPr>
    </w:p>
    <w:p>
      <w:pPr>
        <w:ind w:left="980" w:right="3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certain key management personnel at Reflect could impair our ability to execute our business strategy and as a result, reduce our sales and profitability.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successfully integrate Reflect with our business, which could cause our business to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growth opportunities that are anticipated from our acquisition of Reflect.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Reflect may fail to achieve beneficial synergies.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assumption of unknown liabilities in the Reflect acquisition may harm our financial condition and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and will continue to incur significant transaction and integration costs in connection with the acquisition of Reflect.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Risks Related to our Securities and our Company</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variable sales cycle of some of the combined company’s products will likely make it difficult to predict operating results.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largest shareholder possesses controlling voting power with respect to our common stock, which will limit your influence on corporate matters.</w:t>
      </w:r>
    </w:p>
    <w:p>
      <w:pPr>
        <w:spacing w:after="0" w:line="170"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Articles of Incorporation grant our Board of Directors the power to issue additional shares of common and preferred stock and to designate other classes of preferred stock, all without shareholder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dividends on our common stock for the foreseeable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significant tangible assets that could be sold upon liquidation.</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 provide no assurance that our securities will continue to meet Nasdaq listing requirements. If we fail to comply with the continuing listing standards of the Nasdaq, our securities could be delisted.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Unpredictability in financing markets could impair our ability to grow our business through acquisitions.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of our limited resources, we may not have in place various processes and protections common to more mature companies and may be more susceptible to adverse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global market and economic conditions may have an adverse impact on our operating performance and results of operations.</w:t>
      </w:r>
    </w:p>
    <w:p>
      <w:pPr>
        <w:spacing w:after="0" w:line="236" w:lineRule="exact"/>
        <w:rPr>
          <w:rFonts w:ascii="Arial" w:cs="Arial" w:eastAsia="Arial" w:hAnsi="Arial"/>
          <w:sz w:val="17"/>
          <w:szCs w:val="17"/>
          <w:color w:val="auto"/>
        </w:rPr>
      </w:pPr>
    </w:p>
    <w:p>
      <w:pPr>
        <w:ind w:left="980" w:right="3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issuances of our common stock, or the perception that significant issuances may occur in the future, could adversely affect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may not be an active market for shares of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currency is rounded to the nearest thousand,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Creative Realities, Inc. (“Creative Realities”, or the “Company”) provides digital solutions to enhance communications in a wide-ranging variety of out-of-home environments by providing innovative digital signage solutions for key market segments and use cases, including:</w:t>
      </w:r>
    </w:p>
    <w:p>
      <w:pPr>
        <w:spacing w:after="0" w:line="14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Retail</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Entertainment and Sports Venues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Restaurants, including quick-serve restaurants (“QSR”)</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Convenience Stores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Financial Services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Automotive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Medical and Healthcare Facilities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Mixed Use Developments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Corporate Communications, Employee Experience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18"/>
          <w:szCs w:val="18"/>
          <w:color w:val="auto"/>
        </w:rPr>
        <w:t>Digital out of Home (DOOH) Advertising Networks</w:t>
      </w:r>
    </w:p>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clients achieve a wide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Increased brand awareness/engagement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Improved customer support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Enhanced employee productivity and satisfaction</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Increased revenue and profitability</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Improved guest experience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Increased customer/guest engagement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18"/>
          <w:szCs w:val="18"/>
          <w:color w:val="auto"/>
        </w:rPr>
        <w:t>Improved patient outcomes</w:t>
      </w:r>
    </w:p>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Through a combination of organically grown platforms and a series of strategic acquisitions, including our recent acquisition of Reflect Systems, Inc. in February 2022, the Company assists clients to design, deploy, manage, and monetize their digital signage networks. The Company sources leads and opportunities for its solutions through its digital and content marketing initiatives, close relationships with key industry partners,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t>When comparing Creative Realities to other digital signage competitors, our customers value the following competitive advantages:</w:t>
      </w:r>
    </w:p>
    <w:p>
      <w:pPr>
        <w:spacing w:after="0" w:line="221" w:lineRule="exact"/>
        <w:rPr>
          <w:sz w:val="20"/>
          <w:szCs w:val="20"/>
          <w:color w:val="auto"/>
        </w:rPr>
      </w:pPr>
    </w:p>
    <w:p>
      <w:pPr>
        <w:ind w:left="324" w:right="40"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offers true solutions to our clients. Creative Realities is one of only a few companies in the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capable of providing the full portfolio of products and services required to implement and run an effective digital signage network. We leverage a ‘single vendor’ approach, providing clients with a one-stop-shop for sourcing digital signage solutions from design through day two services.</w:t>
      </w:r>
    </w:p>
    <w:p>
      <w:pPr>
        <w:spacing w:after="0" w:line="179" w:lineRule="exact"/>
        <w:rPr>
          <w:rFonts w:ascii="Arial" w:cs="Arial" w:eastAsia="Arial" w:hAnsi="Arial"/>
          <w:sz w:val="18"/>
          <w:szCs w:val="18"/>
          <w:color w:val="auto"/>
        </w:rPr>
      </w:pPr>
    </w:p>
    <w:p>
      <w:pPr>
        <w:ind w:left="324" w:right="40" w:hanging="324"/>
        <w:spacing w:after="0" w:line="266"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 field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ind w:left="324" w:right="280" w:hanging="324"/>
        <w:spacing w:after="0" w:line="266"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creating new content or repurposing existing content for digital signage experiences, an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which the Company has won several design awards in recent years. In each instance, our services can be essential in helping clients develop an effective content program.</w:t>
      </w:r>
    </w:p>
    <w:p>
      <w:pPr>
        <w:spacing w:after="0" w:line="175" w:lineRule="exact"/>
        <w:rPr>
          <w:rFonts w:ascii="Arial" w:cs="Arial" w:eastAsia="Arial" w:hAnsi="Arial"/>
          <w:sz w:val="18"/>
          <w:szCs w:val="18"/>
          <w:color w:val="auto"/>
        </w:rPr>
      </w:pPr>
    </w:p>
    <w:p>
      <w:pPr>
        <w:ind w:left="324" w:right="80"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ind w:left="324" w:right="240"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9" w:lineRule="exact"/>
        <w:rPr>
          <w:rFonts w:ascii="Arial" w:cs="Arial" w:eastAsia="Arial" w:hAnsi="Arial"/>
          <w:sz w:val="18"/>
          <w:szCs w:val="18"/>
          <w:color w:val="auto"/>
        </w:rPr>
      </w:pPr>
    </w:p>
    <w:p>
      <w:pPr>
        <w:ind w:left="324" w:right="160" w:hanging="324"/>
        <w:spacing w:after="0" w:line="314"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Media sales </w:t>
      </w:r>
      <w:r>
        <w:rPr>
          <w:rFonts w:ascii="Arial" w:cs="Arial" w:eastAsia="Arial" w:hAnsi="Arial"/>
          <w:sz w:val="16"/>
          <w:szCs w:val="16"/>
          <w:color w:val="auto"/>
        </w:rPr>
        <w:t>– Few, if any other digital signage solution providers, can offer their clients media sales as a service. We have in-house media</w:t>
      </w:r>
      <w:r>
        <w:rPr>
          <w:rFonts w:ascii="Arial" w:cs="Arial" w:eastAsia="Arial" w:hAnsi="Arial"/>
          <w:sz w:val="16"/>
          <w:szCs w:val="16"/>
          <w:b w:val="1"/>
          <w:bCs w:val="1"/>
          <w:color w:val="auto"/>
        </w:rPr>
        <w:t xml:space="preserve"> </w:t>
      </w:r>
      <w:r>
        <w:rPr>
          <w:rFonts w:ascii="Arial" w:cs="Arial" w:eastAsia="Arial" w:hAnsi="Arial"/>
          <w:sz w:val="16"/>
          <w:szCs w:val="16"/>
          <w:color w:val="auto"/>
        </w:rPr>
        <w:t>sales expertise to elevate conversations with our clients interested in better understanding network monetization. We believe this meaningful differentiation in the sales process provides an additional revenue stream to Creative Realities compared to our competitors.</w:t>
      </w:r>
    </w:p>
    <w:p>
      <w:pPr>
        <w:spacing w:after="0" w:line="141" w:lineRule="exact"/>
        <w:rPr>
          <w:rFonts w:ascii="Arial" w:cs="Arial" w:eastAsia="Arial" w:hAnsi="Arial"/>
          <w:sz w:val="16"/>
          <w:szCs w:val="16"/>
          <w:color w:val="auto"/>
        </w:rPr>
      </w:pPr>
    </w:p>
    <w:p>
      <w:pPr>
        <w:ind w:left="324" w:right="80" w:hanging="324"/>
        <w:spacing w:after="0" w:line="303"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Market sector expertise </w:t>
      </w:r>
      <w:r>
        <w:rPr>
          <w:rFonts w:ascii="Arial" w:cs="Arial" w:eastAsia="Arial" w:hAnsi="Arial"/>
          <w:sz w:val="16"/>
          <w:szCs w:val="16"/>
          <w:color w:val="auto"/>
        </w:rPr>
        <w:t>– Creative Realities has in-house experts in key market segments such as automotive, retail, quick-serve restaurants</w:t>
      </w:r>
      <w:r>
        <w:rPr>
          <w:rFonts w:ascii="Arial" w:cs="Arial" w:eastAsia="Arial" w:hAnsi="Arial"/>
          <w:sz w:val="16"/>
          <w:szCs w:val="16"/>
          <w:b w:val="1"/>
          <w:bCs w:val="1"/>
          <w:color w:val="auto"/>
        </w:rPr>
        <w:t xml:space="preserve"> </w:t>
      </w:r>
      <w:r>
        <w:rPr>
          <w:rFonts w:ascii="Arial" w:cs="Arial" w:eastAsia="Arial" w:hAnsi="Arial"/>
          <w:sz w:val="16"/>
          <w:szCs w:val="16"/>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50" w:lineRule="exact"/>
        <w:rPr>
          <w:rFonts w:ascii="Arial" w:cs="Arial" w:eastAsia="Arial" w:hAnsi="Arial"/>
          <w:sz w:val="16"/>
          <w:szCs w:val="16"/>
          <w:color w:val="auto"/>
        </w:rPr>
      </w:pPr>
    </w:p>
    <w:p>
      <w:pPr>
        <w:ind w:left="324" w:right="160" w:hanging="324"/>
        <w:spacing w:after="0" w:line="347"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Logistics </w:t>
      </w:r>
      <w:r>
        <w:rPr>
          <w:rFonts w:ascii="Arial" w:cs="Arial" w:eastAsia="Arial" w:hAnsi="Arial"/>
          <w:sz w:val="16"/>
          <w:szCs w:val="16"/>
          <w:color w:val="auto"/>
        </w:rPr>
        <w:t>– Implementing a large digital signage project can be a logistics nightmare that can stall an initiative even before deployment. Our</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in logistics improves deployment efficiency, reduces delays and problems, and saves customers time and money.</w:t>
      </w:r>
    </w:p>
    <w:p>
      <w:pPr>
        <w:spacing w:after="0" w:line="115" w:lineRule="exact"/>
        <w:rPr>
          <w:rFonts w:ascii="Arial" w:cs="Arial" w:eastAsia="Arial" w:hAnsi="Arial"/>
          <w:sz w:val="16"/>
          <w:szCs w:val="16"/>
          <w:color w:val="auto"/>
        </w:rPr>
      </w:pPr>
    </w:p>
    <w:p>
      <w:pPr>
        <w:ind w:left="324" w:right="100"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end user 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p>
      <w:pPr>
        <w:spacing w:after="0" w:line="179" w:lineRule="exact"/>
        <w:rPr>
          <w:rFonts w:ascii="Arial" w:cs="Arial" w:eastAsia="Arial" w:hAnsi="Arial"/>
          <w:sz w:val="18"/>
          <w:szCs w:val="18"/>
          <w:color w:val="auto"/>
        </w:rPr>
      </w:pPr>
    </w:p>
    <w:p>
      <w:pPr>
        <w:ind w:left="324"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integrations with other data sources will dominate the future. From social media feeds, mobile integrations, corporate data stores, or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ind w:left="324" w:right="160" w:hanging="324"/>
        <w:spacing w:after="0" w:line="261"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400"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8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9"/>
          <w:szCs w:val="19"/>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13" w:lineRule="exact"/>
        <w:rPr>
          <w:rFonts w:ascii="Arial" w:cs="Arial" w:eastAsia="Arial" w:hAnsi="Arial"/>
          <w:sz w:val="19"/>
          <w:szCs w:val="19"/>
          <w:color w:val="auto"/>
        </w:rPr>
      </w:pPr>
    </w:p>
    <w:p>
      <w:pPr>
        <w:ind w:left="980" w:right="2300" w:hanging="324"/>
        <w:spacing w:after="0" w:line="457"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18"/>
          <w:szCs w:val="18"/>
          <w:color w:val="auto"/>
        </w:rPr>
        <w:t xml:space="preserve">Services revenue from helping customers design, deploy and manage their digital signage network, including: </w:t>
      </w:r>
      <w:r>
        <w:rPr>
          <w:rFonts w:ascii="Courier New" w:cs="Courier New" w:eastAsia="Courier New" w:hAnsi="Courier New"/>
          <w:sz w:val="18"/>
          <w:szCs w:val="18"/>
          <w:color w:val="auto"/>
        </w:rPr>
        <w:t xml:space="preserve">o </w:t>
      </w:r>
      <w:r>
        <w:rPr>
          <w:rFonts w:ascii="Arial" w:cs="Arial" w:eastAsia="Arial" w:hAnsi="Arial"/>
          <w:sz w:val="18"/>
          <w:szCs w:val="18"/>
          <w:color w:val="auto"/>
        </w:rPr>
        <w:t>Hardware system design/engineering</w:t>
      </w:r>
    </w:p>
    <w:p>
      <w:pPr>
        <w:spacing w:after="0" w:line="1" w:lineRule="exact"/>
        <w:rPr>
          <w:rFonts w:ascii="Arial" w:cs="Arial" w:eastAsia="Arial" w:hAnsi="Arial"/>
          <w:sz w:val="20"/>
          <w:szCs w:val="20"/>
          <w:color w:val="auto"/>
        </w:rPr>
      </w:pPr>
    </w:p>
    <w:p>
      <w:pPr>
        <w:jc w:val="both"/>
        <w:ind w:left="980" w:right="8320"/>
        <w:spacing w:after="0" w:line="492" w:lineRule="auto"/>
        <w:rPr>
          <w:rFonts w:ascii="Arial" w:cs="Arial" w:eastAsia="Arial" w:hAnsi="Arial"/>
          <w:sz w:val="20"/>
          <w:szCs w:val="20"/>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Hardware installation</w:t>
      </w:r>
      <w:r>
        <w:rPr>
          <w:rFonts w:ascii="Courier New" w:cs="Courier New" w:eastAsia="Courier New" w:hAnsi="Courier New"/>
          <w:sz w:val="17"/>
          <w:szCs w:val="17"/>
          <w:color w:val="auto"/>
        </w:rPr>
        <w:t xml:space="preserve"> o </w:t>
      </w:r>
      <w:r>
        <w:rPr>
          <w:rFonts w:ascii="Arial" w:cs="Arial" w:eastAsia="Arial" w:hAnsi="Arial"/>
          <w:sz w:val="17"/>
          <w:szCs w:val="17"/>
          <w:color w:val="auto"/>
        </w:rPr>
        <w:t>Content development</w:t>
      </w:r>
      <w:r>
        <w:rPr>
          <w:rFonts w:ascii="Courier New" w:cs="Courier New" w:eastAsia="Courier New" w:hAnsi="Courier New"/>
          <w:sz w:val="17"/>
          <w:szCs w:val="17"/>
          <w:color w:val="auto"/>
        </w:rPr>
        <w:t xml:space="preserve"> o </w:t>
      </w:r>
      <w:r>
        <w:rPr>
          <w:rFonts w:ascii="Arial" w:cs="Arial" w:eastAsia="Arial" w:hAnsi="Arial"/>
          <w:sz w:val="17"/>
          <w:szCs w:val="17"/>
          <w:color w:val="auto"/>
        </w:rPr>
        <w:t>Content scheduling</w:t>
      </w:r>
    </w:p>
    <w:p>
      <w:pPr>
        <w:spacing w:after="0" w:line="1"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Post-deployment network and field support</w:t>
      </w:r>
    </w:p>
    <w:p>
      <w:pPr>
        <w:spacing w:after="0" w:line="209"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Media sales, as a result of our acquisition of Reflect</w:t>
      </w:r>
    </w:p>
    <w:p>
      <w:pPr>
        <w:spacing w:after="0" w:line="209" w:lineRule="exact"/>
        <w:rPr>
          <w:rFonts w:ascii="Arial" w:cs="Arial" w:eastAsia="Arial" w:hAnsi="Arial"/>
          <w:sz w:val="20"/>
          <w:szCs w:val="20"/>
          <w:color w:val="auto"/>
        </w:rPr>
      </w:pPr>
    </w:p>
    <w:p>
      <w:pPr>
        <w:ind w:left="980" w:hanging="324"/>
        <w:spacing w:after="0" w:line="250"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88"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33" w:lineRule="exact"/>
        <w:rPr>
          <w:rFonts w:ascii="Arial" w:cs="Arial" w:eastAsia="Arial" w:hAnsi="Arial"/>
          <w:sz w:val="20"/>
          <w:szCs w:val="20"/>
          <w:color w:val="auto"/>
        </w:rPr>
      </w:pPr>
    </w:p>
    <w:p>
      <w:pPr>
        <w:ind w:left="1300" w:right="20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w:t>
      </w:r>
      <w:r>
        <w:rPr>
          <w:rFonts w:ascii="Courier New" w:cs="Courier New" w:eastAsia="Courier New" w:hAnsi="Courier New"/>
          <w:sz w:val="18"/>
          <w:szCs w:val="18"/>
          <w:color w:val="auto"/>
        </w:rPr>
        <w:t xml:space="preserve"> </w:t>
      </w:r>
      <w:r>
        <w:rPr>
          <w:rFonts w:ascii="Arial" w:cs="Arial" w:eastAsia="Arial" w:hAnsi="Arial"/>
          <w:sz w:val="18"/>
          <w:szCs w:val="18"/>
          <w:color w:val="auto"/>
        </w:rPr>
        <w:t>devices, while still maintaining centralized programming control</w:t>
      </w:r>
    </w:p>
    <w:p>
      <w:pPr>
        <w:spacing w:after="0" w:line="194" w:lineRule="exact"/>
        <w:rPr>
          <w:rFonts w:ascii="Arial" w:cs="Arial" w:eastAsia="Arial" w:hAnsi="Arial"/>
          <w:sz w:val="20"/>
          <w:szCs w:val="20"/>
          <w:color w:val="auto"/>
        </w:rPr>
      </w:pPr>
    </w:p>
    <w:p>
      <w:pPr>
        <w:ind w:left="1300" w:right="40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w:t>
      </w:r>
      <w:r>
        <w:rPr>
          <w:rFonts w:ascii="Courier New" w:cs="Courier New" w:eastAsia="Courier New" w:hAnsi="Courier New"/>
          <w:sz w:val="18"/>
          <w:szCs w:val="18"/>
          <w:color w:val="auto"/>
        </w:rPr>
        <w:t xml:space="preserve"> </w:t>
      </w:r>
      <w:r>
        <w:rPr>
          <w:rFonts w:ascii="Arial" w:cs="Arial" w:eastAsia="Arial" w:hAnsi="Arial"/>
          <w:sz w:val="18"/>
          <w:szCs w:val="18"/>
          <w:color w:val="auto"/>
        </w:rPr>
        <w:t>million ads daily</w:t>
      </w:r>
    </w:p>
    <w:p>
      <w:pPr>
        <w:spacing w:after="0" w:line="194" w:lineRule="exact"/>
        <w:rPr>
          <w:rFonts w:ascii="Arial" w:cs="Arial" w:eastAsia="Arial" w:hAnsi="Arial"/>
          <w:sz w:val="20"/>
          <w:szCs w:val="20"/>
          <w:color w:val="auto"/>
        </w:rPr>
      </w:pPr>
    </w:p>
    <w:p>
      <w:pPr>
        <w:ind w:left="1300" w:right="6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w:t>
      </w:r>
      <w:r>
        <w:rPr>
          <w:rFonts w:ascii="Courier New" w:cs="Courier New" w:eastAsia="Courier New" w:hAnsi="Courier New"/>
          <w:sz w:val="18"/>
          <w:szCs w:val="18"/>
          <w:color w:val="auto"/>
        </w:rPr>
        <w:t xml:space="preserve"> </w:t>
      </w:r>
      <w:r>
        <w:rPr>
          <w:rFonts w:ascii="Arial" w:cs="Arial" w:eastAsia="Arial" w:hAnsi="Arial"/>
          <w:sz w:val="18"/>
          <w:szCs w:val="18"/>
          <w:color w:val="auto"/>
        </w:rPr>
        <w:t>applications</w:t>
      </w:r>
    </w:p>
    <w:p>
      <w:pPr>
        <w:spacing w:after="0" w:line="194" w:lineRule="exact"/>
        <w:rPr>
          <w:rFonts w:ascii="Arial" w:cs="Arial" w:eastAsia="Arial" w:hAnsi="Arial"/>
          <w:sz w:val="20"/>
          <w:szCs w:val="20"/>
          <w:color w:val="auto"/>
        </w:rPr>
      </w:pPr>
    </w:p>
    <w:p>
      <w:pPr>
        <w:ind w:left="1300" w:right="14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w:t>
      </w:r>
      <w:r>
        <w:rPr>
          <w:rFonts w:ascii="Courier New" w:cs="Courier New" w:eastAsia="Courier New" w:hAnsi="Courier New"/>
          <w:sz w:val="18"/>
          <w:szCs w:val="18"/>
          <w:color w:val="auto"/>
        </w:rPr>
        <w:t xml:space="preserve"> </w:t>
      </w:r>
      <w:r>
        <w:rPr>
          <w:rFonts w:ascii="Arial" w:cs="Arial" w:eastAsia="Arial" w:hAnsi="Arial"/>
          <w:sz w:val="18"/>
          <w:szCs w:val="18"/>
          <w:color w:val="auto"/>
        </w:rPr>
        <w:t>mobile device</w:t>
      </w:r>
    </w:p>
    <w:p>
      <w:pPr>
        <w:spacing w:after="0" w:line="194" w:lineRule="exact"/>
        <w:rPr>
          <w:rFonts w:ascii="Arial" w:cs="Arial" w:eastAsia="Arial" w:hAnsi="Arial"/>
          <w:sz w:val="20"/>
          <w:szCs w:val="20"/>
          <w:color w:val="auto"/>
        </w:rPr>
      </w:pPr>
    </w:p>
    <w:p>
      <w:pPr>
        <w:ind w:left="1300" w:right="38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w:t>
      </w:r>
      <w:r>
        <w:rPr>
          <w:rFonts w:ascii="Courier New" w:cs="Courier New" w:eastAsia="Courier New" w:hAnsi="Courier New"/>
          <w:sz w:val="18"/>
          <w:szCs w:val="18"/>
          <w:color w:val="auto"/>
        </w:rPr>
        <w:t xml:space="preserve"> </w:t>
      </w:r>
      <w:r>
        <w:rPr>
          <w:rFonts w:ascii="Arial" w:cs="Arial" w:eastAsia="Arial" w:hAnsi="Arial"/>
          <w:sz w:val="18"/>
          <w:szCs w:val="18"/>
          <w:color w:val="auto"/>
        </w:rPr>
        <w:t>sector, which integrates with dozens of key data services including dealer inventory at the VIN level</w:t>
      </w:r>
    </w:p>
    <w:p>
      <w:pPr>
        <w:spacing w:after="0" w:line="194" w:lineRule="exact"/>
        <w:rPr>
          <w:rFonts w:ascii="Arial" w:cs="Arial" w:eastAsia="Arial" w:hAnsi="Arial"/>
          <w:sz w:val="20"/>
          <w:szCs w:val="20"/>
          <w:color w:val="auto"/>
        </w:rPr>
      </w:pPr>
    </w:p>
    <w:p>
      <w:pPr>
        <w:ind w:left="1300" w:right="360" w:hanging="324"/>
        <w:spacing w:after="0" w:line="273" w:lineRule="auto"/>
        <w:rPr>
          <w:rFonts w:ascii="Arial" w:cs="Arial" w:eastAsia="Arial" w:hAnsi="Arial"/>
          <w:sz w:val="20"/>
          <w:szCs w:val="20"/>
          <w:color w:val="auto"/>
        </w:rPr>
      </w:pPr>
      <w:r>
        <w:rPr>
          <w:rFonts w:ascii="Courier New" w:cs="Courier New" w:eastAsia="Courier New" w:hAnsi="Courier New"/>
          <w:sz w:val="17"/>
          <w:szCs w:val="17"/>
          <w:color w:val="auto"/>
        </w:rPr>
        <w:t xml:space="preserve">o </w:t>
      </w:r>
      <w:r>
        <w:rPr>
          <w:rFonts w:ascii="Arial" w:cs="Arial" w:eastAsia="Arial" w:hAnsi="Arial"/>
          <w:sz w:val="17"/>
          <w:szCs w:val="17"/>
          <w:b w:val="1"/>
          <w:bCs w:val="1"/>
          <w:color w:val="auto"/>
        </w:rPr>
        <w:t>OSx+</w:t>
      </w:r>
      <w:r>
        <w:rPr>
          <w:rFonts w:ascii="Arial" w:cs="Arial" w:eastAsia="Arial" w:hAnsi="Arial"/>
          <w:sz w:val="17"/>
          <w:szCs w:val="17"/>
          <w:color w:val="auto"/>
        </w:rPr>
        <w:t>, a digital VIN-level checklist used to assist in the tracking and delivery of new vehicles in the transportation sector, providing</w:t>
      </w:r>
      <w:r>
        <w:rPr>
          <w:rFonts w:ascii="Courier New" w:cs="Courier New" w:eastAsia="Courier New" w:hAnsi="Courier New"/>
          <w:sz w:val="17"/>
          <w:szCs w:val="17"/>
          <w:color w:val="auto"/>
        </w:rPr>
        <w:t xml:space="preserve"> </w:t>
      </w:r>
      <w:r>
        <w:rPr>
          <w:rFonts w:ascii="Arial" w:cs="Arial" w:eastAsia="Arial" w:hAnsi="Arial"/>
          <w:sz w:val="17"/>
          <w:szCs w:val="17"/>
          <w:color w:val="auto"/>
        </w:rPr>
        <w:t>measurable lift in customer satisfaction scores and connected vehicle enrollments and subscription activations.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8" w:name="page9"/>
    <w:bookmarkEnd w:id="8"/>
    <w:p>
      <w:pPr>
        <w:ind w:right="280" w:firstLine="648"/>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that the adoption and evolution of our digital signage technology solutions will increase substantially in years to come in the industries in which we currently focus and in others; however it has been delayed in recent years. First, our current and potential customer base reduced capital expenditures as a result of the COVID-19 pandemic, including capital expenditures that would be used to implement digital technology solutions. The costs of hardware configurations and software media players used to process and display content have also increased recently. Throughout 2021, we faced significant supply chain challenges which limited the availability of each of these components to our sold solutions and expect the availability of those products to continue to face supply constraints at least through the first half of 2022. Nevertheless, we believe that the costs of such hardware will decrease over time as it has done so historically, and will do so at an accelerating rate. Flat panel displays and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Another key component of our business strategy, given the evolving dynamics of the industry in which we operate, is to acquire and integrate other operating companies in the industry in conjunction with pursuing our organic growth objectives.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 evaluates acquisition opportunities on an ongoing basis. Our management team and Board of Directors have broad experience with the execution, integration, and financing of acquisitions. We believe that the COVID-19 pandemic has adversely affected our smaller competitors, and as a result, there may exist acquisition opportunities in the future. We also believe that, based on the foregoing, we can successfully serve as a consolidator of multiple business and technology platforms serving similar markets.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our acquisition strategy, we acquired Allure in 2018, and in February 2022, we consummated our acquisition of Reflect.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Reflect</w:t>
      </w:r>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On November 12, 2021, the Company and Reflect Systems, Inc., or “Reflect,” entered into an Agreement and Plan of Merger (as amended on February 8, 2022, the “Merger Agreement”) pursuant to which a direct, wholly owned subsidiary of Creative Realities, CRI Acquisition Corporation, or “Merger Sub”, merged with and into Reflect, with Reflect surviving as a wholly owned subsidiary of Creative Realities, , which transaction is referred to herein as the “Merger.” On February 17, 2022, the parties consummated the Merger.</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 w:name="page10"/>
    <w:bookmarkEnd w:id="9"/>
    <w:p>
      <w:pPr>
        <w:ind w:right="20" w:firstLine="648"/>
        <w:spacing w:after="0" w:line="270" w:lineRule="auto"/>
        <w:rPr>
          <w:sz w:val="20"/>
          <w:szCs w:val="20"/>
          <w:color w:val="auto"/>
        </w:rPr>
      </w:pPr>
      <w:r>
        <w:rPr>
          <w:rFonts w:ascii="Arial" w:cs="Arial" w:eastAsia="Arial" w:hAnsi="Arial"/>
          <w:sz w:val="17"/>
          <w:szCs w:val="17"/>
          <w:color w:val="auto"/>
        </w:rPr>
        <w:t>Subject to the terms and conditions of the Merger Agreement, upon the closing of the Merger, Reflect stockholders as of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firstLine="8"/>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believe that our existing business model is highly scalable and can be expanded successfully as we continue to grow organically and integrate operations with Reflect as a result of the Merger, acquire and integrate other companies in our target markets, strengthen our operational practices and procedures, further streamline our administrative office functions, and continue to capitalize on various marketing programs and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customers challenging service providers with the delivery of a satisfactory consumer experience with the traditional pressure on reducing installation and ongoing operating costs.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a growing number of retailers, brands, venue-operators and other organizations have identified the need and opportunity to implement increasingly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clients consider capitalizing on these industry trends to be increasingly critical to any successful “store of the future” retail and brand sales environment, especially where sales staff turnover is high, training outcomes are inconsistent and product knowledge is low.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1" w:name="page12"/>
    <w:bookmarkEnd w:id="11"/>
    <w:p>
      <w:pPr>
        <w:ind w:right="120" w:firstLine="648"/>
        <w:spacing w:after="0" w:line="301" w:lineRule="auto"/>
        <w:rPr>
          <w:sz w:val="20"/>
          <w:szCs w:val="20"/>
          <w:color w:val="auto"/>
        </w:rPr>
      </w:pPr>
      <w:r>
        <w:rPr>
          <w:rFonts w:ascii="Arial" w:cs="Arial" w:eastAsia="Arial" w:hAnsi="Arial"/>
          <w:sz w:val="16"/>
          <w:szCs w:val="16"/>
          <w:color w:val="auto"/>
        </w:rPr>
        <w:t>Companies are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customer experience unique to and within the customer’s environment. Examples of such solutions include:</w:t>
      </w:r>
    </w:p>
    <w:p>
      <w:pPr>
        <w:spacing w:after="0" w:line="157" w:lineRule="exact"/>
        <w:rPr>
          <w:sz w:val="20"/>
          <w:szCs w:val="20"/>
          <w:color w:val="auto"/>
        </w:rPr>
      </w:pPr>
    </w:p>
    <w:p>
      <w:pPr>
        <w:ind w:left="980" w:right="8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Digital Merchandising Systems, which aim to inform and interact with customers through various types of content in an integrated experience, improve in-store customer experiences and increase overall sales, upsells, and/or cross-sales;</w:t>
      </w:r>
    </w:p>
    <w:p>
      <w:pPr>
        <w:spacing w:after="0" w:line="14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Sales Assistants, which aim to replace or augment existing sales resources and the level of interactive and informational sales assistance inside the store;</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Way-Finders, which aim to help customers navigate their way around individual retail stores and multi-store locations or venues, or within individual brand categories;</w:t>
      </w:r>
    </w:p>
    <w:p>
      <w:pPr>
        <w:spacing w:after="0" w:line="170" w:lineRule="exact"/>
        <w:rPr>
          <w:rFonts w:ascii="Arial" w:cs="Arial" w:eastAsia="Arial" w:hAnsi="Arial"/>
          <w:sz w:val="18"/>
          <w:szCs w:val="18"/>
          <w:color w:val="auto"/>
        </w:rPr>
      </w:pPr>
    </w:p>
    <w:p>
      <w:pPr>
        <w:ind w:left="980" w:right="34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Digital Kiosks, which aim to provide data, specialized and customized broadcasts, promotional information and coupons, train, and other forms of information and interaction with customers in a variety of deployment forms, types, configurations and experiences;</w:t>
      </w:r>
    </w:p>
    <w:p>
      <w:pPr>
        <w:spacing w:after="0" w:line="146"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Menu-Board Systems, which aim to enable various types of restaurant operators the ability to remotely and on a scheduled basis, update and modify menu information, promotions, and other forms of content dynamically;</w:t>
      </w:r>
    </w:p>
    <w:p>
      <w:pPr>
        <w:spacing w:after="0" w:line="170" w:lineRule="exact"/>
        <w:rPr>
          <w:rFonts w:ascii="Arial" w:cs="Arial" w:eastAsia="Arial" w:hAnsi="Arial"/>
          <w:sz w:val="18"/>
          <w:szCs w:val="18"/>
          <w:color w:val="auto"/>
        </w:rPr>
      </w:pPr>
    </w:p>
    <w:p>
      <w:pPr>
        <w:jc w:val="both"/>
        <w:ind w:left="980" w:right="12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Dynamic Digital Signage, including Advertising Networks, which aim to deliver and manage in-store marketing and advertising campaigns, specialized and customized broadcasts, and various other forms of messaging targeting customers in a particular experience or environment.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 In addition to our direct sales force, we market our Safe Space Solutions suite of products through a network of distribution and reseller partners through which we have expanded our market presence and reach. Distributors operate on either a consignment or direct drop ship approach and no revenue is recognized until a sale is made and product is delivered.</w:t>
      </w:r>
    </w:p>
    <w:p>
      <w:pPr>
        <w:spacing w:after="0" w:line="195"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Our digital marketing technology solutions have application in a wide variety of industries. The industries in which we sell our solutions are established and include automotive, apparel &amp; accessories, banking, baby/children, beauty, CPG, department stores, digital out-of-home (“DOOH”), electronics, fashion, fitness, foodservice/quick service restaurant (“QSR”), financial services, gaming, luxury, mass merchants, mobile operators, and pharmacy retail; however, the planning, development, implementation and maintenance of technology-enabled experiences involving combinations of digital marketing technologies are relatively new and evolving. Moreover, a number of participants in these industries have only recently started considering or expanding the adoption of these types of technologies, solutions and experiences as part of their overall marketing strategies.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General Economic Conditions on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demand for our services will increase in the future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improvements generally make it easier for our customers to justify decisions to invest in digital marketing technology solutions. A change in the macroeconomic trend in the U.S. could have a negative impact on our customers’ ability and/or willingness to advance their digital initiatives.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i w:val="1"/>
          <w:iCs w:val="1"/>
          <w:color w:val="auto"/>
        </w:rPr>
        <w:t>Effect of Supply Chain Constraints</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 key component of our business includes the sale of digital media players and digital displays supplied by third parties, each of which require semiconductors to complete the manufacturing process. Throughout 2021, we experienced disruptions and delays related to fulfillment of inventory purchases from vendors, which represent the key components to our digital signage solutions, because of a global shortage of semiconductor chips. In instances in which inventory was available, we experienced delays in transportation of these goods from manufacturers to the Company, and in delivery of our solutions to our customers. We expect the availability of these products to continue to face supply constraints at least through the first half of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believe there is presently no direct competitor with the comprehensive offering of technologies, solutions and services we provide to our customers, there are multiple individual competitors who offer pieces of our solutions. These include digital signage software companies such as Stratacache and Four Winds Interactive; marketing services companies such as Sapient Nitro or digital signage systems integrators such as SageNet. Some of these competitors may have significantly greater financial, technical and marketing resources than we do and may be able to respond more rapidly than we can to new or emerging technologies or changes in customer requirements. We believe that our holistic sales and business development capabilities, network operations / field service management capabilities, our comprehensive offering of digital signage technology and solutions, brand awareness, and proprietary processes are the primary factors providing our competitive advantage.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had two (2) customers that accounted for 41.1% and 27.8% of revenue for the years ended December 31, 2021 and 2020, respectively.</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had two (2) customers that in the aggregate accounted for 56.6% and 42.6% of accounts receivable as of December 31, 2021 and December 31, 2020, respectively.</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Territories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sell products and services primarily throughout North America, with limited software licensing agreements operating in other international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We have a workforce comprised of approximately 105 employees as of March 22, 2022, which represents a 40% year-over-year increase in employee headcount, driven primarily by our acquisition of Reflect in February 2022, which is further discussed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in Item 7 of this Annual Report. We do not have any employees that operate under collective-bargaining agreements.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principal offices are located at 13100 Magisterial Drive, Ste 100, Louisville, Kentucky 40223, and our telephone number at that office is (502) 791-8800. We have additional offices in the Dallas, TX, Atlanta, GA, and Windsor, Ontario (Canada) metro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Organization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pursuant to the Merger.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Our business involves a high degree of risk. In evaluating our business, you should carefully consider the specific risks described below, and any risks described in our other filings with the Securities and Exchange Commission, pursuant to Sections 13(a), 13(c), 14, or 15(d) of the Securities Exchange Act of 1934. Any of the risks we describe below could cause our business, financial condition, results of operations or future prospects to be materially adversely affected. In addition, some of the following statements are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had, and may in the future have, a significant adverse impact on our advertising revenue and also exposes our business to other risks.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ongoing COVID-19 pandemic has resulted in authorities implementing numerous preventative measures to contain or mitigate the outbreak of the virus, such as travel bans and restrictions, limitations on business activity, quarantines, and shelter-in-place orders. These measures have caused, and are continuing to cause, business slowdowns or shutdowns in certain affected areas, both regionally and worldwide, which have significantly adversely impacted our business and results of operations.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example, for the year ended December 31, 2021 and 2020, our revenue was $18,437 and $17,457, representing a reduction of 42% and 45% as compared to the year ended December 31, 2019 revenue, respectively. The Company’s four-year average revenue growth rate was 29.1% from 2015 to 2019, and 2020 represented the first revenue reduction for the Company since the merger with ConeXus World Global, LLC in October 2015. This reduction was driven by a combination of factors, including, but not limited to, a decrease in revenues generated from (1) installation services following a significant increase in suspended, delayed, and cancelled customer projects, initiatives, and capital expenditures as a direct result of the COVID-19 pandemic, (2) management services related to contracts with customers which were partially or permanently closed during the year(s), and (3) reductions in new customer acquisition, each of which were directly attributable, either in whole or in part, to the COVID-19 pandemic. While we grew revenue 5.6% in 2021, this growth rate is below our historic average.</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While we have seen improved revenue generation and customer activity in the second half of 2020 and in 2021, there can be no assurance that it will not decrease again as a result of the effects of the pandemic. In addition, we believe that the pandemic has contributed to an acceleration in the shift of commerce from offline to online, potentially altering customer demand for our products and services as our customers evaluate the most effective approach to capture consumer demand.</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demand for and pricing of our services may be materially and adversely impacted by the pandemic for the foreseeable future, and we are unable to predict the duration or degree of such impact with any certainty. In addition to the impact on our installation and managed services business, the pandemic exposes our business, operations, and workforce to a variety of other risks, including:</w:t>
      </w:r>
    </w:p>
    <w:p>
      <w:pPr>
        <w:spacing w:after="0" w:line="184"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product development or releases, or reductions in manufacturing production and sales of consumer hardware, as a result of inventory shortages, supply chain or labor shortages;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volatility and disruption of global financial markets, which could negatively impact our ability to access capital in the future;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recognize revenue, collect payment, or generate future revenue from customers, including from those that have been or may be forced to close their businesses or are otherwise impacted by the economic downturn;</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impact on our workforce productivity, product development, and research and development due to difficulties resulting from our personnel working remotely;</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illnesses to key employees, or a significant portion of our workforce, which may result in inefficiencies, delays, and disruptions in our business;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volatility and uncertainty in the financial projections we use as the basis for estimates used in our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right="60" w:firstLine="648"/>
        <w:spacing w:after="0" w:line="311" w:lineRule="auto"/>
        <w:rPr>
          <w:sz w:val="20"/>
          <w:szCs w:val="20"/>
          <w:color w:val="auto"/>
        </w:rPr>
      </w:pPr>
      <w:r>
        <w:rPr>
          <w:rFonts w:ascii="Arial" w:cs="Arial" w:eastAsia="Arial" w:hAnsi="Arial"/>
          <w:sz w:val="16"/>
          <w:szCs w:val="16"/>
          <w:color w:val="auto"/>
        </w:rPr>
        <w:t>Any of these developments may adversely affect our business, harm our reputation, or result in legal or regulatory actions against us. The persistence of the COVID-19 pandemic, and the preventative measures implemented to help limit the spread of the illness, have impacted, and will continue to impact, our ability to operate our business and may materially and adversely impact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generally incurred losses, and may never become or remain profitable.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incurred historical net losses, and we have had negative cash flows from operations. While we have been able to achieve profitability in 2021, it is uncertain whether we will be able to sustain or increase our profitability in successive periods.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 The ongoing COVID-19 pandemic has also caused a significant increase in suspended, delayed, and cancelled customer projects, initiatives, and capital expenditures, and it is not known when these opportunities will be revived for the Company, if at all.</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digital marketing business is evolving in a rapidly changing market, and we cannot ensure the long-term successful operation of our business or the execution of our business plan.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digital marketing technology and solutions are an evolving business offering and the markets in which we compete are rapidly changing and the evolution has slowed as a result of the COVID-19 pandemic.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spacing w:after="0" w:line="187" w:lineRule="exact"/>
        <w:rPr>
          <w:sz w:val="20"/>
          <w:szCs w:val="20"/>
          <w:color w:val="auto"/>
        </w:rPr>
      </w:pPr>
    </w:p>
    <w:p>
      <w:pPr>
        <w:ind w:left="980" w:right="2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broad market acceptance of our technology, solutions, services, and platforms, and converting that acceptance into direct and indirect sources of revenue;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adoption of our technology, solutions, services, and platforms in and on a variety of environments, experiences, and device types;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and successfully developing new technology, solution, service, and platform features, and increasing the functionality and features of our existing technology, solution, service, and platform offerings;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technology, solutions, services, and platforms that result in a high degree of customer satisfaction and a high level of end-customer usage;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responding to competition, including competition from emerging technologies and solutions;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maintaining strategic relationships to enhance the distribution, features, content and utility of our technology, solutions, services, and platforms;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attracting and retaining talented engineering, network operations, program management, technical services, creative services, and other personnel at reasonable market compensation rates in the markets in which we employ such personnel;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acquisitions.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business strategy may be unsuccessful and we may be unable to address the risks we face in a cost-effective manner, if at all. If we are unable to successfully accomplish these tasks, our business will be harmed.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Adequate funds for our operations may not be available, requiring us to raise additional financing or else curtail our activities significantly.</w:t>
      </w:r>
    </w:p>
    <w:p>
      <w:pPr>
        <w:spacing w:after="0" w:line="24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During February of 2022, the Company completed a Debt Financing and Equity Financing (as further described in this Annual Report), which resulted in gross proceeds to the Company, prior to deducting placement agent and other offering fees, of approximately $20,000.</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net proceeds from the forgoing financings were used to pay the cash portion of the merger consideration payable to former stockholders of Reflect in connection with our acquisition of Reflect in February 2022. As a result, we may be required to raise additional funding through public or private financings, including equity financings, through 2022 and beyond. We have an “at-the-market” offering in place, pursuant to which we may direct Roth Capital Partners, our sale agent, to sell shares of our common stock to investors in the market, subject to the terms and conditions of a sales agreement. These sales are dilutive to shareholders. Any additional equity financings may also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sufficient capital to engage in material research and development, which may harm our long-term growth.</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light of our limited resources in general, we have limited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are reliant on the continued support of a related party for adequate financing of our operations.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22, 2022, our largest shareholder and investor, Slipstream Communications LLC (“Slipstream”) is the holder of 87% of our outstanding debt instruments, including two term loans, and has beneficial ownership of approximately 47.57% of our common stock (on an as-converted, fully diluted basis including conversion of outstanding warrants, and assuming no other convertible securities, options and warrants are converted or exercised by other parties). Slipstream has also provided us with a continued support letter through March 31, 2023. If we are unable to extend the maturity or replace our existing financing agreements in the future, our plans to operate our business may be adversely affected and we could be required to curtail our activities significantly and/or cease operating.</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There has been, and we expect that there will continue to be, significant consolidation in our industry. Our failure or inability to lead that consolidation would have a severe adverse impact on our access to financing, customers, technology, and human resources.</w:t>
      </w:r>
    </w:p>
    <w:p>
      <w:pPr>
        <w:spacing w:after="0" w:line="14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industry is currently composed of a large number of relatively small businesses, no single one of which is dominant or which provides integrated solutions and product offerings incorporating much of the available technology. Accordingly, we believe that substantial consolidation may occur in our industry in the near future. We believe that our prior acquisitions of Allure and Reflect illustrate acquisition opportunities that exist in our industry. If we do not play a positive role in that consolidation, either as a leader or as a participant whose capability is merged in a larger entity, we may be left out of this process, with product offerings of limited value compared with those of our competitors. Moreover, even if we lead the consolidation process, the market may not validate the decisions we make in that process.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interactive marketing technologies achieving and maintaining widespread acceptance in our targeted markets.</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success will depend to a large extent on broad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demonstrate the economic and other benefits attendant to our interactive marketing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becoming comfortable with using our interactive marketing technologies;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reliability of our interactive marketing technologies.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financial condition and potential for continued net losses may negatively impact our relationships with customers, prospective customers and third-party suppliers.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financial condition and potential for continued net losses may cause current and prospective customers to defer placing orders with us, to require terms that are less favorable to us, or to place their orders with our competitors, which could adversely affect our business, financial condition and results of operations. On the same basis, third-party suppliers may refuse to do business with us, or may do so only on terms that are unfavorable to us, which also could cause our expenses to increase.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from our customers, the failure to obtain anticipated orders or the deferral or cancellation of commitments could have adverse effects on our business.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business is characterized by short-term purchase orders and contracts that do not require that purchases be made by our customers. This makes forecasting our sales difficult. The failure to obtain anticipated orders and deferrals or cancellations of purchase commitments because of changes in customer requirements, or otherwise, could have a material adverse effect on our business, financial condition and results of operations. We have experienced such challenges in the past and may experience such challenges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growth and financial performance could be adversely affected by the loss of several key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had two (2) customers that accounted for 41.1% and 27.8% of revenue for the years ended December 31, 2021 and 2020, respectively.</w:t>
      </w:r>
    </w:p>
    <w:p>
      <w:pPr>
        <w:spacing w:after="0" w:line="23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Most of our contracts are terminable by our customers with limited notice and without penalty payments, and early terminations could have a material adverse effect on our business, operating results and financial condition.</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operating results and financial condition.</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It is common for our current and prospective customers to take a long time to evaluate our products, most especially during economic downturns that affect our customers’ businesses, including as a result of the COVID-19 pandemic. The lengthy and variable sales cycle makes it difficult to predict our operating results.</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spacing w:after="0" w:line="17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need to upgrade existing visual marketing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products by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prices offered by our competitors;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budgets and purchasing priorities.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prospective customers routinely require education regarding the use and benefit of our products. This may also lead to delays in receiving customers’ orders.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8" w:name="page19"/>
    <w:bookmarkEnd w:id="18"/>
    <w:p>
      <w:pPr>
        <w:ind w:right="380"/>
        <w:spacing w:after="0" w:line="308" w:lineRule="auto"/>
        <w:rPr>
          <w:sz w:val="20"/>
          <w:szCs w:val="20"/>
          <w:color w:val="auto"/>
        </w:rPr>
      </w:pPr>
      <w:r>
        <w:rPr>
          <w:rFonts w:ascii="Arial" w:cs="Arial" w:eastAsia="Arial" w:hAnsi="Arial"/>
          <w:sz w:val="17"/>
          <w:szCs w:val="17"/>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market acceptance.</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A portion of our business involves the use of software technology that we have developed or licensed. Industries involving the ownership and licensing of software-based intellectual property are characterized by frequent intellectual-property litigation, and we could face claims of infringement by others in the industry. Such claims are costly and add uncertainty to our operational results.</w:t>
      </w:r>
    </w:p>
    <w:p>
      <w:pPr>
        <w:spacing w:after="0" w:line="16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16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the development, use, licensing or sale of infringing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discontinue the use of certain technology; or</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license under the intellectual property rights of the third party claiming infringement, which license may not be available on reasonable terms or at all.</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spacing w:after="0" w:line="195" w:lineRule="exact"/>
        <w:rPr>
          <w:sz w:val="20"/>
          <w:szCs w:val="20"/>
          <w:color w:val="auto"/>
        </w:rPr>
      </w:pPr>
    </w:p>
    <w:p>
      <w:pPr>
        <w:ind w:left="980" w:right="6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impact our relationship with customers and others who experience system failure, possibly leading to a loss of affected and unaffected customers;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costs related to product development or service delivery;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revenues and expenses.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Our business may be adversely affected by malicious applications that interfere with, or exploit security flaws in, our products and services.</w:t>
      </w:r>
    </w:p>
    <w:p>
      <w:pPr>
        <w:spacing w:after="0" w:line="24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other companies that have more resources, which puts us at a competitive disadvantage.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for interactive marketing technologies is generally highly competitive and we expect competition to increase in the future. Some of our competitors or potential competitors may have significantly greater financial, technical and marketing resources than us. These competitors may be able to respond more rapidly than we can to new or emerging technologies or changes in customer requirements. They may also devote greater resources to the development, promotion and sale of their products than us.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expect competitors to continue to improve the performance of their current products and to introduce new products, services and technologies.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key personnel and our ability to attract and retain additional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personnel include:</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Rick Mills, our Chief Executive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Logan, our Chief Financial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Lee Summers, our President of Media;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Bob Sanders, our Chief Strategy Officer.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we fail to retain our key personnel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right="320"/>
        <w:spacing w:after="0" w:line="263" w:lineRule="auto"/>
        <w:rPr>
          <w:sz w:val="20"/>
          <w:szCs w:val="20"/>
          <w:color w:val="auto"/>
        </w:rPr>
      </w:pPr>
      <w:r>
        <w:rPr>
          <w:rFonts w:ascii="Arial" w:cs="Arial" w:eastAsia="Arial" w:hAnsi="Arial"/>
          <w:sz w:val="18"/>
          <w:szCs w:val="18"/>
          <w:b w:val="1"/>
          <w:bCs w:val="1"/>
          <w:i w:val="1"/>
          <w:iCs w:val="1"/>
          <w:color w:val="auto"/>
        </w:rPr>
        <w:t>We are subject to cyber security risks and interruptions or failures in our information technology systems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The U.S. government has issued public warnings that indicate that energy assets might be specific targets of cyber security threats.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any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Breaches of our information management system could also adversely affect our business reputation. Finally, significant information system disruptions could adversely affect our ability to effectively manage operations or reliably report results.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technology, products, platform, and services are complex and are deployed in and across complex environments, they may have errors or defects that could seriously harm our business.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insufficient network or server capacity, which could result in interruptions in our services and loss of revenues.</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business operations are susceptible to interruptions caused by events beyond our control.</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business operations are susceptible to interruptions caused by events beyond our control. We are vulnerable to the following potential problems, among others:</w:t>
      </w:r>
    </w:p>
    <w:p>
      <w:pPr>
        <w:spacing w:after="0" w:line="170" w:lineRule="exact"/>
        <w:rPr>
          <w:sz w:val="20"/>
          <w:szCs w:val="20"/>
          <w:color w:val="auto"/>
        </w:rPr>
      </w:pPr>
    </w:p>
    <w:p>
      <w:pPr>
        <w:ind w:left="980" w:right="1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platform, technology, products, and services and underlying infrastructure, or that of our key suppliers, may be damaged or destroyed by events beyond our control, such as fires, earthquakes, floods, power outages or telecommunications failures;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and our customers and/or partners may experience interruptions in service as a result of the accidental or malicious actions of Internet users, hackers or current or former employees;</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face liability for transmitting viruses to third parties that damage or impair their access to computer networks, programs, data or information. Eliminating computer viruses and alleviating other security problems may require interruptions, delays or cessation of service to our customers; and</w:t>
      </w:r>
    </w:p>
    <w:p>
      <w:pPr>
        <w:spacing w:after="0" w:line="183"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rapidly emerging, and we may be unable to compete successfully against existing or future competitors to our business.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market in which we operate is becoming increasingly competitive. Our current competitors generally include general digital signage companies, specialized digital signage operators targeting certain vertical markets (e.g., financial services), content management software companies, or integrators and vertical solution providers who develop single implementations of content distribution, digital marketing technology, and related services. These competitors, including future new competitors who may emerge, may be able to develop a comparable or superior solution capabilities, software platform, technology stack, and/or series of services that provide a similar or more robust set of features and functionality than the technology, products and services we offer. If this occurs, we may be unable to grow as necessary to make our business profitable.</w:t>
      </w:r>
    </w:p>
    <w:p>
      <w:pPr>
        <w:spacing w:after="0" w:line="16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Whether or not we have superior products, many of these current and potential future competitors have a longer operating histories in their current respective business areas and greater market presence, brand recognition, engineering and marketing capabilities, and financial, technological and personnel resources than we do. Existing and potential competitors with an extended operating history, even if not directly related to our business, have an inherent marketing advantage because of the reluctance of many potential customers to entrust key operations to a company that may be perceived as new, inexperienced or unproven. In addition, our existing and potential future competitors may be able to use their extensive resources to:</w:t>
      </w:r>
    </w:p>
    <w:p>
      <w:pPr>
        <w:spacing w:after="0" w:line="16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deploy new products and services more quickly and effectively than we can;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improve and expand their platforms and related infrastructures more quickly than we can;</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costs, particularly hardware costs, because of discounts associated with large volume purchases and longer-term relationships and commitments;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2" w:name="page23"/>
    <w:bookmarkEnd w:id="22"/>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offer less expensive products, technology, platform, and services as a result of a lower cost structure, greater capital reserves or otherwise;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more swiftly and completely to new or emerging technologies and changes in customer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advantage of acquisition and other opportunities more readily;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devote greater resources to the marketing and sales of their products, technology, platform, and services.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we are unable to compete effectively in our various markets, or if competitive pressures place downward pressure on the prices at which we offer our products and services, our business, financial condition and results of operations may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Safe Space Solutions products may no longer be marketable.</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On April 28, 2020, we announced the joint launch of an AI-integrated non-contact temperature inspection kiosk known as the Thermal Mirror with our partner, InReality, for use by businesses as COVID-19 related workplace restrictions are reduced or eliminated. While the product and its launch were successful and recouped our initial investment, we still maintain $1,750 of inventory as of December 31, 2021 that is solely used in deploying our Safe Space Solutions which may not be saleable elsewhere should the market for these products reduce or eliminate as a result of the development of the COVID-19 vaccine. As of December 31, 2021, the Company has recorded a reserve of $426 for this inventory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REFLECT SYSTEMS, INC.</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loss of the services of certain key management personnel at Reflect could impair our ability to execute our business strategy and as a result, reduce our sales and profitability.</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depend on the continued services of certain key personnel from Reflect’s senior management team. As we integrate and combine Reflect’s with our business, the loss of key personnel at Reflect could have a material adverse effect on our ability to execute our business strategy and on our financial condition and results of operations. Reflect does not maintain key-person insurance for members of its senior management team and we do not anticipate obtaining any such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Reflect with our business, which could cause our business to suffer.</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acquisition of Reflect is significant, and we may be unable to successfully integrate and combine the operations, personnel and technology of Reflect with our operations. If we fail to successfully manage the integration of Reflect, we may experience interruptions in our business activities, a deterioration in our employee and customer relationships, increased costs of integration and harm to our reputation, all of which could have a material adverse effect on our business, financial condition and results of operations. The types of integration issues we face may include difficulties in combining corporate cultures, maintaining employee morale and retaining key employees. The integration process is likely to impose substantial demands on our management. Other challenges involved in integrating Reflect with Creative Realities include, but are not limited to, the following:</w:t>
      </w:r>
    </w:p>
    <w:p>
      <w:pPr>
        <w:spacing w:after="0" w:line="164"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existing customers and strategic partners for each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and integrating management and other key employees of the combined company;</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introduction of new products and technologies, especially in light of rapidly evolving markets for those products and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managing the diversion of management’s attention from business matters to integration issues;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combining product offerings and incorporating acquired software, technology and rights into the product offerings of the combined company effectively and quickly;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integrating sales efforts so that customers can do business easily with the combined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transitioning all facilities to a common information technology environment;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offering products and services of Creative Realities and Reflect to each other’s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anticipating the market needs and achieving market acceptance of our products and services;</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bringing together the companies’ marketing efforts so that the industry receives useful information about the combination and customers perceive value in the combined company’s products and services;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maintaining uniform standards, controls, procedures and policies.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is no assurance that improved operating results will be achieved as a result of the Reflect acquisition or that we successfully integrate the businesses of Reflect in a timely manner,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that are anticipated from our acquisition of Reflect.</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benefits we expect to achieve as a result of the Reflect acquisition will depend, in part, on our ability to realize anticipated growth opportunities. Our success in realizing these growth opportunities, and the timing of this realization, depends largely on the successful integration of Reflect’s business and operations with our business and operations. Even if we are able to integrate our business with Reflect’s business successfully, this integration may not result in the realization of the full benefits of the growth opportunities we currently expect from this integration within the anticipated time frame or at all. While we anticipate that certain expenses will be incurred, such expenses are difficult to estimate accurately, and may exceed current estimates. Accordingly, the benefits from the acquisition may be offset by costs incurred or delays in integrating the companies, which could cause our revenue assumptions to be inaccurate.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Reflect may fail to achieve beneficial synergies.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consummated the acquisition of Reflect with the expectation that the acquisition will result in beneficial synergies, such as cost reductions and improving the stability of the combined company’s revenues. Achieving these anticipated synergies and benefits will depend largely on our success in integrating our existing business with Reflect’s business. Potential risks from an unsuccessful integration include:</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disruption of the combined company’s ongoing business and distraction of management;</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the customers of Creative Realities or Reflect may defer purchasing decisions due to disagreements with the combined company on its strategic direction and product initiatives;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risk that Reflect’s customers abandon or reject products offered by the combined company after the acquisition, including Reflect products that are integrated into Creative Realities’ business, such as additional software products, hosting applications or installation services;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it may be more difficult to retain key management, marketing, and technical personnel after the acquisition;</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costs and expenditures for retaining personnel, eliminating unnecessary resources and integrating the businesses are greater than anticipated;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the combined company cannot increase sales of its product; and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4" w:name="page25"/>
    <w:bookmarkEnd w:id="24"/>
    <w:p>
      <w:pPr>
        <w:ind w:left="980" w:right="4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integrating and changing the businesses will impair Creative Realities’ and Reflect’s relationships with their customers and business partners.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offering products and services of Creative Realities and Reflect to each other’s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anticipating the market needs and achieving market acceptance of our products and services;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bringing together the companies’ marketing efforts so that the industry receives useful information about the acquisition and customers perceive value in the combined company’s products and services;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and maintaining uniform standards, controls, procedures and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Even if the two companies are able to effectively integrate operations, there can be no assurance that the anticipated synergies will be achieved.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failure to achieve such synergies could adversely affect the business, results of operations and financial condition of the combined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assumption of unknown liabilities in the acquisition of Reflect may harm our financial condition and results of operations.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Because we acquired all of the capital stock of Reflect, we obtained ownership of Reflect subject to all of its liabilities, including contingent and unknown liabilities. Although the definitive merger agreement includes representations and warranties and indemnity covenants from the sellers of Reflect capital stock that may offer us some contractual remedies for breaches or certain other undisclosed or unknown liabilities, there are limitations and conditions to our ability to recoup any liabilities, and there may be other unknown obligations for which we have no contractual remedy. In such a case, our business could be materially and adversely affected. We may learn additional information about Reflect’s business that adversely affects us, such as the existence of unknown liabilities, or issues that could affect our ability to comply with applicable laws. If Reflect’s liabilities are greater than expected, or if there are material obligations of which we do not become aware until after the acquisition or we have no recourse against the Seller, our business could be materially and adversely affected. If we become responsible for substantial uninsured liabilities, such liabilities may have a material adverse effect on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will continue to incur significant transaction and integration costs in connection with the acquisition of Reflect.</w:t>
      </w:r>
    </w:p>
    <w:p>
      <w:pPr>
        <w:spacing w:after="0" w:line="23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incurred significant costs associated with completing the acquisition of Reflect, and expect to incur additional significant costs integrating the operations of the two companies. The substantial majority of these costs will be non-recurring expenses and will consist of transaction costs (e.g., legal, accounting), facilities and systems consolidation costs and employment-related costs. Additional unanticipated costs may be incurred in the integration of our businesses. Although we expect that the elimination of duplicative costs, as well as the realization of other efficiencies related to the integration of the businesses, may offset incremental transaction and acquisition costs over time, this net benefit may not be achieved in the near term,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variable sales cycle of our products will likely make it difficult to predict operating results.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5" w:name="page26"/>
    <w:bookmarkEnd w:id="25"/>
    <w:p>
      <w:pPr>
        <w:ind w:right="160" w:firstLine="648"/>
        <w:spacing w:after="0" w:line="301" w:lineRule="auto"/>
        <w:rPr>
          <w:sz w:val="20"/>
          <w:szCs w:val="20"/>
          <w:color w:val="auto"/>
        </w:rPr>
      </w:pPr>
      <w:r>
        <w:rPr>
          <w:rFonts w:ascii="Arial" w:cs="Arial" w:eastAsia="Arial" w:hAnsi="Arial"/>
          <w:sz w:val="16"/>
          <w:szCs w:val="16"/>
          <w:color w:val="auto"/>
        </w:rPr>
        <w:t>Accordingly, large individual sales have sometimes occurred in quarters subsequent to when we anticipated or not at all. If we receive any significant cancellation or deferral of customer orders, or it is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operating results and financial condition for an indefinite period of time.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largest shareholder possesses controlling voting power with respect to our common stock, which will limit your influence on corporate matters.</w:t>
      </w:r>
    </w:p>
    <w:p>
      <w:pPr>
        <w:spacing w:after="0" w:line="2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the date of this Annual Report, our largest shareholder, Slipstream Communications, LLC, has beneficial ownership of 11,658,469 shares of common stock, including common shares that are beneficially owned by its affiliate Slipstream Funding, LLC, and including warrants not yet exercisable. As a result, Slipstream Communications, LLC has significant influence on our management and affairs, including the election and removal of our Board of Directors and all other matters requiring shareholder approval, including the future merger, consolidation or sale of all or substantially all of our assets. This stockholder position could discourage others from initiating any potential merger, takeover or other change-of-control transaction that may otherwise be beneficial to our shareholders. Furthermore, this concentrated ownership will limit the practical effect of your participation in Company matters, through shareholder votes and otherwise.</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Articles of Incorporation grant our Board of Directors the power to issue additional shares of common and preferred stock and to designate other classes of preferred stock, all without shareholder approval.</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authorized capital consists of 250,000,000 shares of capital stock, 50,000,000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it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do not plan to pay dividends on our common stock for the foreseeable future. Earnings of the business will be reinvested in future growth strategies or utilized to repay outstanding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significant tangible assets that could be sold upon liquidation.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can provide no assurance that our securities will continue to meet Nasdaq listing requirements. If we fail to comply with the continuing listing standards of the Nasdaq, our securities could be delisted.</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fail to comply with the continuing listing standards of the Nasdaq, our securities could be delisted. A failure to remain listed on Nasdaq could have a material adverse effect on the liquidity and price of our common stock.</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Unpredictability in financing markets could impair our ability to grow our business through acquisitions.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anticipate that opportunities to acquire similar businesses will materially depend on, among other things, the availability of financing alternatives with acceptable terms. As a result, poor credit and other market conditions or uncertainty in financial markets could materially limit our ability to grow through acquisitions since such conditions and uncertainty make obtaining financing more difficult.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our limited internal resources, we may not have in place various processes and protections common to more mature companies and may be more susceptible to adverse events.</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have limited internal resources.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financial condition, and results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global market and economic conditions may have an adverse impact on our operating performance and results of operations.</w:t>
      </w:r>
    </w:p>
    <w:p>
      <w:pPr>
        <w:spacing w:after="0" w:line="23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business has been and could continue to be affected by general global economic and market conditions. Any downturn in the United States and worldwide economy could have a negative effect on our operating results, including a decrease in revenue and operating cash flow. To the extent our customers are unable to profitably leverage various forms of digital marketing technology and solutions, and/or the content we create, deliver and publish on their behalf, they may reduce or eliminate their purchase of our products and services. Such reductions in traffic would lead to a reduction in our revenues. Additionally, in a down-cycle economic environment, we may experience the negative effects of increased competitive pricing pressure, customer loss, slowdown in commerce over the Internet and corresponding decrease in traffic delivered over our network and failures by our customers to pay amounts owed to us on a timely basis or at all. Suppliers on which we rely for equipment, field services, servers, bandwidth, co-location and other services could also be negatively impacted by economic conditions that, in turn, could have a negative impact on our operations or revenues. Flat or worsening economic conditions may harm our operating results and financial condition.</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our business could be adversely affected by the effects of a widespread outbreak of contagious disease, including the recent outbreak of the COVID-19 respiratory illness.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 Specifically, such event may cause us, our customers or suppliers to temporarily suspend operations in the affected city or country, and customers may suspend or terminate capital improvements including in-store digital deployments or refresh projects, all of which may have a material adverse effect on our business.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Significant issuances of our common stock, or the perception that significant issuances may occur in the future, could adversely affect the market price for our common stock.</w:t>
      </w:r>
    </w:p>
    <w:p>
      <w:pPr>
        <w:spacing w:after="0" w:line="17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Significant actual or perceived potential future issuance of our common stock could adversely affect the market price of our common stock. Generally, issuances of substantial amounts of common stock in the public market, and the availability of shares for future sale, could adversely affect the prevailing market price of our common stock and could cause the market price of our common stock to remain low for a substantial amount of time.</w:t>
      </w:r>
    </w:p>
    <w:p>
      <w:pPr>
        <w:spacing w:after="0" w:line="14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We cannot foresee the impact of potential securities issuances of common shares on the market for our common stock, but it is possible that the market for our shares may be adversely affected, perhaps significantly. It is also unclear whether or not the market for our common stock could absorb a large number of attempted sales in a short period of time, regardless of the price at which they might be offered.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not be an active market for shares of our common stock.</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headquarters is located at 13100 Magisterial Drive, Suite 100, Louisville, KY 40223. There, we have approximately 17,500 square-feet of office space and 6,500 square-feet of warehouse space, which we believe is sufficient for our projected near-term future growth. The monthly lease amount is currently $27 and escalates 1% annually through the end of the lease term in December 2023, should the Company elect to retain the entire space. We restructured this lease during 2020, which allowed the Company to right to surrender approximately 9,100 square feet of space and reduce the monthly rent expense by $6 per month beginning in July 2021. The restructured lease also provided the Company deferred payment terms of approximately $6 monthly between July 2020 and June 2021, resulting in $84 that was ultimately added to the headquarters lease. The Consolidated Balance Sheet includes accrued rental payments related to this deferral of $68 as of December 31,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phone number is (502) 791-8800.</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also lease office space of approximately 6,000 square feet to support our Canadian operations at a facility located at 4600 Rhodes Drives, Unit 3&amp; 4, Windsor, Ontario under a lease that expires November 30, 2025 and with a monthly rental, inclusive of CAMS and related realty taxes, of $9 CAD per month.</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lease office space of approximately 900 square feet to support our Atlanta operations at a facility known as Northridge Center II and having as its street address at 375 Northridge Road, Atlanta, GA 30350. This property is under lease until March 31, 2022 with a monthly rental of $2. In November 2021, the Company entered into a lease for office space of approximately 4,500 square feet to support our Atlanta operations at a facility known as Northridge Center II and having as its street address at 365 Northridge Road, Atlanta, GA 30350. This property lease is expected to begin in March 2022 and be under lease until March 2027 with a monthly rental of $8, escalating 3% annually.</w:t>
      </w:r>
    </w:p>
    <w:p>
      <w:pPr>
        <w:spacing w:after="0" w:line="1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As a result of the acquisition of Reflect, we also lease office space of approximately 15,350 square feet to support the Reflect operations at a facility located at 2221 Lakeside Blvd, Richardson, TX 75082 under a lease that expires March 2024 and with a monthly rental, inclusive of CAMS and related realty taxes, of $38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Information regarding legal proceedings can be found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common stock is listed for trading on the Nasdaq Capital Markets (“Nasdaq”) under the symbol “CREX”. The transfer agent and registrar for our common stock is Computershare Limited, 401 2nd Avenue North, Minneapolis, Minnesota 55401.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22, 2022, we had 419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171"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Holders of our common stock are entitled to share pro rata in dividends and distributions with respect to the common stock when, as and if declared by our Board of Directors out of funds legally available therefor. Our future dividend policy is subject to the sole discretion of our Board of Directors and will depend upon a number of factors, including future earnings, capital requirements and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center"/>
        <w:ind w:right="9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related for the years ended December 31, 2021 and 2020, which are included elsewhere in this Annual Report on Form 10-K.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elsewhere in this Annual Report on Form 10-K, and other factors that we have not identified.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Creative Realities, Inc. (“Creative Realities”, or the “Company”) transforms environments through digital solutions by providing innovative digital signage solutions for key market segments and use cases, including:</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Retail</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Entertainment and Sports Venues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Restaurants, including quick-serve restaurants (“QSR”)</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Convenience Stores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Financial Services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Automotive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Medical and Healthcare Facilities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Mixed Use Developments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18"/>
          <w:szCs w:val="18"/>
          <w:color w:val="auto"/>
        </w:rPr>
        <w:t>Corporate Communications, Employee Experience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Digital out of Home (DOOH) Advertising Networks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Increased brand awareness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Improved customer support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Enhanced employee productivity and satisfaction</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Increased revenue and profitability</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Improved guest experience</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Increased customer/guest engagement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Improved patient outcomes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ind w:right="60" w:firstLine="648"/>
        <w:spacing w:after="0" w:line="296" w:lineRule="auto"/>
        <w:rPr>
          <w:sz w:val="20"/>
          <w:szCs w:val="20"/>
          <w:color w:val="auto"/>
        </w:rPr>
      </w:pPr>
      <w:r>
        <w:rPr>
          <w:rFonts w:ascii="Arial" w:cs="Arial" w:eastAsia="Arial" w:hAnsi="Arial"/>
          <w:sz w:val="16"/>
          <w:szCs w:val="16"/>
          <w:color w:val="auto"/>
        </w:rPr>
        <w:t>Through a combination of organically grown platforms and a series of strategic acquisitions, including our recent acquisition of Reflect Systems, Inc.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980" w:right="220" w:hanging="324"/>
        <w:spacing w:after="0" w:line="26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is one of only a few companies in the industry capable of providing the full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required to implement and run an effective digital signage network. We leverage a ‘single vendor’ approach, providing clients with a one-stop-shop for sourcing digital signage solutions from design through day two services.</w:t>
      </w:r>
    </w:p>
    <w:p>
      <w:pPr>
        <w:spacing w:after="0" w:line="175" w:lineRule="exact"/>
        <w:rPr>
          <w:rFonts w:ascii="Arial" w:cs="Arial" w:eastAsia="Arial" w:hAnsi="Arial"/>
          <w:sz w:val="18"/>
          <w:szCs w:val="18"/>
          <w:color w:val="auto"/>
        </w:rPr>
      </w:pPr>
    </w:p>
    <w:p>
      <w:pPr>
        <w:ind w:left="980" w:hanging="324"/>
        <w:spacing w:after="0" w:line="26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 field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ind w:left="980" w:right="240" w:hanging="324"/>
        <w:spacing w:after="0" w:line="252"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repurposing existing content for digital signage experiences or creating new content, an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which the Company has won several design awards in recent years. In each instance, our services can be essential in helping clients develop an effective content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1" w:name="page32"/>
    <w:bookmarkEnd w:id="31"/>
    <w:p>
      <w:pPr>
        <w:ind w:left="324" w:right="80" w:hanging="324"/>
        <w:spacing w:after="0" w:line="26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ind w:left="324" w:right="240" w:hanging="324"/>
        <w:spacing w:after="0" w:line="26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9" w:lineRule="exact"/>
        <w:rPr>
          <w:rFonts w:ascii="Arial" w:cs="Arial" w:eastAsia="Arial" w:hAnsi="Arial"/>
          <w:sz w:val="18"/>
          <w:szCs w:val="18"/>
          <w:color w:val="auto"/>
        </w:rPr>
      </w:pPr>
    </w:p>
    <w:p>
      <w:pPr>
        <w:ind w:left="324" w:right="280" w:hanging="324"/>
        <w:spacing w:after="0" w:line="314"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Media sales </w:t>
      </w:r>
      <w:r>
        <w:rPr>
          <w:rFonts w:ascii="Arial" w:cs="Arial" w:eastAsia="Arial" w:hAnsi="Arial"/>
          <w:sz w:val="16"/>
          <w:szCs w:val="16"/>
          <w:color w:val="auto"/>
        </w:rPr>
        <w:t>– Few, if any other digital signage solution providers, can offer their clients media sales as a service. We have in-house media</w:t>
      </w:r>
      <w:r>
        <w:rPr>
          <w:rFonts w:ascii="Arial" w:cs="Arial" w:eastAsia="Arial" w:hAnsi="Arial"/>
          <w:sz w:val="16"/>
          <w:szCs w:val="16"/>
          <w:b w:val="1"/>
          <w:bCs w:val="1"/>
          <w:color w:val="auto"/>
        </w:rPr>
        <w:t xml:space="preserve"> </w:t>
      </w:r>
      <w:r>
        <w:rPr>
          <w:rFonts w:ascii="Arial" w:cs="Arial" w:eastAsia="Arial" w:hAnsi="Arial"/>
          <w:sz w:val="16"/>
          <w:szCs w:val="16"/>
          <w:color w:val="auto"/>
        </w:rPr>
        <w:t>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141" w:lineRule="exact"/>
        <w:rPr>
          <w:rFonts w:ascii="Arial" w:cs="Arial" w:eastAsia="Arial" w:hAnsi="Arial"/>
          <w:sz w:val="16"/>
          <w:szCs w:val="16"/>
          <w:color w:val="auto"/>
        </w:rPr>
      </w:pPr>
    </w:p>
    <w:p>
      <w:pPr>
        <w:ind w:left="324" w:right="80" w:hanging="324"/>
        <w:spacing w:after="0" w:line="303"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Market sector expertise </w:t>
      </w:r>
      <w:r>
        <w:rPr>
          <w:rFonts w:ascii="Arial" w:cs="Arial" w:eastAsia="Arial" w:hAnsi="Arial"/>
          <w:sz w:val="16"/>
          <w:szCs w:val="16"/>
          <w:color w:val="auto"/>
        </w:rPr>
        <w:t>– Creative Realities has in-house experts in key market segments such as automotive, retail, quick-serve restaurants</w:t>
      </w:r>
      <w:r>
        <w:rPr>
          <w:rFonts w:ascii="Arial" w:cs="Arial" w:eastAsia="Arial" w:hAnsi="Arial"/>
          <w:sz w:val="16"/>
          <w:szCs w:val="16"/>
          <w:b w:val="1"/>
          <w:bCs w:val="1"/>
          <w:color w:val="auto"/>
        </w:rPr>
        <w:t xml:space="preserve"> </w:t>
      </w:r>
      <w:r>
        <w:rPr>
          <w:rFonts w:ascii="Arial" w:cs="Arial" w:eastAsia="Arial" w:hAnsi="Arial"/>
          <w:sz w:val="16"/>
          <w:szCs w:val="16"/>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50" w:lineRule="exact"/>
        <w:rPr>
          <w:rFonts w:ascii="Arial" w:cs="Arial" w:eastAsia="Arial" w:hAnsi="Arial"/>
          <w:sz w:val="16"/>
          <w:szCs w:val="16"/>
          <w:color w:val="auto"/>
        </w:rPr>
      </w:pPr>
    </w:p>
    <w:p>
      <w:pPr>
        <w:ind w:left="324" w:right="160" w:hanging="324"/>
        <w:spacing w:after="0" w:line="347"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Logistics </w:t>
      </w:r>
      <w:r>
        <w:rPr>
          <w:rFonts w:ascii="Arial" w:cs="Arial" w:eastAsia="Arial" w:hAnsi="Arial"/>
          <w:sz w:val="16"/>
          <w:szCs w:val="16"/>
          <w:color w:val="auto"/>
        </w:rPr>
        <w:t>– Implementing a large digital signage project can be a logistics nightmare that can stall an initiative even before deployment. Our</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in logistics improves deployment efficiency, reduces delays and problems, and saves customers time and money.</w:t>
      </w:r>
    </w:p>
    <w:p>
      <w:pPr>
        <w:spacing w:after="0" w:line="115" w:lineRule="exact"/>
        <w:rPr>
          <w:rFonts w:ascii="Arial" w:cs="Arial" w:eastAsia="Arial" w:hAnsi="Arial"/>
          <w:sz w:val="16"/>
          <w:szCs w:val="16"/>
          <w:color w:val="auto"/>
        </w:rPr>
      </w:pPr>
    </w:p>
    <w:p>
      <w:pPr>
        <w:ind w:left="324" w:right="140" w:hanging="324"/>
        <w:spacing w:after="0" w:line="26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9" w:lineRule="exact"/>
        <w:rPr>
          <w:rFonts w:ascii="Arial" w:cs="Arial" w:eastAsia="Arial" w:hAnsi="Arial"/>
          <w:sz w:val="18"/>
          <w:szCs w:val="18"/>
          <w:color w:val="auto"/>
        </w:rPr>
      </w:pPr>
    </w:p>
    <w:p>
      <w:pPr>
        <w:ind w:left="324" w:hanging="324"/>
        <w:spacing w:after="0" w:line="26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ind w:left="324" w:right="160" w:hanging="324"/>
        <w:spacing w:after="0" w:line="26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9"/>
          <w:szCs w:val="19"/>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13" w:lineRule="exact"/>
        <w:rPr>
          <w:rFonts w:ascii="Arial" w:cs="Arial" w:eastAsia="Arial" w:hAnsi="Arial"/>
          <w:sz w:val="19"/>
          <w:szCs w:val="19"/>
          <w:color w:val="auto"/>
        </w:rPr>
      </w:pPr>
    </w:p>
    <w:p>
      <w:pPr>
        <w:ind w:left="980" w:right="2300" w:hanging="324"/>
        <w:spacing w:after="0" w:line="457"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18"/>
          <w:szCs w:val="18"/>
          <w:color w:val="auto"/>
        </w:rPr>
        <w:t xml:space="preserve">Services revenue from helping customers design, deploy and manage their digital signage network, including: </w:t>
      </w:r>
      <w:r>
        <w:rPr>
          <w:rFonts w:ascii="Courier New" w:cs="Courier New" w:eastAsia="Courier New" w:hAnsi="Courier New"/>
          <w:sz w:val="18"/>
          <w:szCs w:val="18"/>
          <w:color w:val="auto"/>
        </w:rPr>
        <w:t xml:space="preserve">o </w:t>
      </w:r>
      <w:r>
        <w:rPr>
          <w:rFonts w:ascii="Arial" w:cs="Arial" w:eastAsia="Arial" w:hAnsi="Arial"/>
          <w:sz w:val="18"/>
          <w:szCs w:val="18"/>
          <w:color w:val="auto"/>
        </w:rPr>
        <w:t>Hardware system design/engineering</w:t>
      </w:r>
    </w:p>
    <w:p>
      <w:pPr>
        <w:spacing w:after="0" w:line="1" w:lineRule="exact"/>
        <w:rPr>
          <w:rFonts w:ascii="Arial" w:cs="Arial" w:eastAsia="Arial" w:hAnsi="Arial"/>
          <w:sz w:val="20"/>
          <w:szCs w:val="20"/>
          <w:color w:val="auto"/>
        </w:rPr>
      </w:pPr>
    </w:p>
    <w:p>
      <w:pPr>
        <w:jc w:val="both"/>
        <w:ind w:left="980" w:right="8320"/>
        <w:spacing w:after="0" w:line="492" w:lineRule="auto"/>
        <w:rPr>
          <w:rFonts w:ascii="Arial" w:cs="Arial" w:eastAsia="Arial" w:hAnsi="Arial"/>
          <w:sz w:val="20"/>
          <w:szCs w:val="20"/>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Hardware installation</w:t>
      </w:r>
      <w:r>
        <w:rPr>
          <w:rFonts w:ascii="Courier New" w:cs="Courier New" w:eastAsia="Courier New" w:hAnsi="Courier New"/>
          <w:sz w:val="17"/>
          <w:szCs w:val="17"/>
          <w:color w:val="auto"/>
        </w:rPr>
        <w:t xml:space="preserve"> o </w:t>
      </w:r>
      <w:r>
        <w:rPr>
          <w:rFonts w:ascii="Arial" w:cs="Arial" w:eastAsia="Arial" w:hAnsi="Arial"/>
          <w:sz w:val="17"/>
          <w:szCs w:val="17"/>
          <w:color w:val="auto"/>
        </w:rPr>
        <w:t>Content development</w:t>
      </w:r>
      <w:r>
        <w:rPr>
          <w:rFonts w:ascii="Courier New" w:cs="Courier New" w:eastAsia="Courier New" w:hAnsi="Courier New"/>
          <w:sz w:val="17"/>
          <w:szCs w:val="17"/>
          <w:color w:val="auto"/>
        </w:rPr>
        <w:t xml:space="preserve"> o </w:t>
      </w:r>
      <w:r>
        <w:rPr>
          <w:rFonts w:ascii="Arial" w:cs="Arial" w:eastAsia="Arial" w:hAnsi="Arial"/>
          <w:sz w:val="17"/>
          <w:szCs w:val="17"/>
          <w:color w:val="auto"/>
        </w:rPr>
        <w:t>Content scheduling</w:t>
      </w:r>
    </w:p>
    <w:p>
      <w:pPr>
        <w:spacing w:after="0" w:line="1"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Post-deployment network and field support</w:t>
      </w:r>
    </w:p>
    <w:p>
      <w:pPr>
        <w:spacing w:after="0" w:line="209"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Media sales, as a result of our acquisition of Reflect</w:t>
      </w:r>
    </w:p>
    <w:p>
      <w:pPr>
        <w:spacing w:after="0" w:line="209" w:lineRule="exact"/>
        <w:rPr>
          <w:rFonts w:ascii="Arial" w:cs="Arial" w:eastAsia="Arial" w:hAnsi="Arial"/>
          <w:sz w:val="20"/>
          <w:szCs w:val="20"/>
          <w:color w:val="auto"/>
        </w:rPr>
      </w:pPr>
    </w:p>
    <w:p>
      <w:pPr>
        <w:ind w:left="980" w:hanging="324"/>
        <w:spacing w:after="0" w:line="250"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88"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33" w:lineRule="exact"/>
        <w:rPr>
          <w:rFonts w:ascii="Arial" w:cs="Arial" w:eastAsia="Arial" w:hAnsi="Arial"/>
          <w:sz w:val="20"/>
          <w:szCs w:val="20"/>
          <w:color w:val="auto"/>
        </w:rPr>
      </w:pPr>
    </w:p>
    <w:p>
      <w:pPr>
        <w:ind w:left="1300" w:right="20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w:t>
      </w:r>
      <w:r>
        <w:rPr>
          <w:rFonts w:ascii="Courier New" w:cs="Courier New" w:eastAsia="Courier New" w:hAnsi="Courier New"/>
          <w:sz w:val="18"/>
          <w:szCs w:val="18"/>
          <w:color w:val="auto"/>
        </w:rPr>
        <w:t xml:space="preserve"> </w:t>
      </w:r>
      <w:r>
        <w:rPr>
          <w:rFonts w:ascii="Arial" w:cs="Arial" w:eastAsia="Arial" w:hAnsi="Arial"/>
          <w:sz w:val="18"/>
          <w:szCs w:val="18"/>
          <w:color w:val="auto"/>
        </w:rPr>
        <w:t>devices, while still maintaining centralized programming control</w:t>
      </w:r>
    </w:p>
    <w:p>
      <w:pPr>
        <w:spacing w:after="0" w:line="194" w:lineRule="exact"/>
        <w:rPr>
          <w:rFonts w:ascii="Arial" w:cs="Arial" w:eastAsia="Arial" w:hAnsi="Arial"/>
          <w:sz w:val="20"/>
          <w:szCs w:val="20"/>
          <w:color w:val="auto"/>
        </w:rPr>
      </w:pPr>
    </w:p>
    <w:p>
      <w:pPr>
        <w:ind w:left="1300" w:right="40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w:t>
      </w:r>
      <w:r>
        <w:rPr>
          <w:rFonts w:ascii="Courier New" w:cs="Courier New" w:eastAsia="Courier New" w:hAnsi="Courier New"/>
          <w:sz w:val="18"/>
          <w:szCs w:val="18"/>
          <w:color w:val="auto"/>
        </w:rPr>
        <w:t xml:space="preserve"> </w:t>
      </w:r>
      <w:r>
        <w:rPr>
          <w:rFonts w:ascii="Arial" w:cs="Arial" w:eastAsia="Arial" w:hAnsi="Arial"/>
          <w:sz w:val="18"/>
          <w:szCs w:val="18"/>
          <w:color w:val="auto"/>
        </w:rPr>
        <w:t>million ads daily</w:t>
      </w:r>
    </w:p>
    <w:p>
      <w:pPr>
        <w:spacing w:after="0" w:line="194" w:lineRule="exact"/>
        <w:rPr>
          <w:rFonts w:ascii="Arial" w:cs="Arial" w:eastAsia="Arial" w:hAnsi="Arial"/>
          <w:sz w:val="20"/>
          <w:szCs w:val="20"/>
          <w:color w:val="auto"/>
        </w:rPr>
      </w:pPr>
    </w:p>
    <w:p>
      <w:pPr>
        <w:ind w:left="1300" w:right="6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w:t>
      </w:r>
      <w:r>
        <w:rPr>
          <w:rFonts w:ascii="Courier New" w:cs="Courier New" w:eastAsia="Courier New" w:hAnsi="Courier New"/>
          <w:sz w:val="18"/>
          <w:szCs w:val="18"/>
          <w:color w:val="auto"/>
        </w:rPr>
        <w:t xml:space="preserve"> </w:t>
      </w:r>
      <w:r>
        <w:rPr>
          <w:rFonts w:ascii="Arial" w:cs="Arial" w:eastAsia="Arial" w:hAnsi="Arial"/>
          <w:sz w:val="18"/>
          <w:szCs w:val="18"/>
          <w:color w:val="auto"/>
        </w:rPr>
        <w:t>applications</w:t>
      </w:r>
    </w:p>
    <w:p>
      <w:pPr>
        <w:spacing w:after="0" w:line="194" w:lineRule="exact"/>
        <w:rPr>
          <w:rFonts w:ascii="Arial" w:cs="Arial" w:eastAsia="Arial" w:hAnsi="Arial"/>
          <w:sz w:val="20"/>
          <w:szCs w:val="20"/>
          <w:color w:val="auto"/>
        </w:rPr>
      </w:pPr>
    </w:p>
    <w:p>
      <w:pPr>
        <w:ind w:left="1300" w:right="14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w:t>
      </w:r>
      <w:r>
        <w:rPr>
          <w:rFonts w:ascii="Courier New" w:cs="Courier New" w:eastAsia="Courier New" w:hAnsi="Courier New"/>
          <w:sz w:val="18"/>
          <w:szCs w:val="18"/>
          <w:color w:val="auto"/>
        </w:rPr>
        <w:t xml:space="preserve"> </w:t>
      </w:r>
      <w:r>
        <w:rPr>
          <w:rFonts w:ascii="Arial" w:cs="Arial" w:eastAsia="Arial" w:hAnsi="Arial"/>
          <w:sz w:val="18"/>
          <w:szCs w:val="18"/>
          <w:color w:val="auto"/>
        </w:rPr>
        <w:t>mobile device</w:t>
      </w:r>
    </w:p>
    <w:p>
      <w:pPr>
        <w:spacing w:after="0" w:line="194" w:lineRule="exact"/>
        <w:rPr>
          <w:rFonts w:ascii="Arial" w:cs="Arial" w:eastAsia="Arial" w:hAnsi="Arial"/>
          <w:sz w:val="20"/>
          <w:szCs w:val="20"/>
          <w:color w:val="auto"/>
        </w:rPr>
      </w:pPr>
    </w:p>
    <w:p>
      <w:pPr>
        <w:ind w:left="1300" w:right="380" w:hanging="324"/>
        <w:spacing w:after="0" w:line="244"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w:t>
      </w:r>
      <w:r>
        <w:rPr>
          <w:rFonts w:ascii="Courier New" w:cs="Courier New" w:eastAsia="Courier New" w:hAnsi="Courier New"/>
          <w:sz w:val="18"/>
          <w:szCs w:val="18"/>
          <w:color w:val="auto"/>
        </w:rPr>
        <w:t xml:space="preserve"> </w:t>
      </w:r>
      <w:r>
        <w:rPr>
          <w:rFonts w:ascii="Arial" w:cs="Arial" w:eastAsia="Arial" w:hAnsi="Arial"/>
          <w:sz w:val="18"/>
          <w:szCs w:val="18"/>
          <w:color w:val="auto"/>
        </w:rPr>
        <w:t>sector, which integrates with dozens of key data services including dealer inventory at the VIN level</w:t>
      </w:r>
    </w:p>
    <w:p>
      <w:pPr>
        <w:spacing w:after="0" w:line="195" w:lineRule="exact"/>
        <w:rPr>
          <w:sz w:val="20"/>
          <w:szCs w:val="20"/>
          <w:color w:val="auto"/>
        </w:rPr>
      </w:pPr>
    </w:p>
    <w:p>
      <w:pPr>
        <w:ind w:left="1300" w:right="360" w:hanging="320"/>
        <w:spacing w:after="0" w:line="294" w:lineRule="auto"/>
        <w:tabs>
          <w:tab w:leader="none" w:pos="1300" w:val="left"/>
        </w:tabs>
        <w:numPr>
          <w:ilvl w:val="0"/>
          <w:numId w:val="32"/>
        </w:numPr>
        <w:rPr>
          <w:rFonts w:ascii="Courier New" w:cs="Courier New" w:eastAsia="Courier New" w:hAnsi="Courier New"/>
          <w:sz w:val="17"/>
          <w:szCs w:val="17"/>
          <w:color w:val="auto"/>
        </w:rPr>
      </w:pPr>
      <w:r>
        <w:rPr>
          <w:rFonts w:ascii="Arial" w:cs="Arial" w:eastAsia="Arial" w:hAnsi="Arial"/>
          <w:sz w:val="17"/>
          <w:szCs w:val="17"/>
          <w:b w:val="1"/>
          <w:bCs w:val="1"/>
          <w:color w:val="auto"/>
        </w:rPr>
        <w:t>OSx+</w:t>
      </w:r>
      <w:r>
        <w:rPr>
          <w:rFonts w:ascii="Arial" w:cs="Arial" w:eastAsia="Arial" w:hAnsi="Arial"/>
          <w:sz w:val="17"/>
          <w:szCs w:val="17"/>
          <w:color w:val="auto"/>
        </w:rPr>
        <w:t>, a digital VIN-level checklist used to assist in the tracking and delivery of new vehicles in the transportation sector,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measurable lift in customer satisfaction scores and connected vehicle enrollments and subscription activations.</w:t>
      </w:r>
    </w:p>
    <w:p>
      <w:pPr>
        <w:spacing w:after="0" w:line="15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Reflect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12, 2021, the Company and Reflect Systems, Inc., or “Reflect,” entered into an Agreement and Plan of Merger (as amended on February 8, 2022, the “Merger Agreement)” pursuant to which a direct, wholly owned subsidiary of Creative Realities, CRI Acquisition Corporation, or “Merger Sub,” would merge with and into Reflect, with Reflect surviving as a wholly owned subsidiary of Creative Realities, , which transaction is referred to herein as the “Merger.” On February 17, 2022, the parties consummated the Merger.</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Subject to the terms and conditions of the Merger Agreement, upon the closing of the Merger, Reflect stockholders as of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right="60" w:firstLine="8"/>
        <w:spacing w:after="0" w:line="273"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1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 all of which is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February 17, 2022, in connection with the closing of the Merger, the Company adopted a Retention Bonus Plan, pursuant to which the Company is required to pay to key members of Reflect’s management team an aggregate of $1,333 in cash, which was paid 50% at the closing of the Merger (the “Closing”), and subject to continuous employment with Reflect or Creative Realities, 25% on the one-year anniversary of Closing and 25% on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the one-year anniversary of Closing and the remaining 25% of the value of such shares will be issued on the two-year anniversary of the Closing. The shares issued on the Closing were valued at $2.00 per share, and the shares to be issued after the Closing will be determined based on dividing the value of shares issuable on such date divided by the trailing 10-day volume weighed average price (VWAP) of the shares as of such date as reported on the Nasdaq Capital Market.</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 The net proceeds from the Private Placement were used to fund, in part, payment of the closing cash consideration in the Merger.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Pre-Funded Warrant has an exercise price of $0.0001 per share, is exercisable immediately until the Pre-Funded Warrant is exercised in full.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Warrants expire five years from the date of issuance, have an exercise price of $1.41 per share and are exercisable immediately.</w:t>
      </w:r>
    </w:p>
    <w:p>
      <w:pPr>
        <w:spacing w:after="0" w:line="23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On February 17, 2022, in connection with obtaining a waiver of certain restrictions in the Securities Purchase Agreement in order to consummate the financing contemplated by the Credit Agreement (defined below), the Company paid consideration to such investor in the form of a warrant (the “Purchaser Warrant”) to purchase 1,400,000 shares of Company common stock.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expires five years from the date of issuance.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February 17, 2022, the Company and its subsidiaries (collectively, the “Borrowers”) refinanced their current debt facilities with Slipstream, pursuant to a Second Amended and Restated Credit and Security Agreement (the “Credit Agreement”). The Borrowers include Reflect, which became a wholly owned subsidiary of the Company as a result of the closing of the Merger. The debt facilities continue to be fully secured by all assets of the Borrowers.</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raised $10,000 in gross proceeds, or $9,950 in net proceeds, from entry into a new, 36-month senior secured term loan (the “Acquisition Loan”) with Slipstream as part of the Credit Agreement, which matures on February 17, 2025 (the “Maturity Date”). The Acquisition Loan has an interest rate of 8.0%, with 50.0% warrant coverage (or 2,500,000 warrants).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2,694,495 warrants).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Acquisition Loan and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Secured Promissory Note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February 17, 2022, pursuant to the terms of the Merger, the Company issued to RSI Exit Corporation (“Stockholders’ Representative”), the representative of Reflect stockholders, a $2,500 Note and Security Agreement (the “Secured Promissory Note”).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Secured Promissory Note accrues interest at 0.59% (the applicable federal rate) and requires the Company and Reflect to pay equal monthly principal installments of $104 on the fifteenth (15th) day of each month, commencing on March 17, 2022. Any remaining or unpaid principal shall be due and payable on February 15,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obligations of the Company and Reflect set forth in the Secured Promissory Note are secured by a first-lien security interest in various contracts of Reflect, together with all accounts arising under such contracts, supporting obligations related to the accounts arising under such contracts, all related books and records, and products and proceeds of the foregoing. Slipstream subordinated its security interest in such collateral, and the recourse for any breach of the Secured Promissory Note by the Company or Reflect will be against such collateral.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generate revenue through digital signage solution sales, which include system hardware, professional and implementation services, software design and development, software licensing, deployment, and maintenance and support services.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Our management is responsible for our financial statements and has evaluated the accounting policies to be used in their preparation. Our management believes these policies are reasonable and appropriate. The Company’s significant accounting policies are described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the Company’s Consolidated Financial Statements included within Part II, ITEM 8 of this Annual Report.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identifies those accounting policies that we believe are critical in the preparation of our financial statements, the judgments and uncertainties affecting the application of those policies and the possibility that materially different amounts will be reported under different conditions or using different assumptions.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that management make estimates and assumptions that affect the reported amounts of assets and liabilities and disclosure of commitments and contingencies at the date of the financial statements and the reported amounts of revenues and expenses during the reporting period. Our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recognized revenue in accordance with Financial Accounting Standards Board (“FASB”) Accounting Standards Codification (“ASC”)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we account for revenue using the following steps:</w:t>
      </w:r>
    </w:p>
    <w:p>
      <w:pPr>
        <w:spacing w:after="0" w:line="21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contract, or contracts, with a customer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Allocate the transaction price to the identified performance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 revenue when, or as, we satisfy our performance obligations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in our Consolidated Financial Statements, included in Part II, ITEM 8 of this Annual Report, for a complete discussion of our revenue recognition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have not made any material changes in the accounting methodology we use to measure the estimated liability for doubtful accounts during the past two fiscal years. The Company’s methodology for calculating the allowance for doubtful accounts consists of (1) reserving for specific receivables which (a) are known to be facing serious financial problems, (b) have a trade dispute with the Company, or (c) are significantly aged and/or unresponsive, and (2) a general reserve for unaged accounts receivable based on a percentage of revenue each period. We do not believe there is a reasonable likelihood that there will be a material change in the future estimates or assumptions we use to establish the liability for doubtful accounts. However, if actual results are not consistent with our estimates or assumptions, we may be exposed to losses or gains that could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Goodwill is evaluated for impairment annually as of September 30 and whenever events or circumstances make it more likely than not that impairment may have occurred. We have no other indefinite-lived intangible assets. We test goodwill for impairment by comparing the book value to the fair value at the reporting unit level. We have only one reporting unit, and therefore the entire goodwill is allocated to that reporting unit. The fair value of the reporting unit is determined by using a discounted cash flow analyses consisting of various assumptions, including expectations of future cash flows based on projections or forecasts derived from analysis of business prospects and economic or market trends that may occur. We use these same expectations in other valuation models throughout the business. In addition to the discounted cash flow analysis, we utilize a leveraged buy-out model, trading comps and market capitalization to ultimately determine an estimated fair value of our reporting unit based on weighted average calculations from these models. We base our fair value estimates on assumptions we believe to be reasonable but that are unpredictable and inherently uncertain. If the carrying amount exceeds the fair value, further analysis is performed to measure the impairment loss.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37" w:name="page38"/>
    <w:bookmarkEnd w:id="37"/>
    <w:p>
      <w:pPr>
        <w:ind w:firstLine="648"/>
        <w:spacing w:after="0" w:line="342" w:lineRule="auto"/>
        <w:rPr>
          <w:sz w:val="20"/>
          <w:szCs w:val="20"/>
          <w:color w:val="auto"/>
        </w:rPr>
      </w:pPr>
      <w:r>
        <w:rPr>
          <w:rFonts w:ascii="Arial" w:cs="Arial" w:eastAsia="Arial" w:hAnsi="Arial"/>
          <w:sz w:val="16"/>
          <w:szCs w:val="16"/>
          <w:color w:val="auto"/>
        </w:rPr>
        <w:t>In addition, 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spacing w:after="0" w:line="12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During the first quarter of 2020, we determined that the reduced cash flow projections and the significant decline in our market capitalization as a result of the COVID-19 pandemic during the three months ended March 31, 2020 indicated that an impairment loss may have been incurred during the period. We qualitatively assessed and concluded that it was more likely than not that goodwill was impaired as of March 31, 2020. We reviewed our previous forecasts and assumptions based on our updated projections that were subject to various risks and uncertainties, including: (1) forecasted revenues, expenses and cash flows, including the duration and extent of impact to our business and our alliance partners from the COVID-19 pandemic, (2) current discount rates, (3) the reduction in our market capitalization, (4) changes to the regulatory environment and (5) the nature and amount of government support that will be provided. As a result of this qualitative assessment, we concluded that indicators of impairment were present. The subsequent quantitative interim impairment assessment of our goodwill as of March 31, 2020 resulted in recording an impairment of $10,646 as of March 31, 2020.</w:t>
      </w:r>
    </w:p>
    <w:p>
      <w:pPr>
        <w:spacing w:after="0" w:line="19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additional impairment was recorded during the remainder of 2020, nor as a result of our annual assessment completed as of September 30, 2021, and no indicators of impairment were identified as of December 31, 2021.</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not made any material changes in our reporting units or the accounting methodology we used to assess impairment of goodwill since September 30, 2021. The valuation of goodwill is subject to a high degree of judgment, uncertainty and complexity. We do not believe there is a reasonable likelihood that there will be a material change in the future estimates or assumptions we use to test for impairment losses on goodwill. However, if actual results are not consistent with our estimates or assumptions, we may be exposed to an impairment charge that could be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Accounting for income taxes requires recognition of deferred tax liabilities and assets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These deferred taxes are measured by applying the provisions of tax laws in effect at the balance sheet date, including the impact of the Tax Cuts and Jobs Act (the “Tax Act”) enacted on December 22,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in income the effect of a change in tax rates on deferred tax assets and liabilities in the period that includes the enactment date.</w:t>
      </w:r>
    </w:p>
    <w:p>
      <w:pPr>
        <w:spacing w:after="0" w:line="24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December 31, 2021, a full valuation allowance is recorded against our deferred tax. The valuation allowance is based, in part, on our estimate of future taxable income, the expected utilization of federal and state tax loss carryforwards, and credits and the expiration dates of such tax loss carryforwards. Significant assumptions are used in developing the analysis of future taxable income for purposes of determining the valuation allowance for deferred tax assets which, in our opinion, are reasonable under the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in our Consolidated Financial Statements included in Part II, ITEM 8 of this Annual Report, for a full description of recent accounting pronouncements, including the expected dates of adoption and estimated effects on results of operations and financial condition,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per-share information.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w w:val="92"/>
              </w:rPr>
              <w:t>Year Ended December 31,</w:t>
            </w:r>
          </w:p>
        </w:tc>
        <w:tc>
          <w:tcPr>
            <w:tcW w:w="320" w:type="dxa"/>
            <w:vAlign w:val="bottom"/>
          </w:tcPr>
          <w:p>
            <w:pPr>
              <w:spacing w:after="0"/>
              <w:rPr>
                <w:sz w:val="20"/>
                <w:szCs w:val="20"/>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10,080</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9,336</w:t>
            </w:r>
          </w:p>
        </w:tc>
        <w:tc>
          <w:tcPr>
            <w:tcW w:w="3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744</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1,676</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1,083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8,465</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(867)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Bad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expense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(10,646)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Deal and transaction</w:t>
            </w: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(2,549)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(16,082)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13,533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Gain/(loss) on fair value of debt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8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shd w:val="clear" w:color="auto" w:fill="CCEEFF"/>
          </w:tcPr>
          <w:p>
            <w:pPr>
              <w:spacing w:after="0"/>
              <w:rPr>
                <w:sz w:val="22"/>
                <w:szCs w:val="22"/>
                <w:color w:val="auto"/>
              </w:rPr>
            </w:pPr>
          </w:p>
        </w:tc>
        <w:tc>
          <w:tcPr>
            <w:tcW w:w="1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00" w:type="dxa"/>
            <w:vAlign w:val="bottom"/>
            <w:vMerge w:val="continue"/>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220" w:type="dxa"/>
            <w:vAlign w:val="bottom"/>
            <w:vMerge w:val="continue"/>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
        </w:trPr>
        <w:tc>
          <w:tcPr>
            <w:tcW w:w="4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Sales increased by $980, or 6%, in 2021 as compared to 2020 driven by an increase of $459 in hardware sales as compared to the same period in 2020, despite a decrease of $2,135 in the sale of our Safe Space Solutions products year-over-year, which launched in April 2020. Core digital signage sales (inclusive of hardware, installation, and services) expanded by $3,115 in 2021 despite constraints and headwinds due to limited supply chain availability of semiconductor chips delaying the delivery of digital displays and media players to the Company. The supply disruption for digital displays prevented the Company from delivery of hardware and execution of installation activities during the year. As of December 31, 2021, the Company had customer purchase orders for equipment and installation activities in excess of $1,000 which were delayed as a result of product availability. The Company expects to experience continued disruptions and delays related to fulfillment of inventory purchases from vendors during 2022, but we expect a full recovery in the timely availability of equipment no later than the end of the second quarter of 2022.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Gross profit increased $236 in absolute dollars to $8,357 in 2021 from $8,121 in 2020, or 3% through a combination of a 6% increase in revenue and a 1.2% reduction in gross margin percentage, driven by an increase in revenue from hardware revenue, which typically is a lower margin revenue stream than our services, as a percentage of total revenue in 2021 as compared to the prior year.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Sales and marketing expenses generally include the salaries, taxes, and benefits of our sales and marketing personnel, as well as trade show activities, travel, and other related sales and marketing costs. Sales and marketing expenses decreased by $523, or 31%, for the year ended December 31, 2021 as compared to the same period in 2020 driven by (1) a current year Employee Retention Credit of $232 related to the retention and payment of salaries to sales personnel throughout 2020 and 2021, which was all recorded when filed in 2021, (2) reduction of $105 in sales lead generation tools, and</w:t>
      </w:r>
    </w:p>
    <w:p>
      <w:pPr>
        <w:spacing w:after="0" w:line="1" w:lineRule="exact"/>
        <w:rPr>
          <w:sz w:val="20"/>
          <w:szCs w:val="20"/>
          <w:color w:val="auto"/>
        </w:rPr>
      </w:pPr>
    </w:p>
    <w:p>
      <w:pPr>
        <w:ind w:right="760" w:firstLine="8"/>
        <w:spacing w:after="0" w:line="290"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 of reduced personnel costs, partially offset by an increase of $47 on trade show activity and related travel costs following a return to participation in industry trade shows and events after the elimination of such costs in 2020 as a result of the COVID-19 pandemic.</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Research and development expenses decreased by $533, or 49%, for the year ended December 31, 2021 as compared to the same period in 2020 as the result of (1) a current year Employee Retention Credit of $196 related to the retention and payment of salaries to development personnel throughout 2020 and 2021, which was all recorded when filed in 2021, (2) a reduction in personnel costs during the period following reduced headcount and salary reductions in March 2020 through salary reinstatements in October 2021, and (3) an increase in capitalization of development activities for new features/functionality.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Total general and administrative expenses decreased by $867, or 10%, in 2021 compared to 2020. The decrease was driven by $694 of Employee Retention Credits related to the retention and payment of salaries to sales personnel throughout 2020 and 2021, each of which were recorded in 2021 when the tax credits were filed. Excluding the consideration of those Employee Retention Credits recorded in the period, total general and administrative expenses decreased $173, or 2%, during 2021 as compared to 2020. The comparable year-over-year expenses included reductions of (a) $262 in non-ERC-related personnel costs, including salaries, benefits, and travel-related expenses, (b) $334 in rent expense following closure, downsizing, or restructuring of four leases during 2020, and (c) reductions in legal expenses of $366 following settlement of the Amended and Restated Seller Note, partially offset by an increase in stock compensation amortization expense of $1,213 related to incremental employee and directors’ awards granted during 2020, which are being amortized over a nineteen (19) month remaining vesting period, and 2021, which are being amortized over twelve (12) and (24) month vesting periods, based on the grant date fair value calculated using the Black Scholes method. Personnel costs were reduced following completion of a reduction-in-force and salary reductions for remaining personnel in March 2020.</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Expenses related to the Company’s allowance for bad debts decreased by $1,105, or 133%, in 2021 as compared to 2020. This decrease was primarily driven by a cash recovery of $555 in 2021 related to a customer bankruptcy for which the Company previously recorded a reserve beginning in second quarter 2020. The remaining reduction was the result of reduced credits and cancellations in 2021 as compared to the prior year in which the COVID-19 pandemic resulted in material customer closures.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Depreciation and amortization expenses decreased by $110, or 7%, in 2021 compared to 2020. This decrease was the result of a trade name asset becoming fully amortized during 2020, while no amortization was recorded during the 2021. Depreciation was consistent in both periods.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Termination Expense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December 31, 2020, we exited our office facilities located in Dallas, TX. In ceasing use of these facilities, we recorded a one-time non-cash charge of $18. There were no such lease terminations during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xml:space="preserve"> to the Consolidated Financial Statements for a discussion of the Company’s interim impairment test and the non-cash impairment charge recorded in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 discussion of the Company’s debt and related interest expense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Settlement of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2021, (i) the full principal amount of the PPP Loan and the accrued interest of $1,552 were forgiven and recorded as a gain on settlement,</w:t>
      </w:r>
    </w:p>
    <w:p>
      <w:pPr>
        <w:spacing w:after="0" w:line="46" w:lineRule="exact"/>
        <w:rPr>
          <w:sz w:val="20"/>
          <w:szCs w:val="20"/>
          <w:color w:val="auto"/>
        </w:rPr>
      </w:pPr>
    </w:p>
    <w:p>
      <w:pPr>
        <w:ind w:firstLine="8"/>
        <w:spacing w:after="0" w:line="255"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settled the Amended and Restated Seller Note and related accrued interest for $100, recording a gain on settlement of $1,624, representing $1,538 related to the Amended and Restated Seller Note and $86 of related interest thereon, and (iii) the statute of limitations passed related to the remaining liability on a lease abandoned by the Company in 2015, resulting in a gain of $256.</w:t>
      </w:r>
    </w:p>
    <w:p>
      <w:pPr>
        <w:spacing w:after="0" w:line="19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During the year ended December 31, 2020, the Company settled and/or wrote off obligations of $348 for aggregate cash payments of $139 and recognized a gain of $209 related to legacy accounts payable deemed to no longer be legal obligations to vendors.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 that are included elsewhere in this Annual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1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7"/>
                <w:szCs w:val="17"/>
                <w:color w:val="auto"/>
              </w:rPr>
            </w:pPr>
          </w:p>
        </w:tc>
        <w:tc>
          <w:tcPr>
            <w:tcW w:w="9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Deal and transaction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1"/>
              <w:spacing w:after="0" w:line="198" w:lineRule="exact"/>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140" w:type="dxa"/>
            <w:vAlign w:val="bottom"/>
            <w:gridSpan w:val="2"/>
          </w:tcPr>
          <w:p>
            <w:pPr>
              <w:jc w:val="right"/>
              <w:ind w:right="381"/>
              <w:spacing w:after="0" w:line="198" w:lineRule="exact"/>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7"/>
                <w:szCs w:val="17"/>
                <w:color w:val="auto"/>
              </w:rPr>
            </w:pPr>
          </w:p>
        </w:tc>
        <w:tc>
          <w:tcPr>
            <w:tcW w:w="9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produced net income and positive cash flows from operating activities for the year ended December 31, 2021 but incurred a net loss and had negative cash flows from operating activities for the year ended December 31, 2020. As of December 31, 2021, we had cash and cash equivalents of $2,883 and a working capital surplus of $2,913.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As described more fully in the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section above, on February 3, 2022, the Company entered into the Securities Purchase Agreement pursuant to which the Company agreed to issue and sell 1,315,000 shares of the Company’s common stock and Common Stock Warrants to a Purchaser in a Private Placement transaction for gross proceeds of $11,000 before deducting placement agent fees and estimated offering expenses payable by the Company. The net proceeds from the Private Placement were used to fund, in part, payment of the closing cash consideration in the Merger.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February 17, 2022, the Company and its subsidiaries (collectively, the “Borrowers”) refinanced their current debt facilities with Slipstream, pursuant to the Credit Agreement, and raised $10,000 in gross proceeds with a maturity date of February 1, 2025.</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Consolidation Term Loan with a maturity date of February 1, 2025. On February 17, 2022, in connection with the closing of the acquisition of Reflect, the Company issued to RSI Exit Corporation (“Stockholders’ Representative”), the representative of Reflect stockholders, a $2,500 Note and Security Agreement (the “Secured Promissory Note”).</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Secured Promissory Note accrues interest at 0.59% (the applicable federal rate) and requires the Company and Reflect to pay equal monthly principal installments of $104 on the fifteenth (15th) day of each month, commencing on March 17, 2022, for twelve months with any remaining or unpaid principal due and payable on February 15, 2023.</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Management believes that, based on (i) the execution of the Equity Financing, (ii) the refinancing of our debt as part of the Debt Financing, including extension of the maturity date on our term loans, and (iii) our operational forecast through 2022 following completion of the Reflect Acquisition, that we can continue as a going concern through at least March 31, 2023. However, given our historical net losses and cash used in operating activities, we obtained a continued support letter from Slipstream through March 31, 2023. We can provide no assurance that our ongoing operational efforts will be successful which could have a material adverse effect on our results of operations and cash flows.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ind w:right="480" w:firstLine="648"/>
        <w:spacing w:after="0" w:line="342" w:lineRule="auto"/>
        <w:rPr>
          <w:sz w:val="20"/>
          <w:szCs w:val="20"/>
          <w:color w:val="auto"/>
        </w:rPr>
      </w:pPr>
      <w:r>
        <w:rPr>
          <w:rFonts w:ascii="Arial" w:cs="Arial" w:eastAsia="Arial" w:hAnsi="Arial"/>
          <w:sz w:val="16"/>
          <w:szCs w:val="16"/>
          <w:color w:val="auto"/>
        </w:rPr>
        <w:t xml:space="preserve">See Note 8 </w:t>
      </w:r>
      <w:r>
        <w:rPr>
          <w:rFonts w:ascii="Arial" w:cs="Arial" w:eastAsia="Arial" w:hAnsi="Arial"/>
          <w:sz w:val="16"/>
          <w:szCs w:val="16"/>
          <w:i w:val="1"/>
          <w:iCs w:val="1"/>
          <w:color w:val="auto"/>
        </w:rPr>
        <w:t>Loans Payable</w:t>
      </w:r>
      <w:r>
        <w:rPr>
          <w:rFonts w:ascii="Arial" w:cs="Arial" w:eastAsia="Arial" w:hAnsi="Arial"/>
          <w:sz w:val="16"/>
          <w:szCs w:val="16"/>
          <w:color w:val="auto"/>
        </w:rPr>
        <w:t xml:space="preserve"> to the Consolidated Financial Statements and the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section earlier in Item 7 for an additional discussion of the Company’s debt obligations and further discussion of the Company’s refinancing activities subsequent to December 31, 2021.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cash flows provided by / (used in) operating activities were $471 and $(3,530) for the years ended December 31, 2021 and 2020, respectively. Removing the effect of non-cash items, cash provided by operations in 2021 was $1,723, driven by an (1) increase in net customer/vendor deposits of $901 related to upfront cash collections/payments for large-scale projects, (2) increase in net accounts receivable and payables of $196 related to the timing of collections and payments for ongoing hardware and installation sales and purchases, and (3) a decrease in inventory of $471 as Safe Space Solutions inventory purchased in the prior year was sold in 2021, partially offset by a $338 decrease in deferred revenue.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cash used in investing activities during the year ended December 31, 2021 was $1,159 as compared to $657 for the same period in 2020. Uses of cash in the current and prior period relate primarily to internal and external costs associated with software development. We currently do not have any material commitments for capital expenditures as of December 31, 2021; however, we anticipate an increase in our capital expenditures of approximately $430 in excess of our historical trends through the first half of 2022 to maintain and enhance the software platform for our customers and to enhance revenue generating activities through the platform.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Net cash provided by financing activities during the years ended December 31, 2021 and 2020 was $1,745 and $3,479, respectively. The current year results were driven by completion of the Company’s registered direct offering, while the prior year results were driven by our receipt of a PPP Loan of $1,552 and proceeds from our at-the-market offering of $1,831, partially offset by no debt proceeds during the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2021, we did not engage in any off-balance sheet arrangements set forth in Item 303(a) (4) of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(“Exchange Act”), as of the end of the period covered by this Annual Report. Based on that evaluation, our management, including our Chief Executive Officer and Chief Financial Officer, concluded that our disclosure controls and procedures were effective as of December 31, 2021,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6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46"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evaluated the effectiveness of our internal control over financial reporting as of December 31, 2021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Based on our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those criteria, management believes that we maintained effective internal control over financial reporting as of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22, 2022, the Company issued a press release announcing its financial condition and results of operations for the three months and year ended December 31, 2021. A copy of the press release is furnished as Exhibit 99.1 and is incorporated by reference into this Item 9B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consists of Dennis McGill (Chairman), Richard Mills (CEO), David Bell, Donald Harris, and Stephen Nesbit.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name and position of each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74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McGill</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(Chairman)</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David Bell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A. Harris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Richard Mills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3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Stephen Nesbit</w:t>
            </w:r>
          </w:p>
        </w:tc>
        <w:tc>
          <w:tcPr>
            <w:tcW w:w="11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70</w:t>
            </w:r>
          </w:p>
        </w:tc>
        <w:tc>
          <w:tcPr>
            <w:tcW w:w="7740" w:type="dxa"/>
            <w:vAlign w:val="bottom"/>
            <w:gridSpan w:val="2"/>
            <w:shd w:val="clear" w:color="auto" w:fill="CCECFF"/>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Will Logan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biographies of the above-identified individuals are set forth below:</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b w:val="1"/>
          <w:bCs w:val="1"/>
          <w:i w:val="1"/>
          <w:iCs w:val="1"/>
          <w:color w:val="auto"/>
        </w:rPr>
        <w:t xml:space="preserve">Dennis McGill </w:t>
      </w:r>
      <w:r>
        <w:rPr>
          <w:rFonts w:ascii="Arial" w:cs="Arial" w:eastAsia="Arial" w:hAnsi="Arial"/>
          <w:sz w:val="16"/>
          <w:szCs w:val="16"/>
          <w:color w:val="auto"/>
        </w:rPr>
        <w:t>joined our Board of Directors in November 2019. Over the course of a 45-year career, Mr. McGill has served as a director,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or Chief Financial Officer of various public and private companies. From June 2015 to October 2017, Mr. McGill served as the President and CEO of ReCommunity Holdings II, Inc., the largest independent recycling processing company in the US, processing over 1.8 million tons of material annually and employing a team of 1,600 members. Mr. McGill served on the Board of Directors for Lighting Science Group Corp. (“LSGC”) from March 2015 to July 2017 while the company was publicly traded. Mr. McGill also served as the LSGC’s Interim Chief Operating Officer from June 2014 to September 2014 and as LSGC’s Interim Chief Financial Officer from July 2014 to December 2014. Mr. McGill joined Pegasus Capital as an operating advisor in December 2014 and remains in that capacity today. Since June 2014, Mr. McGill has also served on the board of directors of DGSE Companies, Inc., a company listed on the NYSE MKT that buys and sells jewelry, diamonds, fine watches, rare coins and currency (“DGSE”). Mr. McGill previously served on the board of directors of DGSE, ReCommunity Holdings, LP and Fiber Composites, LLC and served as the chairman of DGSE’s audit committee. From February 2013 to October 2013, Mr. McGill served as executive vice president and Chief Financial Officer of Heartland Automotive Services, Inc., where he actively participated with the senior management team to develop and roll-out a new business model. From September 2010 to February 2013, Mr. McGill served as executive vice president and Chief Financial Officer of Blockbuster LLC and was responsible for directing and managing various aspects of the Chapter 11 process. From March 2005 to July 2010, Mr. McGill served as executive vice president and Chief Financial Officer of Safety-Kleen Systems, Inc., during which time he led the company’s merger and acquisition efforts and grew the company from $0 to $160 million in EBITDA during his tenure. Mr. McGill holds a Bachelor of Science degree in Finance and Accounting and Master of Business Administration degree from the University of California, Berkeley and is a Certified Public Accountant in the state of California.</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David Bell </w:t>
      </w:r>
      <w:r>
        <w:rPr>
          <w:rFonts w:ascii="Arial" w:cs="Arial" w:eastAsia="Arial" w:hAnsi="Arial"/>
          <w:sz w:val="17"/>
          <w:szCs w:val="17"/>
          <w:color w:val="auto"/>
        </w:rPr>
        <w:t>joined our Board of Directors in August 2014 in connection with our acquisition of Creative Realities, LLC. Mr. Bell brings over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advertising and marketing industry experience to the board, including serving as CEO of three of the largest companies in the industry–Bozell Worldwide, True North Communications and The Interpublic Group of Companies, Inc. Since 2007, Mr. Bell has led Slipstream Communications, LLC which is an international company providing strategic branding, digital marketing, and public relations services and served as a Senior Advisor to Google Inc. from 2006 to 2009. Mr. Bell previously served as an Operating Advisor at Pegasus Capital Advisors. He is currently a Senior Advisor to AOL and has also served on the boards of multiple publicly traded companies, including Lighting Science Group Corporation and Point Blank Solutions, Inc., and Primedia, Inc., and served as President and CEO of The Interpublic Group of Companies Inc. from 2003 to 2005. Mr. Bell served as an independent director on the Board of Directors of Time, Inc. from June 2014 to January 2018.</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b w:val="1"/>
          <w:bCs w:val="1"/>
          <w:i w:val="1"/>
          <w:iCs w:val="1"/>
          <w:color w:val="auto"/>
        </w:rPr>
        <w:t xml:space="preserve">Donald A. Harris </w:t>
      </w:r>
      <w:r>
        <w:rPr>
          <w:rFonts w:ascii="Arial" w:cs="Arial" w:eastAsia="Arial" w:hAnsi="Arial"/>
          <w:sz w:val="16"/>
          <w:szCs w:val="16"/>
          <w:color w:val="auto"/>
        </w:rPr>
        <w:t>was appointed to our Board of Directors in August 2014 in connection with our acquisition of Broadcast International, Inc.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President of 1162 Management, and the General Partner of 5 Star Partnership, a private equity firm, since June 2006. Mr. Harris has been President and Chief Executive Officer of UbiquiTel Inc., a telecommunications company organized by Mr. Harris and other investors, since its inception in September 1999 and also its Chairman since May 2000. Mr. Harris served as the President of Comcast Cellular Communications Inc. from March 1992 to March 1997. Mr. Harris received a Bachelor of Science degree from the United States Military Academy and an MBA from Columbia University. Mr. Harris’s experience in the telecommunications industry and his association with private equity funding is valuable to the Company.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right="1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Richard Mills </w:t>
      </w:r>
      <w:r>
        <w:rPr>
          <w:rFonts w:ascii="Arial" w:cs="Arial" w:eastAsia="Arial" w:hAnsi="Arial"/>
          <w:sz w:val="16"/>
          <w:szCs w:val="16"/>
          <w:color w:val="auto"/>
        </w:rPr>
        <w:t>is currently our Chief Executive Officer and a member of our Board of Directors. Mr. Mills possesses over 32 years of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He was previously Chief Executive Officer of ConeXus World Global, a leading digital media services company, which he founded in 2010, and which was acquired by the Company. Prior to founding ConeXus, Mr. Mills was President and Director at Beacon Enterprise Solutions Group, Inc., a public telecom and technology infrastructure services provider. Previous to that, he joined publicly traded Pomeroy Computer Resources, Inc. in 1993 and served as Chief Operating Officer and a member of the Board of Directors from 1995 until 1999. Mr. Mills helped grow sales at Pomeroy during his time there from $100 million to $700 million. Mr. Mills was also a founder of Strategic Communications LLC.</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Stephen Nesbit </w:t>
      </w:r>
      <w:r>
        <w:rPr>
          <w:rFonts w:ascii="Arial" w:cs="Arial" w:eastAsia="Arial" w:hAnsi="Arial"/>
          <w:sz w:val="17"/>
          <w:szCs w:val="17"/>
          <w:color w:val="auto"/>
        </w:rPr>
        <w:t>has been in the digital signage and digital advertising industry for over 20 years. He is currently the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Prestonwood Trail Holdings LLC and has provided advisory services for companies in the Digital Signage and Digital Media Industry for the past 10 years. He has directed and advised projects in North America, Europe, Asia proper, Southeast Asia, the Middle East, Australia and Africa. Prior to founding Prestonwood Trail, Mr. Nesbit was the President/COO at Reflect Systems, a prominent software and services company in the Digital Signage business. He joined Reflect after serving as President/COO of MarketForward, the Global Digital Media Division owned by the Publicis Groupe S.A. in Paris France. Mr. Nesbit began his career in Digital Signage as the EVP Global Operations &amp; GM International Business for Next Generation Network. NGN was one of the first Digital Place Based Advertising companies in the industry before its sale to Anschutz Investments where the company changed its name to National Cinemedia (NASDAQ: NCMI). He began his career at IBM in the Data Processing Division holding various field and HQ management positions. Mr. Nesbit also held management and executive positions at Wang Labs and BBN Communications Inc., the communications company that was the original architect of the Internet. Mr. Nesbit holds an undergraduate degree from the University of Notre Dame and earned an MBA from the Indiana University Kelly Graduate School of Business.</w:t>
      </w:r>
    </w:p>
    <w:p>
      <w:pPr>
        <w:spacing w:after="0" w:line="18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b w:val="1"/>
          <w:bCs w:val="1"/>
          <w:i w:val="1"/>
          <w:iCs w:val="1"/>
          <w:color w:val="auto"/>
        </w:rPr>
        <w:t xml:space="preserve">Will Logan </w:t>
      </w:r>
      <w:r>
        <w:rPr>
          <w:rFonts w:ascii="Arial" w:cs="Arial" w:eastAsia="Arial" w:hAnsi="Arial"/>
          <w:sz w:val="16"/>
          <w:szCs w:val="16"/>
          <w:color w:val="auto"/>
        </w:rPr>
        <w:t>joined the Company as VP of Finance in November 2017 and was promoted to the position of Chief Financial Officer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16, 2018. From January 2007 until November 2017, Mr. Logan was employed by Ernst &amp; Young in the assurance services group where he primarily served large public companies, including a two-year international rotation in London, UK in the asset management practice. He brings over ten years of experience in SEC reporting, technical accounting matters and Sarbanes-Oxley compliance expertise as well as expertise in initial public offerings, acquisitions and integration. He has B.A. degrees in Accounting and Economics from Bellarmine University and is a Certified Public Accountant.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corporate bylaws, all of our directors serve for indefinite terms expiring upon the next annual meeting of our shareholders.</w:t>
      </w:r>
    </w:p>
    <w:p>
      <w:pPr>
        <w:spacing w:after="0" w:line="225"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When considering whether directors and nominees have the experience, qualifications, attributes and skills to enable the Board of Directors to satisfy its oversight responsibilities effectively in light of our business and structure, the Board of Directors focuses primarily on the industry and transactional experience, in addition to any unique skills or attributes associated with a director. With regard to Mr. McGill, the Board of Directors considered his background and experience with running and accelerating growth at public companies. With regard to Mr. Bell, the Board considered his deep experience within the advertising and marketing industries and his prior management of large enterprises. With regard to Mr. Mills, the Board of Directors considered his extensive background and experience in the industry. With regard to Mr. Harris, the Board of Directors considered his extensive experience in the telecommunications industry and association with private equity investors. Finally, with regard to Mr. Nesbit, the Board of Directors considered his extensive experience in the digital signage industry, having run several companies in the industry and acted as a consultant broadly for digital signage companies over the past twenty years.</w:t>
      </w:r>
    </w:p>
    <w:p>
      <w:pPr>
        <w:spacing w:after="0" w:line="18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Board of Directors has determined that there are presently three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ind w:right="80" w:firstLine="648"/>
        <w:spacing w:after="0" w:line="275" w:lineRule="auto"/>
        <w:rPr>
          <w:sz w:val="20"/>
          <w:szCs w:val="20"/>
          <w:color w:val="auto"/>
        </w:rPr>
      </w:pPr>
      <w:r>
        <w:rPr>
          <w:rFonts w:ascii="Arial" w:cs="Arial" w:eastAsia="Arial" w:hAnsi="Arial"/>
          <w:sz w:val="17"/>
          <w:szCs w:val="17"/>
          <w:color w:val="auto"/>
        </w:rPr>
        <w:t>The Board of Directors has determined that at least two members of the Board, Mr. McGill and Mr. Bell, qualify as an “audit committee financial expert” as that term is defined in Regulation S-K promulgated under the Securities Exchange Act of 1934. Each of Mr. McGill and Mr. Bell’s relevant experience in this regard is detailed above, which includes past employment experience in finance and through various Director roles at public companies, including experience on the Audit Committee for other publicly traded companies. Mr. Bell is deemed to be independent of the Company. The Board of Directors has determined that each director is able to read and understand fundamental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Board of Directors has created a standing Compensation Committee and Audit Committee. Messrs. Nesbit, Harris, and Bell serve on the Compensation Committee. Messrs. Bell, Harris and Nesbit serve on the Audit Committee. In the case of the Compensation Committee, Mr. Nesbit serves as chair, and in the case of the Audit Committee, Mr. Bell serves as chair. The Board of Directors has determined that at least one member of the Audit Committee, Mr. Bell, is an “audit committee financial expert” as that term is defined in Regulation S-K promulgated under the Securities Exchange Act of 1934. Mr. Bell’s relevant experience in this regard is detailed above. Mr. Bell, Mr. Harris and Mr. Nesbit qualify as “independent” member of the board as described above. The Board of Directors has determined that each director serving on the Audit Committee is able to read and understand fundamental financial statements.</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Board Members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Board of Directors has provided the following process for shareholders and interested parties to send communications to our board and/or individual directors. All communications should be addressed to Creative Realities, Inc., 13100 Magisterial Drive, Ste. 100, Louisville, KY 40223, Attention: Corporate Secretary. Communications to individual directors may also be made to such director at our company’s address. All communications sent to any individual director will be received directly by such individuals and will not be screened or reviewed by any company personnel. Any communications sent to the board in the care of the Corporate Secretary will be reviewed by the Corporate Secretary to ensure that such communications relate to the business of the company before being reviewed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(including our principal executive officer, principal financial officer, principal accounting officer or controller, and persons performing similar functions) and directors. Our Code of Business Conduct and Ethics satisfies the requirements of Item 406(b) of Regulation S-K. Our Code of Business Conduct and Ethics is available, free of charge, upon written request to our Corporate Secretary at 13100 Magisterial Drive, Ste. 100, Louisville, KY 40223.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The following table sets forth information concerning the compensation of our named executive officers for 2021 and 2020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table and footnotes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whole dollars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Non-Equity</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Incentive Plan</w:t>
            </w:r>
          </w:p>
        </w:tc>
        <w:tc>
          <w:tcPr>
            <w:tcW w:w="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Salary</w:t>
            </w:r>
          </w:p>
        </w:tc>
        <w:tc>
          <w:tcPr>
            <w:tcW w:w="66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Bonus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Compensation</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Compensation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rPr>
              <w:t>Name and Principal Position (a)</w:t>
            </w:r>
          </w:p>
        </w:tc>
        <w:tc>
          <w:tcPr>
            <w:tcW w:w="8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w:t>
            </w: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 (c)</w:t>
            </w:r>
          </w:p>
        </w:tc>
        <w:tc>
          <w:tcPr>
            <w:tcW w:w="8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 (d)</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Mills</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296,152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Chief Executive Officer and Director</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277,962</w:t>
            </w: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897,600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1,175,562</w:t>
            </w:r>
          </w:p>
        </w:tc>
      </w:t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Will Logan</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223,460</w:t>
            </w: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31,125</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254,585</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209,735</w:t>
            </w: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658,535</w:t>
            </w:r>
          </w:p>
        </w:tc>
      </w:tr>
    </w:tbl>
    <w:p>
      <w:pPr>
        <w:spacing w:after="0" w:line="20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Mills joined the Company effective October 15, 2015. Mr. Logan joined the Company effective November 2017.</w:t>
      </w:r>
    </w:p>
    <w:p>
      <w:pPr>
        <w:spacing w:after="0" w:line="225" w:lineRule="exact"/>
        <w:rPr>
          <w:rFonts w:ascii="Arial" w:cs="Arial" w:eastAsia="Arial" w:hAnsi="Arial"/>
          <w:sz w:val="18"/>
          <w:szCs w:val="18"/>
          <w:color w:val="auto"/>
        </w:rPr>
      </w:pPr>
    </w:p>
    <w:p>
      <w:pPr>
        <w:ind w:left="340" w:right="160" w:hanging="332"/>
        <w:spacing w:after="0" w:line="25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March 19, 2020 and in response to state and local authorities forcing many businesses to temporarily reduce or cease operations to slow the spread of the COVID-19 pandemic, the Company’s Board of Directors approved a six-month reduction of the salaries of the Chief Executive Officer and Chief Financial Officer by twenty percent (20%), thereby reducing the salaries payable to such officers in 2020 to $297,000 and $224,100, respectively. The salary reductions resulted in actual salaries to $277,962 and $209,735, respectively, during 2020. During 2021, the Company reinstated lost salaries one-third on each of April 1, July 1, and October 1, the final reinstate thereby increasing the compensation to its pre-pandemic levels of $330,000 and $249,000, respectively. The graded reinstatement resulted in actual salaries for Mr. Mills and Mr. Logan during 2021 of $296,152, and $223,460, respectively.</w:t>
      </w:r>
    </w:p>
    <w:p>
      <w:pPr>
        <w:spacing w:after="0" w:line="194"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There were two tranches of stock options issued to Mr. Mills and Mr. Logan during the year. 50% of the stock options awarded become exercisable in increments of 33 percent of the total shares purchasable under this issuance on June 1 annually, beginning in 2021 and ending in 2023. The fair value of the options on the grant date was $1.87 and was determined using the Black-Scholes model. The values included in the table above represent the number of shares awarded to Mr. Mills (480,000) and Mr. Logan (240,000) multiplied by the grant date fair value of the awards as of the grant date. These calculations exclude any value associated with an equal number of performance restricted stock options issued to both Mr. Mills and Mr. Logan which become exercisable in increments of 33 percent of the total shares purchasable under this issuance on June 1 annually, beginning in 2021 and ending in 2023,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No expense was recorded in 2020 as neither the revenue nor EBITDA target were achieved. The Company recorded stock compensation expense of $449,623 related to Mr. Mills and Mr. Logan for current year and catch-up expense related to the achievement of the EBITDA target in 2021. The revenue and EBITDA targets for the following years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Calendar Year</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Revenue Target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$32 million</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$35 million</w:t>
            </w: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$38 million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ind w:left="340" w:right="40" w:hanging="332"/>
        <w:spacing w:after="0" w:line="25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the employee stock option plan approved by the Board of Directors in May 2020, the Board of Directors also approved an employee bonus plan pursuant to which certain officers and other employees of the Company would be granted incentive compensation in the form of cash bonuses. In each of the calendar years 2020, 2021 and 2022, Mr. Mills was provided a target bonus of $165, or 50% of his base salary, and Mr. Logan was provided a target bonus of $62, or 25% of his base salary, subject to satisfying the same Company revenue and EBITDA targets for the applicable year on which vesting of performance-based share compensation were set. The Company targets for calendar year 2020 were not met and there was no impact on the Company’s financial statements of those awards during 2020. While the Company targets for revenue were not achieved in 2021, the EBTIDA target was achieved and the Company has accrued $114 in the Consolidated Balance Sheet as of December 31, 2021 related to this bonus plan.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right="240" w:firstLine="648"/>
        <w:spacing w:after="0" w:line="263" w:lineRule="auto"/>
        <w:rPr>
          <w:sz w:val="20"/>
          <w:szCs w:val="20"/>
          <w:color w:val="auto"/>
        </w:rPr>
      </w:pPr>
      <w:r>
        <w:rPr>
          <w:rFonts w:ascii="Arial" w:cs="Arial" w:eastAsia="Arial" w:hAnsi="Arial"/>
          <w:sz w:val="18"/>
          <w:szCs w:val="18"/>
          <w:color w:val="auto"/>
        </w:rPr>
        <w:t>The material terms of employment agreements of Richard Mills, Chief Executive Officer of Creative Realities, and Will Logan, Chief Financial Officer of the Company, including those adopted on November 12, 2021, and payments to be made upon a change in control are discussed below, in the narrative following “Employment Agreements.”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named executive officers are eligible for retirement benefits on the same terms as non-executives under the Company’s defined contribution 401(k) retirement plan. Employees may contribute pretax compensation to the plan in accordance with current maximum contribution levels proscribed by the Internal Revenue Service. Beginning on April 1, 2018 but suspended indefinitely as of March 19, 2020, the Company began contributing an employer contribution match of 50% of employee wages up to 6%, for an effective match of 3%. Creative Realities re-implemented the employer contribution match at the previous rate effective October 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Mills Employment Agreement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Creative Realities employed Richard Mills as Creative Realities Chief Executive Officer. Mr. Mills’ employment agreement was initially effective for a two-year term, which automatically renewed for additional one-year periods unless either Creative Realities or Mr. Mills elected not to extend the term. The agreement provided for an initial annual base salary of $270 subject to annual increases but generally not subject to decreases. Mr. Mills’ current annual base salary is $330. Under the agreement, Mr. Mills was eligible to participate in performance-based cash bonus or equity award plans for Creative Realities senior executives. Mr. Mills participated in Creative Realities employee benefit plans, policies, programs, prerequisites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any of which occur during the first year of Mr. Mills’ employment, Mr. Mills would have been entitled to receive a severance payment equal to six months of his base salary. After the one-year anniversary of his employment (the current term of Mr. Mills’ employment is beyond the one-year anniversary), the severance amount increased to 12 months of then-current base salary. The agreement provided that any severance payments would be paid in installments over the course of the severance. The agreement contained certain non-solicitation and non-competition provisions that continue after employment for a period of one year. The agreement also contained other customary restrictive and other covenants relating to the confidentiality of information, the ownership of inventions and other matters.</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Mr. Mills and Creative Realities entered into a new employment agreement on November 12, 2021. The employment agreement is effective for a one-year term, which automatically renews for additional one-year periods unless either Creative Realities or Mr. Mills elects not to extend the term. The agreement provides for an initial annual base salary of $330 subject to annual increases but generally not subject to decreases. The employment agreement provides that Mr. Mills’ annual base salary adjusts automatically upon the closing of the Merger to $450 subject to annual increases but not generally subject to decreases. Under the agreement, Mr. Mills is eligible to participate in performance-based cash bonus or equity award plans for Creative Realities senior executives. Mr. Mills will participate in Creative Realities employee benefit plans, policies, programs, perquisites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Mr. Mills will be entitled to receive aggregate severance payments equal to twelve months of his base salary. The agreement provides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Will Logan Employment Agreement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Will Logan, Creative Realities’ Chief Financial Officer, had an at-will employment arrangement with Creative Realities. Mr. Logan’s current annual base salary is $249. Mr. Logan participated in Creative Realities employee benefit plans, policies, programs, perquisites and arrangements to the extent he meets applicable eligibility requirements, and also received the stock options discussed under “Outstanding Equity Awards at Fiscal Year-End” below.</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Mr. Logan and Creative Realities entered into an employment agreement on November 12, 2021. The employment agreement is effective for a one-year term, which automatically renews for additional one-year periods unless either Creative Realities or Mr. Logan elects not to extend the term. The agreement provides for an initial annual base salary of $249 subject to annual increases but generally not subject to decreases. The employment agreement provides that Mr. Logan’s annual base salary adjusts automatically upon the closing of the Merger to $350, subject to annual increases but not generally subject to decreases, and Mr. Logan will receive a $75 cash bonus upon the closing of the Merger. The Merger closed on February 17, 2022. Under the agreement, Mr. Logan is eligible to participate in performance-based cash bonus or equity award plans for Creative Realities senior executives. Mr. Logan participates in Creative Realities employee benefit plans, policies, programs, prerequisites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Mr. Logan will be entitled to receive aggregate severance payments equal to six months of his base salary. The agreement provides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options and restricted stock awards held by Creative Realities named executive officers as of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Option Awards (a)</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Market value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or units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of</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stock</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Options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that has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0" w:type="dxa"/>
            <w:vAlign w:val="bottom"/>
            <w:gridSpan w:val="2"/>
          </w:tcPr>
          <w:p>
            <w:pPr>
              <w:jc w:val="center"/>
              <w:ind w:left="83"/>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not vested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not vested</w:t>
            </w: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Exercisable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Richard Mills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160,000</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320,000</w:t>
            </w:r>
          </w:p>
        </w:tc>
        <w:tc>
          <w:tcPr>
            <w:tcW w:w="2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(a)</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
                <w:szCs w:val="1"/>
                <w:color w:val="auto"/>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
                <w:szCs w:val="1"/>
                <w:color w:val="auto"/>
              </w:rPr>
              <w:t>2.53</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6/1/2030</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
                <w:szCs w:val="1"/>
                <w:color w:val="auto"/>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(a)</w:t>
            </w:r>
          </w:p>
        </w:tc>
        <w:tc>
          <w:tcPr>
            <w:tcW w:w="1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500" w:type="dxa"/>
            <w:vAlign w:val="bottom"/>
            <w:gridSpan w:val="3"/>
            <w:shd w:val="clear" w:color="auto" w:fill="CCEEFF"/>
          </w:tcPr>
          <w:p>
            <w:pPr>
              <w:jc w:val="right"/>
              <w:ind w:right="300"/>
              <w:spacing w:after="0" w:line="27" w:lineRule="exact"/>
              <w:rPr>
                <w:sz w:val="20"/>
                <w:szCs w:val="20"/>
                <w:color w:val="auto"/>
              </w:rPr>
            </w:pPr>
            <w:r>
              <w:rPr>
                <w:rFonts w:ascii="Arial" w:cs="Arial" w:eastAsia="Arial" w:hAnsi="Arial"/>
                <w:sz w:val="3"/>
                <w:szCs w:val="3"/>
                <w:color w:val="auto"/>
              </w:rPr>
              <w:t>160,000</w:t>
            </w:r>
          </w:p>
        </w:tc>
        <w:tc>
          <w:tcPr>
            <w:tcW w:w="110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320,000</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(b)</w:t>
            </w:r>
          </w:p>
        </w:tc>
        <w:tc>
          <w:tcPr>
            <w:tcW w:w="220" w:type="dxa"/>
            <w:vAlign w:val="bottom"/>
            <w:gridSpan w:val="2"/>
            <w:shd w:val="clear" w:color="auto" w:fill="CCEEFF"/>
          </w:tcPr>
          <w:p>
            <w:pPr>
              <w:jc w:val="right"/>
              <w:ind w:right="54"/>
              <w:spacing w:after="0" w:line="27" w:lineRule="exact"/>
              <w:rPr>
                <w:sz w:val="20"/>
                <w:szCs w:val="20"/>
                <w:color w:val="auto"/>
              </w:rPr>
            </w:pPr>
            <w:r>
              <w:rPr>
                <w:rFonts w:ascii="Arial" w:cs="Arial" w:eastAsia="Arial" w:hAnsi="Arial"/>
                <w:sz w:val="3"/>
                <w:szCs w:val="3"/>
                <w:color w:val="auto"/>
              </w:rPr>
              <w:t>$</w:t>
            </w:r>
          </w:p>
        </w:tc>
        <w:tc>
          <w:tcPr>
            <w:tcW w:w="1160" w:type="dxa"/>
            <w:vAlign w:val="bottom"/>
            <w:gridSpan w:val="2"/>
            <w:shd w:val="clear" w:color="auto" w:fill="CCEEFF"/>
          </w:tcPr>
          <w:p>
            <w:pPr>
              <w:ind w:left="640"/>
              <w:spacing w:after="0" w:line="27" w:lineRule="exact"/>
              <w:rPr>
                <w:sz w:val="20"/>
                <w:szCs w:val="20"/>
                <w:color w:val="auto"/>
              </w:rPr>
            </w:pPr>
            <w:r>
              <w:rPr>
                <w:rFonts w:ascii="Arial" w:cs="Arial" w:eastAsia="Arial" w:hAnsi="Arial"/>
                <w:sz w:val="3"/>
                <w:szCs w:val="3"/>
                <w:color w:val="auto"/>
              </w:rPr>
              <w:t>2.53</w:t>
            </w:r>
          </w:p>
        </w:tc>
        <w:tc>
          <w:tcPr>
            <w:tcW w:w="134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6/1/2030</w:t>
            </w:r>
          </w:p>
        </w:tc>
        <w:tc>
          <w:tcPr>
            <w:tcW w:w="1320" w:type="dxa"/>
            <w:vAlign w:val="bottom"/>
            <w:gridSpan w:val="2"/>
            <w:shd w:val="clear" w:color="auto" w:fill="CCEEFF"/>
          </w:tcPr>
          <w:p>
            <w:pPr>
              <w:ind w:left="1040"/>
              <w:spacing w:after="0" w:line="27" w:lineRule="exact"/>
              <w:rPr>
                <w:sz w:val="20"/>
                <w:szCs w:val="20"/>
                <w:color w:val="auto"/>
              </w:rPr>
            </w:pPr>
            <w:r>
              <w:rPr>
                <w:rFonts w:ascii="Arial" w:cs="Arial" w:eastAsia="Arial" w:hAnsi="Arial"/>
                <w:sz w:val="3"/>
                <w:szCs w:val="3"/>
                <w:color w:val="auto"/>
              </w:rPr>
              <w:t>-</w:t>
            </w:r>
          </w:p>
        </w:tc>
        <w:tc>
          <w:tcPr>
            <w:tcW w:w="122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201"/>
        </w:trPr>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(b)</w:t>
            </w:r>
          </w:p>
        </w:tc>
        <w:tc>
          <w:tcPr>
            <w:tcW w:w="1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3160" w:type="dxa"/>
            <w:vAlign w:val="bottom"/>
            <w:shd w:val="clear" w:color="auto" w:fill="CCEEFF"/>
          </w:tcPr>
          <w:p>
            <w:pPr>
              <w:spacing w:after="0"/>
              <w:rPr>
                <w:sz w:val="20"/>
                <w:szCs w:val="20"/>
                <w:color w:val="auto"/>
              </w:rPr>
            </w:pPr>
            <w:r>
              <w:rPr>
                <w:rFonts w:ascii="Arial" w:cs="Arial" w:eastAsia="Arial" w:hAnsi="Arial"/>
                <w:sz w:val="1"/>
                <w:szCs w:val="1"/>
                <w:color w:val="auto"/>
              </w:rPr>
              <w:t>Will Logan</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
                <w:szCs w:val="1"/>
                <w:color w:val="auto"/>
              </w:rPr>
              <w:t>19,167</w:t>
            </w:r>
          </w:p>
        </w:tc>
        <w:tc>
          <w:tcPr>
            <w:tcW w:w="110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(c)</w:t>
            </w:r>
          </w:p>
        </w:tc>
        <w:tc>
          <w:tcPr>
            <w:tcW w:w="220" w:type="dxa"/>
            <w:vAlign w:val="bottom"/>
            <w:gridSpan w:val="2"/>
            <w:shd w:val="clear" w:color="auto" w:fill="CCEEFF"/>
          </w:tcPr>
          <w:p>
            <w:pPr>
              <w:jc w:val="right"/>
              <w:ind w:right="54"/>
              <w:spacing w:after="0"/>
              <w:rPr>
                <w:sz w:val="20"/>
                <w:szCs w:val="20"/>
                <w:color w:val="auto"/>
              </w:rPr>
            </w:pPr>
            <w:r>
              <w:rPr>
                <w:rFonts w:ascii="Arial" w:cs="Arial" w:eastAsia="Arial" w:hAnsi="Arial"/>
                <w:sz w:val="1"/>
                <w:szCs w:val="1"/>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
                <w:szCs w:val="1"/>
                <w:color w:val="auto"/>
              </w:rPr>
              <w:t>8.70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11/6/2027</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
                <w:sz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90"/>
        </w:trPr>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(c)</w:t>
            </w:r>
          </w:p>
        </w:tc>
        <w:tc>
          <w:tcPr>
            <w:tcW w:w="1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gridSpan w:val="2"/>
            <w:shd w:val="clear" w:color="auto" w:fill="CCEEFF"/>
          </w:tcPr>
          <w:p>
            <w:pPr>
              <w:jc w:val="right"/>
              <w:ind w:right="300"/>
              <w:spacing w:after="0" w:line="27" w:lineRule="exact"/>
              <w:rPr>
                <w:sz w:val="20"/>
                <w:szCs w:val="20"/>
                <w:color w:val="auto"/>
              </w:rPr>
            </w:pPr>
            <w:r>
              <w:rPr>
                <w:rFonts w:ascii="Arial" w:cs="Arial" w:eastAsia="Arial" w:hAnsi="Arial"/>
                <w:sz w:val="3"/>
                <w:szCs w:val="3"/>
                <w:color w:val="auto"/>
              </w:rPr>
              <w:t>12,500</w:t>
            </w:r>
          </w:p>
        </w:tc>
        <w:tc>
          <w:tcPr>
            <w:tcW w:w="110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4,167</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(d)</w:t>
            </w:r>
          </w:p>
        </w:tc>
        <w:tc>
          <w:tcPr>
            <w:tcW w:w="220" w:type="dxa"/>
            <w:vAlign w:val="bottom"/>
            <w:gridSpan w:val="2"/>
            <w:shd w:val="clear" w:color="auto" w:fill="CCEEFF"/>
          </w:tcPr>
          <w:p>
            <w:pPr>
              <w:jc w:val="right"/>
              <w:ind w:right="54"/>
              <w:spacing w:after="0" w:line="27" w:lineRule="exact"/>
              <w:rPr>
                <w:sz w:val="20"/>
                <w:szCs w:val="20"/>
                <w:color w:val="auto"/>
              </w:rPr>
            </w:pPr>
            <w:r>
              <w:rPr>
                <w:rFonts w:ascii="Arial" w:cs="Arial" w:eastAsia="Arial" w:hAnsi="Arial"/>
                <w:sz w:val="3"/>
                <w:szCs w:val="3"/>
                <w:color w:val="auto"/>
              </w:rPr>
              <w:t>$</w:t>
            </w:r>
          </w:p>
        </w:tc>
        <w:tc>
          <w:tcPr>
            <w:tcW w:w="1160" w:type="dxa"/>
            <w:vAlign w:val="bottom"/>
            <w:gridSpan w:val="2"/>
            <w:shd w:val="clear" w:color="auto" w:fill="CCEEFF"/>
          </w:tcPr>
          <w:p>
            <w:pPr>
              <w:ind w:left="640"/>
              <w:spacing w:after="0" w:line="27" w:lineRule="exact"/>
              <w:rPr>
                <w:sz w:val="20"/>
                <w:szCs w:val="20"/>
                <w:color w:val="auto"/>
              </w:rPr>
            </w:pPr>
            <w:r>
              <w:rPr>
                <w:rFonts w:ascii="Arial" w:cs="Arial" w:eastAsia="Arial" w:hAnsi="Arial"/>
                <w:sz w:val="3"/>
                <w:szCs w:val="3"/>
                <w:color w:val="auto"/>
              </w:rPr>
              <w:t>7.50</w:t>
            </w:r>
          </w:p>
        </w:tc>
        <w:tc>
          <w:tcPr>
            <w:tcW w:w="134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9/20/2028</w:t>
            </w:r>
          </w:p>
        </w:tc>
        <w:tc>
          <w:tcPr>
            <w:tcW w:w="1320" w:type="dxa"/>
            <w:vAlign w:val="bottom"/>
            <w:gridSpan w:val="2"/>
            <w:shd w:val="clear" w:color="auto" w:fill="CCEEFF"/>
          </w:tcPr>
          <w:p>
            <w:pPr>
              <w:ind w:left="1040"/>
              <w:spacing w:after="0" w:line="27" w:lineRule="exact"/>
              <w:rPr>
                <w:sz w:val="20"/>
                <w:szCs w:val="20"/>
                <w:color w:val="auto"/>
              </w:rPr>
            </w:pPr>
            <w:r>
              <w:rPr>
                <w:rFonts w:ascii="Arial" w:cs="Arial" w:eastAsia="Arial" w:hAnsi="Arial"/>
                <w:sz w:val="3"/>
                <w:szCs w:val="3"/>
                <w:color w:val="auto"/>
              </w:rPr>
              <w:t>-</w:t>
            </w:r>
          </w:p>
        </w:tc>
        <w:tc>
          <w:tcPr>
            <w:tcW w:w="122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(d)</w:t>
            </w:r>
          </w:p>
        </w:tc>
        <w:tc>
          <w:tcPr>
            <w:tcW w:w="1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gridSpan w:val="2"/>
            <w:shd w:val="clear" w:color="auto" w:fill="CCEEFF"/>
          </w:tcPr>
          <w:p>
            <w:pPr>
              <w:jc w:val="right"/>
              <w:ind w:right="300"/>
              <w:spacing w:after="0" w:line="27" w:lineRule="exact"/>
              <w:rPr>
                <w:sz w:val="20"/>
                <w:szCs w:val="20"/>
                <w:color w:val="auto"/>
              </w:rPr>
            </w:pPr>
            <w:r>
              <w:rPr>
                <w:rFonts w:ascii="Arial" w:cs="Arial" w:eastAsia="Arial" w:hAnsi="Arial"/>
                <w:sz w:val="3"/>
                <w:szCs w:val="3"/>
                <w:color w:val="auto"/>
              </w:rPr>
              <w:t>80,000</w:t>
            </w:r>
          </w:p>
        </w:tc>
        <w:tc>
          <w:tcPr>
            <w:tcW w:w="110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160,000</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(a)</w:t>
            </w:r>
          </w:p>
        </w:tc>
        <w:tc>
          <w:tcPr>
            <w:tcW w:w="220" w:type="dxa"/>
            <w:vAlign w:val="bottom"/>
            <w:gridSpan w:val="2"/>
            <w:shd w:val="clear" w:color="auto" w:fill="CCEEFF"/>
          </w:tcPr>
          <w:p>
            <w:pPr>
              <w:jc w:val="right"/>
              <w:ind w:right="54"/>
              <w:spacing w:after="0" w:line="27" w:lineRule="exact"/>
              <w:rPr>
                <w:sz w:val="20"/>
                <w:szCs w:val="20"/>
                <w:color w:val="auto"/>
              </w:rPr>
            </w:pPr>
            <w:r>
              <w:rPr>
                <w:rFonts w:ascii="Arial" w:cs="Arial" w:eastAsia="Arial" w:hAnsi="Arial"/>
                <w:sz w:val="3"/>
                <w:szCs w:val="3"/>
                <w:color w:val="auto"/>
              </w:rPr>
              <w:t>$</w:t>
            </w:r>
          </w:p>
        </w:tc>
        <w:tc>
          <w:tcPr>
            <w:tcW w:w="1160" w:type="dxa"/>
            <w:vAlign w:val="bottom"/>
            <w:gridSpan w:val="2"/>
            <w:shd w:val="clear" w:color="auto" w:fill="CCEEFF"/>
          </w:tcPr>
          <w:p>
            <w:pPr>
              <w:ind w:left="640"/>
              <w:spacing w:after="0" w:line="27" w:lineRule="exact"/>
              <w:rPr>
                <w:sz w:val="20"/>
                <w:szCs w:val="20"/>
                <w:color w:val="auto"/>
              </w:rPr>
            </w:pPr>
            <w:r>
              <w:rPr>
                <w:rFonts w:ascii="Arial" w:cs="Arial" w:eastAsia="Arial" w:hAnsi="Arial"/>
                <w:sz w:val="3"/>
                <w:szCs w:val="3"/>
                <w:color w:val="auto"/>
              </w:rPr>
              <w:t>2.53</w:t>
            </w:r>
          </w:p>
        </w:tc>
        <w:tc>
          <w:tcPr>
            <w:tcW w:w="134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6/1/2030</w:t>
            </w:r>
          </w:p>
        </w:tc>
        <w:tc>
          <w:tcPr>
            <w:tcW w:w="1320" w:type="dxa"/>
            <w:vAlign w:val="bottom"/>
            <w:gridSpan w:val="2"/>
            <w:shd w:val="clear" w:color="auto" w:fill="CCEEFF"/>
          </w:tcPr>
          <w:p>
            <w:pPr>
              <w:ind w:left="1040"/>
              <w:spacing w:after="0" w:line="27" w:lineRule="exact"/>
              <w:rPr>
                <w:sz w:val="20"/>
                <w:szCs w:val="20"/>
                <w:color w:val="auto"/>
              </w:rPr>
            </w:pPr>
            <w:r>
              <w:rPr>
                <w:rFonts w:ascii="Arial" w:cs="Arial" w:eastAsia="Arial" w:hAnsi="Arial"/>
                <w:sz w:val="3"/>
                <w:szCs w:val="3"/>
                <w:color w:val="auto"/>
              </w:rPr>
              <w:t>-</w:t>
            </w:r>
          </w:p>
        </w:tc>
        <w:tc>
          <w:tcPr>
            <w:tcW w:w="122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(a)</w:t>
            </w:r>
          </w:p>
        </w:tc>
        <w:tc>
          <w:tcPr>
            <w:tcW w:w="1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gridSpan w:val="2"/>
            <w:shd w:val="clear" w:color="auto" w:fill="CCEEFF"/>
          </w:tcPr>
          <w:p>
            <w:pPr>
              <w:jc w:val="right"/>
              <w:ind w:right="300"/>
              <w:spacing w:after="0" w:line="27" w:lineRule="exact"/>
              <w:rPr>
                <w:sz w:val="20"/>
                <w:szCs w:val="20"/>
                <w:color w:val="auto"/>
              </w:rPr>
            </w:pPr>
            <w:r>
              <w:rPr>
                <w:rFonts w:ascii="Arial" w:cs="Arial" w:eastAsia="Arial" w:hAnsi="Arial"/>
                <w:sz w:val="3"/>
                <w:szCs w:val="3"/>
                <w:color w:val="auto"/>
              </w:rPr>
              <w:t>80,000</w:t>
            </w:r>
          </w:p>
        </w:tc>
        <w:tc>
          <w:tcPr>
            <w:tcW w:w="110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160,000</w:t>
            </w:r>
          </w:p>
        </w:tc>
        <w:tc>
          <w:tcPr>
            <w:tcW w:w="2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(b)</w:t>
            </w:r>
          </w:p>
        </w:tc>
        <w:tc>
          <w:tcPr>
            <w:tcW w:w="220" w:type="dxa"/>
            <w:vAlign w:val="bottom"/>
            <w:gridSpan w:val="2"/>
            <w:shd w:val="clear" w:color="auto" w:fill="CCEEFF"/>
          </w:tcPr>
          <w:p>
            <w:pPr>
              <w:jc w:val="right"/>
              <w:ind w:right="54"/>
              <w:spacing w:after="0" w:line="27" w:lineRule="exact"/>
              <w:rPr>
                <w:sz w:val="20"/>
                <w:szCs w:val="20"/>
                <w:color w:val="auto"/>
              </w:rPr>
            </w:pPr>
            <w:r>
              <w:rPr>
                <w:rFonts w:ascii="Arial" w:cs="Arial" w:eastAsia="Arial" w:hAnsi="Arial"/>
                <w:sz w:val="3"/>
                <w:szCs w:val="3"/>
                <w:color w:val="auto"/>
              </w:rPr>
              <w:t>$</w:t>
            </w:r>
          </w:p>
        </w:tc>
        <w:tc>
          <w:tcPr>
            <w:tcW w:w="1160" w:type="dxa"/>
            <w:vAlign w:val="bottom"/>
            <w:gridSpan w:val="2"/>
            <w:shd w:val="clear" w:color="auto" w:fill="CCEEFF"/>
          </w:tcPr>
          <w:p>
            <w:pPr>
              <w:ind w:left="640"/>
              <w:spacing w:after="0" w:line="27" w:lineRule="exact"/>
              <w:rPr>
                <w:sz w:val="20"/>
                <w:szCs w:val="20"/>
                <w:color w:val="auto"/>
              </w:rPr>
            </w:pPr>
            <w:r>
              <w:rPr>
                <w:rFonts w:ascii="Arial" w:cs="Arial" w:eastAsia="Arial" w:hAnsi="Arial"/>
                <w:sz w:val="3"/>
                <w:szCs w:val="3"/>
                <w:color w:val="auto"/>
              </w:rPr>
              <w:t>2.53</w:t>
            </w:r>
          </w:p>
        </w:tc>
        <w:tc>
          <w:tcPr>
            <w:tcW w:w="134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6/1/2030</w:t>
            </w:r>
          </w:p>
        </w:tc>
        <w:tc>
          <w:tcPr>
            <w:tcW w:w="1320" w:type="dxa"/>
            <w:vAlign w:val="bottom"/>
            <w:gridSpan w:val="2"/>
            <w:shd w:val="clear" w:color="auto" w:fill="CCEEFF"/>
          </w:tcPr>
          <w:p>
            <w:pPr>
              <w:ind w:left="1040"/>
              <w:spacing w:after="0" w:line="27" w:lineRule="exact"/>
              <w:rPr>
                <w:sz w:val="20"/>
                <w:szCs w:val="20"/>
                <w:color w:val="auto"/>
              </w:rPr>
            </w:pPr>
            <w:r>
              <w:rPr>
                <w:rFonts w:ascii="Arial" w:cs="Arial" w:eastAsia="Arial" w:hAnsi="Arial"/>
                <w:sz w:val="3"/>
                <w:szCs w:val="3"/>
                <w:color w:val="auto"/>
              </w:rPr>
              <w:t>-</w:t>
            </w:r>
          </w:p>
        </w:tc>
        <w:tc>
          <w:tcPr>
            <w:tcW w:w="1220" w:type="dxa"/>
            <w:vAlign w:val="bottom"/>
            <w:gridSpan w:val="2"/>
            <w:shd w:val="clear" w:color="auto" w:fill="CCEEFF"/>
          </w:tcPr>
          <w:p>
            <w:pPr>
              <w:jc w:val="right"/>
              <w:ind w:right="10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201"/>
        </w:trPr>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(b)</w:t>
            </w:r>
          </w:p>
        </w:tc>
        <w:tc>
          <w:tcPr>
            <w:tcW w:w="1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33 percent of the total shares purchasable under this issuance on June 1 annually, beginning in 2021 and ending in 2023.</w:t>
      </w:r>
    </w:p>
    <w:p>
      <w:pPr>
        <w:spacing w:after="0" w:line="170"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stock options become exercisable in increments of 16.67 percent of the total shares purchasable under this issuance subject to satisfying Creative Realities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with each target and vesting being independently achieved without regard for the other. These performance options include a catch-up provision, where any options that did not vest during a prior year due to Creative Realities’ failure to meet a prior revenue or EBITDA target may vest in a subsequent vesting year if the revenue or EBITDA target, as applicable, is met in the future year. The revenue and EBITDA targets for the following years are as follows: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1"/>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Calendar Year</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Revenue Target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$32 million</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$35 million</w:t>
            </w: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$38 million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executives met the foregoing EBTIDA target for calendar year 2021.</w:t>
      </w:r>
    </w:p>
    <w:p>
      <w:pPr>
        <w:spacing w:after="0" w:line="225" w:lineRule="exact"/>
        <w:rPr>
          <w:sz w:val="20"/>
          <w:szCs w:val="20"/>
          <w:color w:val="auto"/>
        </w:rPr>
      </w:pPr>
    </w:p>
    <w:p>
      <w:pPr>
        <w:ind w:left="340" w:right="5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25 percent of the total shares purchasable under this issuance on November 6 annually, beginning in 2018 and ending in 2021.</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25 percent of the total shares purchasable under this issuance on September 20 annually, beginning in 2019 and ending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March 13, 2019, Creative Realities’ Board of Directors approved a plan to compensate non-officer directors for their service to Creative Realities in the amount of $25 per year, beginning April 1, 2019, to be issued in either cash or restricted stock vesting immediately upon issuance. Shares of restricted stock were issued quarterly in arrears for service the preceding quarter for a value of $6 per director, with the number of shares issued based on the most recent close price of Creative Realities’ common stock at the end of the previous calendar quarter.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17, 2021, Creative Realities’ Board of Directors updated its director compensation plan to compensate non-officer directors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right="6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grant of shares of unrestricted common stock of Creative Realities, issuable on November 17, 2021, 2022 and 2023, having an annual value of $24, with the per-share price to be determined based upon the closing price of the Company’s common stock as reported on Nasdaq on such issuance date; and</w:t>
      </w:r>
    </w:p>
    <w:p>
      <w:pPr>
        <w:spacing w:after="0" w:line="183" w:lineRule="exact"/>
        <w:rPr>
          <w:rFonts w:ascii="Arial" w:cs="Arial" w:eastAsia="Arial" w:hAnsi="Arial"/>
          <w:sz w:val="18"/>
          <w:szCs w:val="18"/>
          <w:color w:val="auto"/>
        </w:rPr>
      </w:pPr>
    </w:p>
    <w:p>
      <w:pPr>
        <w:ind w:left="980" w:right="260" w:hanging="324"/>
        <w:spacing w:after="0" w:line="279"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option issuable to each non-executive director to purchase 60,000 shares of Creative Realities common stock (or in the case of Dennis McGill, Chairman of the Creative Realities Board, 75,000 shares), which vest in three equal installments on November 17, 2021, 2022 and 2023, subject to continuing service as a director as of such vesting date. The exercise price of such options is $2.21, the closing price of Creative Realities’ common stock as reported on Nasdaq on the date of adoption of such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compensation paid to Creative Realities non-employee directors during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w:t>
      </w:r>
      <w:r>
        <w:rPr>
          <w:rFonts w:ascii="Arial" w:cs="Arial" w:eastAsia="Arial" w:hAnsi="Arial"/>
          <w:sz w:val="18"/>
          <w:szCs w:val="18"/>
          <w:b w:val="1"/>
          <w:bCs w:val="1"/>
          <w:i w:val="1"/>
          <w:iCs w:val="1"/>
          <w:color w:val="auto"/>
        </w:rPr>
        <w:t>table and footnotes in whole dollars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2"/>
              </w:rPr>
              <w:t>Fees</w:t>
            </w: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1"/>
              </w:rPr>
              <w:t>Non-equity</w:t>
            </w:r>
          </w:p>
        </w:tc>
        <w:tc>
          <w:tcPr>
            <w:tcW w:w="128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1"/>
              </w:rPr>
              <w:t>Nonqualified</w:t>
            </w: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earned</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incentive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deferred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1"/>
              </w:rPr>
              <w:t>or paid in</w:t>
            </w:r>
          </w:p>
        </w:tc>
        <w:tc>
          <w:tcPr>
            <w:tcW w:w="10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1"/>
              </w:rPr>
              <w:t>plan</w:t>
            </w:r>
          </w:p>
        </w:tc>
        <w:tc>
          <w:tcPr>
            <w:tcW w:w="128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5"/>
              </w:rPr>
              <w:t>compensation</w:t>
            </w:r>
          </w:p>
        </w:tc>
        <w:tc>
          <w:tcPr>
            <w:tcW w:w="1260" w:type="dxa"/>
            <w:vAlign w:val="bottom"/>
            <w:gridSpan w:val="2"/>
          </w:tcPr>
          <w:p>
            <w:pPr>
              <w:ind w:left="180"/>
              <w:spacing w:after="0" w:line="181" w:lineRule="exact"/>
              <w:rPr>
                <w:sz w:val="20"/>
                <w:szCs w:val="20"/>
                <w:color w:val="auto"/>
              </w:rPr>
            </w:pPr>
            <w:r>
              <w:rPr>
                <w:rFonts w:ascii="Arial" w:cs="Arial" w:eastAsia="Arial" w:hAnsi="Arial"/>
                <w:sz w:val="18"/>
                <w:szCs w:val="18"/>
                <w:b w:val="1"/>
                <w:bCs w:val="1"/>
                <w:color w:val="auto"/>
              </w:rPr>
              <w:t>All other</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cash</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Option awards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compensation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earnings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compensation</w:t>
            </w:r>
          </w:p>
        </w:tc>
        <w:tc>
          <w:tcPr>
            <w:tcW w:w="9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4"/>
                <w:szCs w:val="24"/>
                <w:color w:val="auto"/>
              </w:rPr>
            </w:pPr>
          </w:p>
        </w:tc>
        <w:tc>
          <w:tcPr>
            <w:tcW w:w="84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(1)</w:t>
            </w:r>
          </w:p>
        </w:tc>
        <w:tc>
          <w:tcPr>
            <w:tcW w:w="220" w:type="dxa"/>
            <w:vAlign w:val="bottom"/>
          </w:tcPr>
          <w:p>
            <w:pPr>
              <w:spacing w:after="0"/>
              <w:rPr>
                <w:sz w:val="24"/>
                <w:szCs w:val="24"/>
                <w:color w:val="auto"/>
              </w:rPr>
            </w:pPr>
          </w:p>
        </w:tc>
        <w:tc>
          <w:tcPr>
            <w:tcW w:w="1180" w:type="dxa"/>
            <w:vAlign w:val="bottom"/>
          </w:tcPr>
          <w:p>
            <w:pPr>
              <w:jc w:val="right"/>
              <w:ind w:right="293"/>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 xml:space="preserve"> (2)</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McGill</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46,531</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David Bell</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46,531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104,660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151,191</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A. Harris</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46,531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104,660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151,191</w:t>
            </w: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Stephen Nesbit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46,531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104,660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151,191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60" w:hanging="332"/>
        <w:spacing w:after="0" w:line="286"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director was awarded shares of the Company’s common stock for service having an aggregate value of $6,250 on a quarterly basis in arrears for services completed during the immediately preceding quarter. This arrangement was in place for the first three quarters of 2021, with $18,750 of the total above for each director representing the aggregate value of shares issued on the date of issuance.</w:t>
      </w:r>
    </w:p>
    <w:p>
      <w:pPr>
        <w:spacing w:after="0" w:line="165" w:lineRule="exact"/>
        <w:rPr>
          <w:rFonts w:ascii="Arial" w:cs="Arial" w:eastAsia="Arial" w:hAnsi="Arial"/>
          <w:sz w:val="17"/>
          <w:szCs w:val="17"/>
          <w:color w:val="auto"/>
        </w:rPr>
      </w:pPr>
    </w:p>
    <w:p>
      <w:pPr>
        <w:ind w:left="340" w:right="7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three-year option awards vesting in 2021, 2022, and 2023 based on the Black-Scholes value determined as of the November 17, 2021 grant date.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number of common shares, and percentage of outstanding common shares, beneficially owned as of March 22, 2022, by:</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our outstanding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current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executive officer of the Company and other persons identified as a named executive in this Annual Report on Form 10-K,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Unless otherwise indicated, the address of each of the following persons is 13100 Magisterial Drive, Suite 100, Louisville, KY 40223, and each such person has sole voting and investment power with respect to the shares set forth opposite his, her or its name.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2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r>
      <w:tr>
        <w:trPr>
          <w:trHeight w:val="278"/>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5"/>
              </w:rPr>
              <w:t xml:space="preserve">Owned </w:t>
            </w:r>
            <w:r>
              <w:rPr>
                <w:rFonts w:ascii="Arial" w:cs="Arial" w:eastAsia="Arial" w:hAnsi="Arial"/>
                <w:sz w:val="29"/>
                <w:szCs w:val="29"/>
                <w:b w:val="1"/>
                <w:bCs w:val="1"/>
                <w:color w:val="auto"/>
                <w:w w:val="85"/>
                <w:vertAlign w:val="superscript"/>
              </w:rPr>
              <w:t>[1]</w:t>
            </w:r>
          </w:p>
        </w:tc>
        <w:tc>
          <w:tcPr>
            <w:tcW w:w="1260" w:type="dxa"/>
            <w:vAlign w:val="bottom"/>
            <w:gridSpan w:val="2"/>
          </w:tcPr>
          <w:p>
            <w:pPr>
              <w:jc w:val="center"/>
              <w:ind w:right="160"/>
              <w:spacing w:after="0" w:line="271" w:lineRule="exact"/>
              <w:rPr>
                <w:sz w:val="20"/>
                <w:szCs w:val="20"/>
                <w:color w:val="auto"/>
              </w:rPr>
            </w:pPr>
            <w:r>
              <w:rPr>
                <w:rFonts w:ascii="Arial" w:cs="Arial" w:eastAsia="Arial" w:hAnsi="Arial"/>
                <w:sz w:val="18"/>
                <w:szCs w:val="18"/>
                <w:b w:val="1"/>
                <w:bCs w:val="1"/>
                <w:color w:val="auto"/>
                <w:w w:val="83"/>
              </w:rPr>
              <w:t xml:space="preserve">Shares </w:t>
            </w:r>
            <w:r>
              <w:rPr>
                <w:rFonts w:ascii="Arial" w:cs="Arial" w:eastAsia="Arial" w:hAnsi="Arial"/>
                <w:sz w:val="29"/>
                <w:szCs w:val="29"/>
                <w:b w:val="1"/>
                <w:bCs w:val="1"/>
                <w:color w:val="auto"/>
                <w:w w:val="83"/>
                <w:vertAlign w:val="superscript"/>
              </w:rPr>
              <w:t>[1]</w:t>
            </w:r>
          </w:p>
        </w:tc>
      </w:tr>
      <w:tr>
        <w:trPr>
          <w:trHeight w:val="242"/>
        </w:trPr>
        <w:tc>
          <w:tcPr>
            <w:tcW w:w="854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rPr>
              <w:t xml:space="preserve">Slipstream Funding, LLC </w:t>
            </w:r>
            <w:r>
              <w:rPr>
                <w:rFonts w:ascii="Arial" w:cs="Arial" w:eastAsia="Arial" w:hAnsi="Arial"/>
                <w:sz w:val="28"/>
                <w:szCs w:val="28"/>
                <w:color w:val="auto"/>
                <w:vertAlign w:val="superscript"/>
              </w:rPr>
              <w:t>[2]</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Pegasus Capital Advisors, L.P.</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750 E Main St., Suite 600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Stamford, CT 06902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952,365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r>
      <w:tr>
        <w:trPr>
          <w:trHeight w:val="242"/>
        </w:trPr>
        <w:tc>
          <w:tcPr>
            <w:tcW w:w="864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Slipstream Communications, LLC </w:t>
            </w:r>
            <w:r>
              <w:rPr>
                <w:rFonts w:ascii="Arial" w:cs="Arial" w:eastAsia="Arial" w:hAnsi="Arial"/>
                <w:sz w:val="28"/>
                <w:szCs w:val="28"/>
                <w:color w:val="auto"/>
                <w:vertAlign w:val="superscript"/>
              </w:rPr>
              <w:t>[3]</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c/o Pegasus Capital Advisors, L.P.</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750 E Main St., Suite 600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Stamford, CT 06902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6,463,974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33.47%</w:t>
            </w:r>
          </w:p>
        </w:tc>
      </w:tr>
      <w:tr>
        <w:trPr>
          <w:trHeight w:val="267"/>
        </w:trPr>
        <w:tc>
          <w:tcPr>
            <w:tcW w:w="8640" w:type="dxa"/>
            <w:vAlign w:val="bottom"/>
            <w:gridSpan w:val="2"/>
          </w:tcPr>
          <w:p>
            <w:pPr>
              <w:spacing w:after="0" w:line="267" w:lineRule="exact"/>
              <w:rPr>
                <w:sz w:val="20"/>
                <w:szCs w:val="20"/>
                <w:color w:val="auto"/>
              </w:rPr>
            </w:pPr>
            <w:r>
              <w:rPr>
                <w:rFonts w:ascii="Arial" w:cs="Arial" w:eastAsia="Arial" w:hAnsi="Arial"/>
                <w:sz w:val="18"/>
                <w:szCs w:val="18"/>
                <w:color w:val="auto"/>
              </w:rPr>
              <w:t xml:space="preserve">Stephen Nesbit </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73,981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Donald A. Harris </w:t>
            </w:r>
            <w:r>
              <w:rPr>
                <w:rFonts w:ascii="Arial" w:cs="Arial" w:eastAsia="Arial" w:hAnsi="Arial"/>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Dennis McGill </w:t>
            </w:r>
            <w:r>
              <w:rPr>
                <w:rFonts w:ascii="Arial" w:cs="Arial" w:eastAsia="Arial" w:hAnsi="Arial"/>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89,296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Bell </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73,981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Richard Mills </w:t>
            </w:r>
            <w:r>
              <w:rPr>
                <w:rFonts w:ascii="Arial" w:cs="Arial" w:eastAsia="Arial" w:hAnsi="Arial"/>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1,076,904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Will Logan </w:t>
            </w:r>
            <w:r>
              <w:rPr>
                <w:rFonts w:ascii="Arial" w:cs="Arial" w:eastAsia="Arial" w:hAnsi="Arial"/>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390"/>
        </w:trPr>
        <w:tc>
          <w:tcPr>
            <w:tcW w:w="8640" w:type="dxa"/>
            <w:vAlign w:val="bottom"/>
            <w:gridSpan w:val="2"/>
          </w:tcPr>
          <w:p>
            <w:pPr>
              <w:spacing w:after="0"/>
              <w:rPr>
                <w:sz w:val="20"/>
                <w:szCs w:val="20"/>
                <w:color w:val="auto"/>
              </w:rPr>
            </w:pPr>
            <w:r>
              <w:rPr>
                <w:rFonts w:ascii="Arial" w:cs="Arial" w:eastAsia="Arial" w:hAnsi="Arial"/>
                <w:sz w:val="18"/>
                <w:szCs w:val="18"/>
                <w:color w:val="auto"/>
              </w:rPr>
              <w:t xml:space="preserve">All current executive officers and directors as a group </w:t>
            </w:r>
            <w:r>
              <w:rPr>
                <w:rFonts w:ascii="Arial" w:cs="Arial" w:eastAsia="Arial" w:hAnsi="Arial"/>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1,731,920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r>
    </w:tbl>
    <w:p>
      <w:pPr>
        <w:spacing w:after="0" w:line="68" w:lineRule="exact"/>
        <w:rPr>
          <w:sz w:val="20"/>
          <w:szCs w:val="20"/>
          <w:color w:val="auto"/>
        </w:rPr>
      </w:pPr>
    </w:p>
    <w:p>
      <w:pPr>
        <w:ind w:left="920" w:hanging="318"/>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380" w:right="80" w:hanging="372"/>
        <w:spacing w:after="0" w:line="288"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includes general voting power and/or investment power with respect to securities. Shares of common stock issuable upon exercise of options or warrants that are currently exercisable or exercisable within 60 days of March 22, 2022, and shares of common stock issuable upon conversion of other securities currently convertible or convertible within 60 days, are deemed outstanding for computing the beneficial ownership percentage of the person holding such securities but are not deemed outstanding for computing the beneficial ownership percentage of any other person. Under applicable SEC rules, each person’s beneficial ownership is calculated by dividing the total number of shares with respect to which they possess beneficial ownership by the total number of outstanding shares of Creative Realities. In any case where an individual has beneficial ownership over securities that are not outstanding, but are issuable upon the exercise of options or warrants or similar rights within the next 60 days, that same number of shares is added to the denominator in the calculation described above. Because the calculation of each person’s beneficial ownership set forth in the “Percentage of Common Shares” column of the table may include shares that are not presently outstanding, the sum total of the percentages set forth in such column may exceed 100%.</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380" w:right="220" w:hanging="372"/>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and voting power over shares held by Slipstream Funding, LLC is held by Slipstream Communications, LLC, its sole member, and may deemed to be directly or indirectly controlled by Craig Cogut, Chairman and Chief Executive Officer of Pegasus Capital Advisors, LLC. See table footnote 3 for further information regarding Slipstream Communications, LLC.</w:t>
      </w:r>
    </w:p>
    <w:p>
      <w:pPr>
        <w:spacing w:after="0" w:line="183" w:lineRule="exact"/>
        <w:rPr>
          <w:rFonts w:ascii="Arial" w:cs="Arial" w:eastAsia="Arial" w:hAnsi="Arial"/>
          <w:sz w:val="18"/>
          <w:szCs w:val="18"/>
          <w:color w:val="auto"/>
        </w:rPr>
      </w:pPr>
    </w:p>
    <w:p>
      <w:pPr>
        <w:ind w:left="380" w:hanging="372"/>
        <w:spacing w:after="0" w:line="269"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Investment and voting power over shares held by Slipstream Communications, LLC may be deemed to be directly or indirectly controlled by Craig Cogut, Chairman and Chief Executive Officer of Pegasus Capital Advisors, LLC. Slipstream Communications, LLC (“Slipstream Communications”) is the sole member of Slipstream Funding, LLC (“Slipstream Funding”). BCOM Holdings, LP (“BCOM Holdings”) is the managing member of Slipstream Communications. BCOM GP LLC (“BCOM GP”) is the general partner of BCOM Holdings. Business Services Holdings, LLC (“Business Services Holdings”) is the sole member of BCOM GP. PP IV BSH, LLC (“PP IV BSH”), Pegasus Investors IV, L.P. (“Pegasus Investors”) and Pegasus Partners IV (AIV), L.P. (“Pegasus Partners (AIV)”) are the members of Business Services Holdings. Pegasus Partners IV, L.P. (“Pegasus Partners”) is the sole member of PP IV BSH. Pegasus Investors IV, L.P. (“Pegasus Investors”) is the general partner of each of Pegasus Partners (AIV) and Pegasus Partners and Pegasus Investors IV GP, L.L.C. (“Pegasus Investors GP”) is the general partner of Pegasus Investors. Pegasus Investors GP is wholly owned by Pegasus Capital, LLC (“Pegasus Capital”). Pegasus Capital may be deemed to be directly or indirectly controlled by Craig Cogut. The share figure includes the 952,365 shares of common stock issued to and held by Slipstream Funding, LLC in connection with the merger transaction with Creative Realities, LLC. Share figure also includes 2,187,521 common shares purchasable upon exercise of outstanding warrants issued to and held by Slipstream Communications, LLC.</w:t>
      </w:r>
    </w:p>
    <w:p>
      <w:pPr>
        <w:spacing w:after="0" w:line="178" w:lineRule="exact"/>
        <w:rPr>
          <w:rFonts w:ascii="Arial" w:cs="Arial" w:eastAsia="Arial" w:hAnsi="Arial"/>
          <w:sz w:val="17"/>
          <w:szCs w:val="17"/>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Nesbit is a director of the Company. Share figure includes 20,000 shares purchasable upon the exercise of outstanding options.</w:t>
      </w:r>
    </w:p>
    <w:p>
      <w:pPr>
        <w:spacing w:after="0" w:line="225" w:lineRule="exact"/>
        <w:rPr>
          <w:rFonts w:ascii="Arial" w:cs="Arial" w:eastAsia="Arial" w:hAnsi="Arial"/>
          <w:sz w:val="18"/>
          <w:szCs w:val="18"/>
          <w:color w:val="auto"/>
        </w:rPr>
      </w:pPr>
    </w:p>
    <w:p>
      <w:pPr>
        <w:ind w:left="380" w:right="14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Harris is a director of the Company. Share figure includes 9,130 shares purchasable upon the exercise of outstanding warrants and 20,000 shares purchasable upon the exercise of outstanding options.</w:t>
      </w:r>
    </w:p>
    <w:p>
      <w:pPr>
        <w:spacing w:after="0" w:line="170" w:lineRule="exact"/>
        <w:rPr>
          <w:rFonts w:ascii="Arial" w:cs="Arial" w:eastAsia="Arial" w:hAnsi="Arial"/>
          <w:sz w:val="18"/>
          <w:szCs w:val="18"/>
          <w:color w:val="auto"/>
        </w:rPr>
      </w:pPr>
    </w:p>
    <w:p>
      <w:pPr>
        <w:ind w:left="380" w:right="76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McGill is a director of the Company and Chairman of the Board. Share figured includes 41,667 shares purchasable upon the exercise of outstanding options.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Bell is a director of the Company. Share figure includes 20,000 shares purchasable upon the exercise of outstanding options.</w:t>
      </w:r>
    </w:p>
    <w:p>
      <w:pPr>
        <w:spacing w:after="0" w:line="225" w:lineRule="exact"/>
        <w:rPr>
          <w:rFonts w:ascii="Arial" w:cs="Arial" w:eastAsia="Arial" w:hAnsi="Arial"/>
          <w:sz w:val="18"/>
          <w:szCs w:val="18"/>
          <w:color w:val="auto"/>
        </w:rPr>
      </w:pPr>
    </w:p>
    <w:p>
      <w:pPr>
        <w:ind w:left="380" w:right="84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Mills is a director of the Company and Chief Executive Officer. Share figure includes 320,000 shares purchasable upon the exercise of outstanding options.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Logan is the Chief Financial Officer of the Company. Share figure includes 191,667 shares purchasable upon the exercise of outstanding options.</w:t>
      </w:r>
    </w:p>
    <w:p>
      <w:pPr>
        <w:spacing w:after="0" w:line="248" w:lineRule="exact"/>
        <w:rPr>
          <w:rFonts w:ascii="Arial" w:cs="Arial" w:eastAsia="Arial" w:hAnsi="Arial"/>
          <w:sz w:val="16"/>
          <w:szCs w:val="16"/>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Messrs. McGill, Mills, Bell, Harris, Nesbit and Logan.</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table below sets forth certain information, as of the close of business on December 31, 2021, regarding equity compensation plans (including individual compensation arrangements) under which our securities were then authorized for issuance.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Available for</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be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Issued Upon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Compensation</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41"/>
        </w:trPr>
        <w:tc>
          <w:tcPr>
            <w:tcW w:w="7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column a)</w:t>
            </w:r>
          </w:p>
        </w:tc>
        <w:tc>
          <w:tcPr>
            <w:tcW w:w="0" w:type="dxa"/>
            <w:vAlign w:val="bottom"/>
          </w:tcPr>
          <w:p>
            <w:pPr>
              <w:spacing w:after="0"/>
              <w:rPr>
                <w:sz w:val="1"/>
                <w:szCs w:val="1"/>
                <w:color w:val="auto"/>
              </w:rPr>
            </w:pPr>
          </w:p>
        </w:tc>
      </w:tr>
      <w:tr>
        <w:trPr>
          <w:trHeight w:val="148"/>
        </w:trPr>
        <w:tc>
          <w:tcPr>
            <w:tcW w:w="72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Equity compensation plans approved by stockholders</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None</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680"/>
              <w:spacing w:after="0" w:line="149" w:lineRule="exact"/>
              <w:rPr>
                <w:sz w:val="20"/>
                <w:szCs w:val="20"/>
                <w:color w:val="auto"/>
              </w:rPr>
            </w:pPr>
            <w:r>
              <w:rPr>
                <w:rFonts w:ascii="Arial" w:cs="Arial" w:eastAsia="Arial" w:hAnsi="Arial"/>
                <w:sz w:val="17"/>
                <w:szCs w:val="17"/>
                <w:color w:val="auto"/>
                <w:w w:val="98"/>
              </w:rPr>
              <w:t>N/A</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None</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24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
        </w:trPr>
        <w:tc>
          <w:tcPr>
            <w:tcW w:w="7240" w:type="dxa"/>
            <w:vAlign w:val="bottom"/>
          </w:tcPr>
          <w:p>
            <w:pPr>
              <w:spacing w:after="0"/>
              <w:rPr>
                <w:sz w:val="20"/>
                <w:szCs w:val="20"/>
                <w:color w:val="auto"/>
              </w:rPr>
            </w:pPr>
            <w:r>
              <w:rPr>
                <w:rFonts w:ascii="Arial" w:cs="Arial" w:eastAsia="Arial" w:hAnsi="Arial"/>
                <w:sz w:val="1"/>
                <w:szCs w:val="1"/>
                <w:color w:val="auto"/>
              </w:rPr>
              <w:t>Equity compensation plans not approved by stockholders</w:t>
            </w:r>
          </w:p>
        </w:tc>
        <w:tc>
          <w:tcPr>
            <w:tcW w:w="1120" w:type="dxa"/>
            <w:vAlign w:val="bottom"/>
          </w:tcPr>
          <w:p>
            <w:pPr>
              <w:jc w:val="right"/>
              <w:spacing w:after="0"/>
              <w:rPr>
                <w:sz w:val="20"/>
                <w:szCs w:val="20"/>
                <w:color w:val="auto"/>
              </w:rPr>
            </w:pPr>
            <w:r>
              <w:rPr>
                <w:rFonts w:ascii="Arial" w:cs="Arial" w:eastAsia="Arial" w:hAnsi="Arial"/>
                <w:sz w:val="1"/>
                <w:szCs w:val="1"/>
                <w:color w:val="auto"/>
              </w:rPr>
              <w:t>2,868,809</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18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1080" w:type="dxa"/>
            <w:vAlign w:val="bottom"/>
            <w:gridSpan w:val="2"/>
          </w:tcPr>
          <w:p>
            <w:pPr>
              <w:ind w:left="660"/>
              <w:spacing w:after="0"/>
              <w:rPr>
                <w:sz w:val="20"/>
                <w:szCs w:val="20"/>
                <w:color w:val="auto"/>
              </w:rPr>
            </w:pPr>
            <w:r>
              <w:rPr>
                <w:rFonts w:ascii="Arial" w:cs="Arial" w:eastAsia="Arial" w:hAnsi="Arial"/>
                <w:sz w:val="1"/>
                <w:szCs w:val="1"/>
                <w:color w:val="auto"/>
              </w:rPr>
              <w:t>3.10</w:t>
            </w:r>
          </w:p>
        </w:tc>
        <w:tc>
          <w:tcPr>
            <w:tcW w:w="1400" w:type="dxa"/>
            <w:vAlign w:val="bottom"/>
            <w:gridSpan w:val="3"/>
          </w:tcPr>
          <w:p>
            <w:pPr>
              <w:jc w:val="right"/>
              <w:ind w:right="180"/>
              <w:spacing w:after="0"/>
              <w:rPr>
                <w:sz w:val="20"/>
                <w:szCs w:val="20"/>
                <w:color w:val="auto"/>
              </w:rPr>
            </w:pPr>
            <w:r>
              <w:rPr>
                <w:rFonts w:ascii="Arial" w:cs="Arial" w:eastAsia="Arial" w:hAnsi="Arial"/>
                <w:sz w:val="1"/>
                <w:szCs w:val="1"/>
                <w:color w:val="auto"/>
              </w:rPr>
              <w:t>3,143,326</w:t>
            </w:r>
          </w:p>
        </w:tc>
        <w:tc>
          <w:tcPr>
            <w:tcW w:w="0" w:type="dxa"/>
            <w:vAlign w:val="bottom"/>
          </w:tcPr>
          <w:p>
            <w:pPr>
              <w:spacing w:after="0" w:line="20" w:lineRule="exact"/>
              <w:rPr>
                <w:sz w:val="1"/>
                <w:szCs w:val="1"/>
                <w:color w:val="auto"/>
              </w:rPr>
            </w:pPr>
          </w:p>
        </w:tc>
      </w:tr>
      <w:tr>
        <w:trPr>
          <w:trHeight w:val="190"/>
        </w:trPr>
        <w:tc>
          <w:tcPr>
            <w:tcW w:w="7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40" w:right="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shares reflected in the table are issuable upon exercise of outstanding stock options issued under the 2006 Amended and Restated Equity Incentive Plan or the 2014 Stock Incentive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number of securities remaining available for issuance under the 2014 Stock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RELATED-PARTY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February 17, 2022, the Company and its subsidiaries (collectively, the “Borrowers”) refinanced their current debt facilities with Slipstream, pursuant to a Second Amended and Restated Credit and Security Agreement (the “Credit Agreement”). The Borrowers include Reflect, which became a wholly owned subsidiary of the Company as a result of the closing of the Merger on February 17, 2022. The debt facilities continue to be fully secured by all assets of the Borrowers.</w:t>
      </w:r>
    </w:p>
    <w:p>
      <w:pPr>
        <w:spacing w:after="0" w:line="18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raised $10,000 in gross proceeds, or $9,950 in net proceeds, from entry into a new, 36-month senior secured term loan (the “Acquisition Loan”) with Slipstream as part of the Credit Agreement, which matures on February 17, 2025 (the “Maturity Date”). The Acquisition Loan has an interest rate of 8.0%, with 50.0% warrant coverage (or 2,500,000 warrants).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2,694,495 warrants).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ind w:right="40" w:firstLine="648"/>
        <w:spacing w:after="0" w:line="286" w:lineRule="auto"/>
        <w:rPr>
          <w:sz w:val="20"/>
          <w:szCs w:val="20"/>
          <w:color w:val="auto"/>
        </w:rPr>
      </w:pPr>
      <w:r>
        <w:rPr>
          <w:rFonts w:ascii="Arial" w:cs="Arial" w:eastAsia="Arial" w:hAnsi="Arial"/>
          <w:sz w:val="17"/>
          <w:szCs w:val="17"/>
          <w:color w:val="auto"/>
        </w:rPr>
        <w:t>In connection with the Acquisition Loan and the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w:t>
      </w:r>
    </w:p>
    <w:p>
      <w:pPr>
        <w:spacing w:after="0" w:line="16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certain circumstances, upon a fundamental transaction of the Company,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33 Degrees</w:t>
      </w:r>
    </w:p>
    <w:p>
      <w:pPr>
        <w:spacing w:after="0" w:line="22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33 Degrees Convenience Connect, Inc., a related party that was approximately 17.5% owned by a member of our senior management (“33 Degrees”) until September 2021, is a customer of both equipment and services from the Company. For the years ended December 31, 2021 and 2020, we had sales of $457 (2.5% of consolidated sales) and $1,058 (6.1% of consolidated sales), respectively, with 33 Degrees. Accounts receivable due from 33 Degrees was $35, or 1.0%, and $40, or 1.2% of consolidated accounts receivable at December 31, 2021 and December 31, 2020, respectively.</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Each of the foregoing transactions were approved by our Board of Directors after full disclosure of any conflicts of interest. Any directors that had a conflicting interest in the transactions abstained from approving such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does not have a standing nominating committee. Instead, the entire Board of Directors shares the responsibility of identifying potential director-nominees to serve on the Board of Directors. The Board believes the engagement of all directors in this function is important at this time in the Company’s development in light of the Company’s recent acquisition activities.</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Board of Directors has determined that there are presently four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fees for audit and other services provided by Deloitte and Touche LLP for 2021 and 2020. Fees for tax services were provided by Ernst &amp; Young, LLP beginning in the second quarter of 2018. Fees to Deloitte and Touche LLP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 (a)</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Audit related fees (b)</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 (c)</w:t>
            </w:r>
          </w:p>
        </w:tc>
        <w:tc>
          <w:tcPr>
            <w:tcW w:w="8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80" w:right="600" w:hanging="372"/>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Audit fees for 2021 and 2020 relate to professional services provided in connection with the audit of our consolidated financial statements, the reviews of our quarterly condensed consolidated financial statements, and audit services provided in connection with other regulatory filings.</w:t>
      </w:r>
    </w:p>
    <w:p>
      <w:pPr>
        <w:spacing w:after="0" w:line="123" w:lineRule="exact"/>
        <w:rPr>
          <w:rFonts w:ascii="Arial" w:cs="Arial" w:eastAsia="Arial" w:hAnsi="Arial"/>
          <w:sz w:val="16"/>
          <w:szCs w:val="16"/>
          <w:color w:val="auto"/>
        </w:rPr>
      </w:pPr>
    </w:p>
    <w:p>
      <w:pPr>
        <w:ind w:left="380" w:right="40" w:hanging="372"/>
        <w:spacing w:after="0" w:line="277"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related fees relate to professional services provided in connection with the preparation and filing of SEC reports related to our Registered Direct Offering and the Reflect Merger.</w:t>
      </w:r>
    </w:p>
    <w:p>
      <w:pPr>
        <w:spacing w:after="0" w:line="170"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were no tax fees paid to Deloitte and Touche LLP. Tax fees to other service providers consisted of the aggregate fees billed for tax compliance, tax advice, and tax planning of $223 and $105 for 2021 and 2020, respectively.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Board of Directors pre-approved the audit services rendered by Deloitte and Touche LLP during 2021 and 2020, respectively, and concluded that such services were compatible with maintaining the auditor’s independence.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See “Index to Consolidated Financial Statements” on page F-1 and “Exhibit Index” on page E-1.</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“Exhibit Index” on page E-1.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r>
        <w:rPr>
          <w:rFonts w:ascii="Arial" w:cs="Arial" w:eastAsia="Arial" w:hAnsi="Arial"/>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Louisville, State of Kentucky, on March 22, 2022.</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r>
      <w:tr>
        <w:trPr>
          <w:trHeight w:val="202"/>
        </w:trPr>
        <w:tc>
          <w:tcPr>
            <w:tcW w:w="44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Richard Mills</w:t>
            </w:r>
          </w:p>
        </w:tc>
      </w:tr>
      <w:tr>
        <w:trPr>
          <w:trHeight w:val="230"/>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202"/>
        </w:trPr>
        <w:tc>
          <w:tcPr>
            <w:tcW w:w="44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Will Logan</w:t>
            </w:r>
          </w:p>
        </w:tc>
      </w:tr>
      <w:tr>
        <w:trPr>
          <w:trHeight w:val="230"/>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482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439"/>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Richard Mills</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 Financial and</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Will Logan</w:t>
            </w:r>
          </w:p>
        </w:tc>
        <w:tc>
          <w:tcPr>
            <w:tcW w:w="5060" w:type="dxa"/>
            <w:vAlign w:val="bottom"/>
            <w:gridSpan w:val="3"/>
          </w:tcPr>
          <w:p>
            <w:pPr>
              <w:ind w:left="140"/>
              <w:spacing w:after="0" w:line="203" w:lineRule="exact"/>
              <w:rPr>
                <w:sz w:val="20"/>
                <w:szCs w:val="20"/>
                <w:color w:val="auto"/>
              </w:rPr>
            </w:pPr>
            <w:r>
              <w:rPr>
                <w:rFonts w:ascii="Arial" w:cs="Arial" w:eastAsia="Arial" w:hAnsi="Arial"/>
                <w:sz w:val="18"/>
                <w:szCs w:val="18"/>
                <w:color w:val="auto"/>
              </w:rPr>
              <w:t>Principal Accounting Officer)</w:t>
            </w:r>
          </w:p>
        </w:tc>
        <w:tc>
          <w:tcPr>
            <w:tcW w:w="224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McGill</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Chairman of the Board of Directors</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Dennis McGill</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Bell</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David Bell</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Harris</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Donald Harris</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Nesbit</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540"/>
              <w:spacing w:after="0"/>
              <w:rPr>
                <w:sz w:val="20"/>
                <w:szCs w:val="20"/>
                <w:color w:val="auto"/>
              </w:rPr>
            </w:pPr>
            <w:r>
              <w:rPr>
                <w:rFonts w:ascii="Arial" w:cs="Arial" w:eastAsia="Arial" w:hAnsi="Arial"/>
                <w:sz w:val="18"/>
                <w:szCs w:val="18"/>
                <w:color w:val="auto"/>
              </w:rPr>
              <w:t>March 22, 2022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Steve Nesbit</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39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INDEX TO CONSOLIDATED FINANCIAL STATEMENTS</w:t>
            </w:r>
          </w:p>
        </w:tc>
        <w:tc>
          <w:tcPr>
            <w:tcW w:w="2080" w:type="dxa"/>
            <w:vAlign w:val="bottom"/>
          </w:tcPr>
          <w:p>
            <w:pPr>
              <w:spacing w:after="0"/>
              <w:rPr>
                <w:sz w:val="20"/>
                <w:szCs w:val="20"/>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196"/>
        </w:trPr>
        <w:tc>
          <w:tcPr>
            <w:tcW w:w="57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Report of Independent Registered Public Accounting Firm (PCAOB ID No. 34)</w:t>
              </w:r>
            </w:hyperlink>
          </w:p>
        </w:tc>
        <w:tc>
          <w:tcPr>
            <w:tcW w:w="340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91"/>
              </w:rPr>
              <w:t>F-2 - F-3</w:t>
            </w:r>
          </w:p>
        </w:tc>
      </w:tr>
      <w:tr>
        <w:trPr>
          <w:trHeight w:val="216"/>
        </w:trPr>
        <w:tc>
          <w:tcPr>
            <w:tcW w:w="916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208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w:t>
              </w:r>
            </w:hyperlink>
          </w:p>
        </w:tc>
        <w:tc>
          <w:tcPr>
            <w:tcW w:w="7060" w:type="dxa"/>
            <w:vAlign w:val="bottom"/>
            <w:tcBorders>
              <w:bottom w:val="single" w:sz="8" w:color="CCEEFF"/>
            </w:tcBorders>
            <w:gridSpan w:val="6"/>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8"/>
              </w:rPr>
              <w:t>F-4</w:t>
            </w:r>
          </w:p>
        </w:tc>
      </w:tr>
      <w:tr>
        <w:trPr>
          <w:trHeight w:val="175"/>
        </w:trPr>
        <w:tc>
          <w:tcPr>
            <w:tcW w:w="9160" w:type="dxa"/>
            <w:vAlign w:val="bottom"/>
            <w:gridSpan w:val="7"/>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208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Consolidated Statements of Shareholders’ Equity</w:t>
              </w:r>
            </w:hyperlink>
          </w:p>
        </w:tc>
        <w:tc>
          <w:tcPr>
            <w:tcW w:w="5600" w:type="dxa"/>
            <w:vAlign w:val="bottom"/>
            <w:tcBorders>
              <w:bottom w:val="single" w:sz="8" w:color="CCEEFF"/>
            </w:tcBorders>
            <w:gridSpan w:val="2"/>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8"/>
              </w:rPr>
              <w:t>F-6</w:t>
            </w:r>
          </w:p>
        </w:tc>
      </w:tr>
      <w:tr>
        <w:trPr>
          <w:trHeight w:val="176"/>
        </w:trPr>
        <w:tc>
          <w:tcPr>
            <w:tcW w:w="9160" w:type="dxa"/>
            <w:vAlign w:val="bottom"/>
            <w:gridSpan w:val="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w:t>
              </w:r>
            </w:hyperlink>
          </w:p>
        </w:tc>
        <w:tc>
          <w:tcPr>
            <w:tcW w:w="208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208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8"/>
              </w:rPr>
              <w:t>F-8</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2"/>
          </w:tcPr>
          <w:p>
            <w:pPr>
              <w:jc w:val="center"/>
              <w:ind w:right="1520"/>
              <w:spacing w:after="0"/>
              <w:rPr>
                <w:sz w:val="20"/>
                <w:szCs w:val="20"/>
                <w:color w:val="auto"/>
              </w:rPr>
            </w:pPr>
            <w:r>
              <w:rPr>
                <w:rFonts w:ascii="Arial" w:cs="Arial" w:eastAsia="Arial" w:hAnsi="Arial"/>
                <w:sz w:val="18"/>
                <w:szCs w:val="18"/>
                <w:color w:val="auto"/>
                <w:w w:val="88"/>
              </w:rPr>
              <w:t>F-1</w:t>
            </w:r>
          </w:p>
        </w:tc>
        <w:tc>
          <w:tcPr>
            <w:tcW w:w="20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9" w:name="page60"/>
    <w:bookmarkEnd w:id="5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Creative Realities,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audited the accompanying consolidated balance sheets of Creative Realities, Inc. and subsidiaries (the "Company") as of December 31, 2021 and 2020, the related consolidated statements of operations, shareholders’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Refer to Notes 2 and 7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operates as a single reportable segment, operating segment and reporting unit. The Company’s evaluation of goodwill for impairment involves comparing the book value of the reporting unit to its estimated fair value. The Company’s determination of estimated fair value of the reporting unit is based primarily on a discounted cash flow model utilizing the income approach. The Company used the discounted cash flow model to estimate fair value which requires management to make significant estimates and assumptions related to the valuation of the reporting unit, including assumptions regarding discount rates and forecasts of future revenue and operating margins. Changes in these assumptions could have a significant impact on either the fair value of the reporting unit, the amount of any goodwill impairment charge, or both. The Company’s annual impairment assessment date is September 30. Accordingly, management performed an impairment assessment as of September 30, 2021. The estimated fair value of the reporting unit exceeded the carrying value as of September 30, 2021 and, therefore, no impairment was recognized.</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identified the valuation of goodwill as a critical audit matter because of the significant estimates and assumptions management made to estimate the fair value of the reporting unit and the highly sensitive nature of Company’s operations to changes in demand. This required a high degree of auditor judgment and an increased extent of effort, including the need to involve our fair value specialists, when performing audit procedures to evaluate the reasonableness of management’s estimates and assumptions.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Our audit procedures related to the forecasts of future revenues, gross profit, operating income/EBITDA, and capital expenditures, and the selection of the long-term growth rate and discount rate for the reporting unit included the following, among others:</w:t>
      </w:r>
    </w:p>
    <w:p>
      <w:pPr>
        <w:spacing w:after="0" w:line="146" w:lineRule="exact"/>
        <w:rPr>
          <w:sz w:val="20"/>
          <w:szCs w:val="20"/>
          <w:color w:val="auto"/>
        </w:rPr>
      </w:pPr>
    </w:p>
    <w:p>
      <w:pPr>
        <w:ind w:left="660" w:right="3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 gross profit, operating income/EBITDA, and capital expenditures by comparing the forecasts to:</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historical revenue, gross profit, operating income/EBITDA, and capital expenditures,</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 and</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forecasted information included in industry reports for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w:t>
      </w:r>
    </w:p>
    <w:p>
      <w:pPr>
        <w:spacing w:after="0" w:line="225" w:lineRule="exact"/>
        <w:rPr>
          <w:sz w:val="20"/>
          <w:szCs w:val="20"/>
          <w:color w:val="auto"/>
        </w:rPr>
      </w:pPr>
    </w:p>
    <w:p>
      <w:pPr>
        <w:ind w:left="1300" w:right="56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evaluated the reasonableness of the discounted cash flow valuation methodology and performed underlying procedures on the mathematical accuracy of the calculations.</w:t>
      </w:r>
    </w:p>
    <w:p>
      <w:pPr>
        <w:spacing w:after="0" w:line="170" w:lineRule="exact"/>
        <w:rPr>
          <w:rFonts w:ascii="Arial" w:cs="Arial" w:eastAsia="Arial" w:hAnsi="Arial"/>
          <w:sz w:val="18"/>
          <w:szCs w:val="18"/>
          <w:color w:val="auto"/>
        </w:rPr>
      </w:pPr>
    </w:p>
    <w:p>
      <w:pPr>
        <w:ind w:left="1300" w:right="200" w:hanging="320"/>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evaluated the reasonableness of the discount rate used in the discounted cash flow model by testing the underlying source information, developing an independent range of estimated discount rates and comparing that range to the discount rate selected by the Company.</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evaluated the reasonableness of the long-term growth rate used in the discounted cash flow model by comparing the information used by the Company to third party economic and industry related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3940"/>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$620 and $1,230,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9,772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Short-term seller note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operating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8680" w:type="dxa"/>
            <w:vAlign w:val="bottom"/>
          </w:tcPr>
          <w:p>
            <w:pPr>
              <w:ind w:left="160"/>
              <w:spacing w:after="0"/>
              <w:rPr>
                <w:sz w:val="20"/>
                <w:szCs w:val="20"/>
                <w:color w:val="auto"/>
              </w:rPr>
            </w:pPr>
            <w:r>
              <w:rPr>
                <w:rFonts w:ascii="Arial" w:cs="Arial" w:eastAsia="Arial" w:hAnsi="Arial"/>
                <w:sz w:val="18"/>
                <w:szCs w:val="18"/>
                <w:color w:val="auto"/>
              </w:rPr>
              <w:t>Current maturities of financing leases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Payroll Protection Program note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loans payable, net of $143 and $168 discount,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obligations under operating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Long-term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14,152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12,009 and 10,924 shares issued and outstanding,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60,863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56,712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(52,254)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8,729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8,987</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6,914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cost of sales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9,336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expense/(recovery)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termination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Deal and transaction costs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(16,082)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including 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fair value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income/(expense), net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income/(loss)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(17,002)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(16,844)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income/(loss) per common share - 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(1.65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income/(loss) per common share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basic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i w:val="1"/>
                <w:iCs w:val="1"/>
                <w:color w:val="auto"/>
              </w:rPr>
              <w:t>Year ended December 31, 2021</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10,924,287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 employees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 directors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106,528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 vendors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80,560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via registered direct offering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12,008,519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(52,254</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54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0"/>
              </w:rPr>
              <w:t>Accumulated</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i w:val="1"/>
                <w:iCs w:val="1"/>
                <w:color w:val="auto"/>
              </w:rPr>
              <w:t>Year ended December 31, 2020</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38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5"/>
              </w:rPr>
              <w:t>(Deficit)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9,774,546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88,073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via at-the-market offering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1,034,068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(16,844)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10,924,287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income/(loss) to be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1,893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and other government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interest expense on related party loans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receivables from in-process projects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application of customer deposits to completed projects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issued to vendors for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Gain on settlement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(1,538)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other obligation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(Gain)/loss on fair value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Vendor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other current payables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(3,530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 and external labor for software development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common stock issuance, net of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1,849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Payroll Protection Program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seller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Proceeds from warrant exercise into common stock</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Increase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(708)</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1,826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currency is rounded to the nearest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Our main operations are conducted directly through Creative Realities, Inc., and under our wholly owned subsidiaries Allure Global Solutions, Inc., a Georgia corporation, and Creative Realities Canada, Inc., a Canadian corporation, and Reflect Systems, Inc., a Delaware corporation, which was acquired on February 17,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Reflect</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On November 12, 2021, the Company and Reflect Systems, Inc., or “Reflect,” entered into an Agreement and Plan of Merger (as amended on as amended on February 8, 2022, the “Merger Agreement)” pursuant to which a direct, wholly owned subsidiary of Creative Realities, CRI Acquisition Corporation, or “Merger Sub,” would merge with and into Reflect, with Reflect surviving as a wholly owned subsidiary of Creative Realities, and the surviving company of the merger, which transaction is referred to herein as the “Merger.” On February 17, 2022, the parties consummated the Merger.</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Subject to the terms and conditions of the Merger Agreement, upon the closing of the Merger, Reflect stockholders as of to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9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right="40" w:firstLine="8"/>
        <w:spacing w:after="0" w:line="273"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 The net proceeds from the Private Placement were used to fund, in part, payment of the closing cash consideration in the Merger.</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17, 2022, the Company and its subsidiaries (collectively, the “Borrowers”) refinanced their current debt facilities with Slipstream, pursuant to the Credit Agreement, and raised $10,000 in gross proceeds with a maturity date of February 1, 2025. 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Consolidation Term Loan with a maturity date of February 1, 2025.</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February 17, 2022, in connection with the closing of the acquisition of Reflect, the Company issued to RSI Exit Corporation (“Stockholders’ Representative”), the representative of Reflect stockholders, a $2,500 Note and Security Agreement (the “Secured Promissory Note”). The Secured Promissory Note accrues interest at 0.59% (the applicable federal rate) and requires the Company and Reflect to pay equal monthly principal installments of $104 on the fifteenth (15th) day of each month, commencing on March 17, 2022, for twelve months with any remaining or unpaid principal due and payable on February 15, 2023.</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subsequent to December 31, 2021.</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Management believes that, based on (i) the execution of the Equity Financing, (ii) the refinancing of our debt as part of the Debt Financing, including extension of the maturity date on our term loans, and (iii) our operational forecast through 2022 following completion of the Reflect Acquisition, that we can continue as a going concern through at least March 31, 2023. However, given our historical net losses and cash used in operating activities, we obtained a continued support letter from Slipstream through March 31, 2023. We can provide no assurance that our ongoing operational efforts will be successful which could have a material adverse effect on our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significant accounting policies consistently applied in the preparation of the accompanying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the instructions to Form 10-K and Article 8 of Regulation S-X and include all of the information and disclosures required by generally accepted accounting principles in the United States of America (“GAAP”) for annual financial reporting.</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Creative Realities, Inc. and our wholly owned subsidiaries Allure, and Creative Realities (Canada), Inc. All intercompany balances and transactions have been eliminated in consolidation,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67" w:name="page68"/>
    <w:bookmarkEnd w:id="67"/>
    <w:p>
      <w:pPr>
        <w:ind w:right="20"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typically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4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net realizable value, determined by the first-in, first-out (FIFO) method, and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 of $502 and $104, respectively</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 on consignment with distributors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6,972,020 and 7,040,709 at December 31, 2021 and 2020, respectively were excluded from the computation of income/(loss) per share as all options and warrants were anti-dilutive due to the net loss in 2020 and no options or warrants were in the money for 2021. In calculating diluted earnings per share for the years ended December 31, 2021 and 2020,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we excluded the dilutive effect of the potential issuance of common stock upon an assumed conversion of the Special Loan as the Company has both the intent and ability to make the scheduled amortization payments on the Special Loan.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December 31, 2021 and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 and Definite-Lived Intangible Assets</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 xml:space="preserve">We follow the provisions of ASC 350, Goodwill and Other Intangible Assets. Pursuant to ASC 350, goodwill acquired in a purchase business combination is not amortized, but instead tested for impairment at least annually. The Company uses an annual measurement date of September 30 (see Note 7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Property and Equipment</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Property and equipment are carried at cost, less accumulated depreciation and amortization. Depreciation is provided for in amounts sufficient to relate the cost of depreciable assets to operations over the estimated service lives, principally using straight-line methods. Leasehold improvements are amortized over the shorter of the life of the improvement or the lease term, using the straight-line method.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Property and equipment consist of the following at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Other depreciable assets</w:t>
            </w: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1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vMerge w:val="continue"/>
            <w:shd w:val="clear" w:color="auto" w:fill="CCEEFF"/>
          </w:tcPr>
          <w:p>
            <w:pPr>
              <w:spacing w:after="0"/>
              <w:rPr>
                <w:sz w:val="21"/>
                <w:szCs w:val="21"/>
                <w:color w:val="auto"/>
              </w:rPr>
            </w:pPr>
          </w:p>
        </w:tc>
        <w:tc>
          <w:tcPr>
            <w:tcW w:w="32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
        </w:trPr>
        <w:tc>
          <w:tcPr>
            <w:tcW w:w="5740" w:type="dxa"/>
            <w:vAlign w:val="bottom"/>
            <w:tcBorders>
              <w:top w:val="single" w:sz="8" w:color="CCEEFF"/>
            </w:tcBorders>
            <w:gridSpan w:val="2"/>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20" w:type="dxa"/>
            <w:vAlign w:val="bottom"/>
            <w:gridSpan w:val="4"/>
          </w:tcPr>
          <w:p>
            <w:pPr>
              <w:ind w:left="660"/>
              <w:spacing w:after="0"/>
              <w:rPr>
                <w:sz w:val="20"/>
                <w:szCs w:val="20"/>
                <w:color w:val="auto"/>
              </w:rPr>
            </w:pPr>
            <w:r>
              <w:rPr>
                <w:rFonts w:ascii="Arial" w:cs="Arial" w:eastAsia="Arial" w:hAnsi="Arial"/>
                <w:sz w:val="18"/>
                <w:szCs w:val="18"/>
                <w:color w:val="auto"/>
              </w:rPr>
              <w:t>The estimated useful lives used to compute depreciation and amortization are as follows: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4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3280" w:type="dxa"/>
            <w:vAlign w:val="bottom"/>
            <w:gridSpan w:val="3"/>
          </w:tcPr>
          <w:p>
            <w:pPr>
              <w:ind w:left="100"/>
              <w:spacing w:after="0"/>
              <w:rPr>
                <w:sz w:val="20"/>
                <w:szCs w:val="20"/>
                <w:color w:val="auto"/>
              </w:rPr>
            </w:pPr>
            <w:r>
              <w:rPr>
                <w:rFonts w:ascii="Arial" w:cs="Arial" w:eastAsia="Arial" w:hAnsi="Arial"/>
                <w:sz w:val="18"/>
                <w:szCs w:val="18"/>
                <w:b w:val="1"/>
                <w:bCs w:val="1"/>
                <w:color w:val="auto"/>
              </w:rPr>
              <w:t>Useful life assigned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3 – 5 years</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80" w:type="dxa"/>
            <w:vAlign w:val="bottom"/>
            <w:gridSpan w:val="3"/>
          </w:tcPr>
          <w:p>
            <w:pPr>
              <w:ind w:left="100"/>
              <w:spacing w:after="0"/>
              <w:rPr>
                <w:sz w:val="20"/>
                <w:szCs w:val="20"/>
                <w:color w:val="auto"/>
              </w:rPr>
            </w:pPr>
            <w:r>
              <w:rPr>
                <w:rFonts w:ascii="Arial" w:cs="Arial" w:eastAsia="Arial" w:hAnsi="Arial"/>
                <w:sz w:val="18"/>
                <w:szCs w:val="18"/>
                <w:color w:val="auto"/>
              </w:rPr>
              <w:t>5 years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Shorter of 5 years or term of lease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$109 and $124 for the years ended December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 Research and Development and Software Development Costs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Research and development expenses consist primarily of development personnel and non-employee contractor costs related to the development of new products and services, enhancement of existing products and services, quality assurance and testing. The Company capitalizes its costs incurred for additional functionality to its internal software. We capitalized approximately $1,140 and $603 for the years ended December 31, 2021 and 2020, respectively. These software development costs include both enhancements and upgrades of our client-based systems including functionality of our internal information systems to aid in our productivity, profitability and customer relationship management. We are amortizing these costs over 3 years once the new projects are completed and placed in service. These costs are included in intangible assets, net on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Operating leases are included in operating lease right-of-use assets, current maturities of operating leases, and long-term obligations under operating leases on our Consolidated Balance Sheets. Finance leases are included in property and equipment, net, current maturities of financing leases, and long-term obligations under financing leases on our Consolidated Balance Sheets.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Contracts with Customers </w:t>
      </w:r>
      <w:r>
        <w:rPr>
          <w:rFonts w:ascii="Arial" w:cs="Arial" w:eastAsia="Arial" w:hAnsi="Arial"/>
          <w:sz w:val="17"/>
          <w:szCs w:val="17"/>
          <w:color w:val="auto"/>
        </w:rPr>
        <w:t>(ASU 2021-08), which clarifies that an acquirer of a business should recognize and measure contract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contract liabilities in a business combination in accordance with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guidance will be effective for us in the first quarter of 2023 on a prospective basis, with early adoption permitted.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evaluating the impact of the new guidance on our consolidated financial statements.</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May 2021, the FASB issued ASU No. 2021-04, </w:t>
      </w:r>
      <w:r>
        <w:rPr>
          <w:rFonts w:ascii="Arial" w:cs="Arial" w:eastAsia="Arial" w:hAnsi="Arial"/>
          <w:sz w:val="16"/>
          <w:szCs w:val="16"/>
          <w:i w:val="1"/>
          <w:iCs w:val="1"/>
          <w:color w:val="auto"/>
        </w:rPr>
        <w:t>Modification of equity-classified written call options</w:t>
      </w:r>
      <w:r>
        <w:rPr>
          <w:rFonts w:ascii="Arial" w:cs="Arial" w:eastAsia="Arial" w:hAnsi="Arial"/>
          <w:sz w:val="16"/>
          <w:szCs w:val="16"/>
          <w:color w:val="auto"/>
        </w:rPr>
        <w:t>, which clarifies how an issuer should account for modifications made to equity-classified written call options (e.g., warrants to purchase an issuer’s common stock). The guidance in the ASU requires the issuer to treat a modification of an equity-classified warrant that does not cause the warrant to become liability-classified as an exchange of the original warrant for a new warrant. This guidance applies whether the modification is structured as an amendment to the terms and conditions of the warrant or as termination of the original warrant and issuance of a new warrant. This guidance will be effective for us in the first quarter of 2022. We are currently evaluating the disclosure requirements and potential impact on our consolidated financial statements, but anticipate there may be impacts as the Company has issued warrants in prior debt financing activities, including in both our Equity Financing and Debt Financings.</w:t>
      </w:r>
    </w:p>
    <w:p>
      <w:pPr>
        <w:spacing w:after="0" w:line="16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6"/>
          <w:szCs w:val="16"/>
          <w:color w:val="auto"/>
        </w:rPr>
        <w:t>, which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are currently evaluating the disclosure requirements and potential impact on our consolidated financial statements.</w:t>
      </w:r>
    </w:p>
    <w:p>
      <w:pPr>
        <w:spacing w:after="0" w:line="16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and accounting requirements related to adopting this guidance, given the transition from an incurred loss to an expected loss model.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years ended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38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38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Installation Services</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36"/>
        </w:trPr>
        <w:tc>
          <w:tcPr>
            <w:tcW w:w="3880" w:type="dxa"/>
            <w:vAlign w:val="bottom"/>
          </w:tcPr>
          <w:p>
            <w:pPr>
              <w:spacing w:after="0"/>
              <w:rPr>
                <w:sz w:val="20"/>
                <w:szCs w:val="20"/>
                <w:color w:val="auto"/>
              </w:rPr>
            </w:pPr>
            <w:r>
              <w:rPr>
                <w:rFonts w:ascii="Arial" w:cs="Arial" w:eastAsia="Arial" w:hAnsi="Arial"/>
                <w:sz w:val="18"/>
                <w:szCs w:val="18"/>
                <w:color w:val="auto"/>
              </w:rPr>
              <w:t>Managed Services</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5,596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5,380</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Services</w:t>
            </w:r>
          </w:p>
        </w:tc>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Hardware and Services</w:t>
            </w:r>
          </w:p>
        </w:tc>
        <w:tc>
          <w:tcPr>
            <w:tcW w:w="49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17,457</w:t>
            </w:r>
          </w:p>
        </w:tc>
      </w:tr>
      <w:tr>
        <w:trPr>
          <w:trHeight w:val="21"/>
        </w:trPr>
        <w:tc>
          <w:tcPr>
            <w:tcW w:w="38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3"/>
          </w:tcPr>
          <w:p>
            <w:pPr>
              <w:jc w:val="right"/>
              <w:ind w:right="2998"/>
              <w:spacing w:after="0"/>
              <w:rPr>
                <w:sz w:val="20"/>
                <w:szCs w:val="20"/>
                <w:color w:val="auto"/>
              </w:rPr>
            </w:pPr>
            <w:r>
              <w:rPr>
                <w:rFonts w:ascii="Arial" w:cs="Arial" w:eastAsia="Arial" w:hAnsi="Arial"/>
                <w:sz w:val="18"/>
                <w:szCs w:val="18"/>
                <w:color w:val="auto"/>
              </w:rPr>
              <w:t>F-13</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 are classified as “Managed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sells support services which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ind w:right="160" w:firstLine="648"/>
        <w:spacing w:after="0" w:line="275" w:lineRule="auto"/>
        <w:rPr>
          <w:sz w:val="20"/>
          <w:szCs w:val="20"/>
          <w:color w:val="auto"/>
        </w:rPr>
      </w:pPr>
      <w:r>
        <w:rPr>
          <w:rFonts w:ascii="Arial" w:cs="Arial" w:eastAsia="Arial" w:hAnsi="Arial"/>
          <w:sz w:val="17"/>
          <w:szCs w:val="17"/>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FAIR VALUE MEASUREMENT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previously recorded warrant liabilities that were measured at fair value on a recurring basis using a binomial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outstanding warrants classified as liabilities expired during 2019.</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the Special Loan is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Special Loan. We utilized a discounted cash flow analysis in updating our fair value analysis of the Convertible Loan, resulting in recognition of a $166 gain during 2021 from the change in fair value of the liability and a corresponding decrease in the debt balance recorded in the Condensed Consolidated Balance Sheet. The Company recorded a $93 loss during 2020 related to the fair value of the Special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9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w w:val="99"/>
              </w:rPr>
              <w:t>Supplemental non-cash Investing and Financing activities</w:t>
            </w: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disbursed escrow loan into common stock</w:t>
            </w:r>
          </w:p>
        </w:tc>
        <w:tc>
          <w:tcPr>
            <w:tcW w:w="45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Increase in debt related to financing fees</w:t>
            </w:r>
          </w:p>
        </w:tc>
        <w:tc>
          <w:tcPr>
            <w:tcW w:w="45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debt discount via amended Credit Agreement</w:t>
            </w:r>
          </w:p>
        </w:tc>
        <w:tc>
          <w:tcPr>
            <w:tcW w:w="45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information for cash flow</w:t>
            </w:r>
          </w:p>
        </w:tc>
        <w:tc>
          <w:tcPr>
            <w:tcW w:w="3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45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w:t>
            </w: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Income taxes, net</w:t>
            </w:r>
          </w:p>
        </w:tc>
        <w:tc>
          <w:tcPr>
            <w:tcW w:w="45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641"/>
        </w:trPr>
        <w:tc>
          <w:tcPr>
            <w:tcW w:w="4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jc w:val="right"/>
              <w:ind w:right="3570"/>
              <w:spacing w:after="0"/>
              <w:rPr>
                <w:sz w:val="20"/>
                <w:szCs w:val="20"/>
                <w:color w:val="auto"/>
              </w:rPr>
            </w:pPr>
            <w:r>
              <w:rPr>
                <w:rFonts w:ascii="Arial" w:cs="Arial" w:eastAsia="Arial" w:hAnsi="Arial"/>
                <w:sz w:val="18"/>
                <w:szCs w:val="18"/>
                <w:color w:val="auto"/>
              </w:rPr>
              <w:t>F-15</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t>NOTE 7: INTANGIBLE ASSETS AND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December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3,488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2,713</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3,167</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1,692</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13,547</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14,152</w:t>
            </w:r>
          </w:p>
        </w:tc>
        <w:tc>
          <w:tcPr>
            <w:tcW w:w="220" w:type="dxa"/>
            <w:vAlign w:val="bottom"/>
            <w:tcBorders>
              <w:top w:val="single" w:sz="8" w:color="CCEEFF"/>
              <w:bottom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9,197</w:t>
            </w:r>
          </w:p>
        </w:tc>
        <w:tc>
          <w:tcPr>
            <w:tcW w:w="100" w:type="dxa"/>
            <w:vAlign w:val="bottom"/>
            <w:tcBorders>
              <w:top w:val="single" w:sz="8" w:color="CCEEFF"/>
              <w:bottom w:val="single" w:sz="8" w:color="CCEEFF"/>
            </w:tcBorders>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4,850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For the years ended December 31, 2021 and 2020, amortization of intangible assets charged to operations was $1,251 and $1,330, respectively. For the year ended December 31, 2021, the Company wrote-off a $380 fully amortized trade name asset and a $1,370 fully amortized customer list asset and the related accumulated amortization for each related to ConeXus World Global, LLC, an entity dissolved by the Company during 2021. There was no impact on the Company’s Condensed Consolidated Balance Sheet or Condensed Consolidated Statement of Operations during the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660"/>
              <w:spacing w:after="0"/>
              <w:rPr>
                <w:sz w:val="20"/>
                <w:szCs w:val="20"/>
                <w:color w:val="auto"/>
              </w:rPr>
            </w:pPr>
            <w:r>
              <w:rPr>
                <w:rFonts w:ascii="Arial" w:cs="Arial" w:eastAsia="Arial" w:hAnsi="Arial"/>
                <w:sz w:val="18"/>
                <w:szCs w:val="18"/>
                <w:color w:val="auto"/>
              </w:rPr>
              <w:t>Estimated amortization is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Future</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r>
      <w:tr>
        <w:trPr>
          <w:trHeight w:val="432"/>
        </w:trPr>
        <w:tc>
          <w:tcPr>
            <w:tcW w:w="10020" w:type="dxa"/>
            <w:vAlign w:val="bottom"/>
            <w:gridSpan w:val="2"/>
          </w:tcPr>
          <w:p>
            <w:pPr>
              <w:ind w:left="660"/>
              <w:spacing w:after="0"/>
              <w:rPr>
                <w:sz w:val="20"/>
                <w:szCs w:val="20"/>
                <w:color w:val="auto"/>
              </w:rPr>
            </w:pPr>
            <w:r>
              <w:rPr>
                <w:rFonts w:ascii="Arial" w:cs="Arial" w:eastAsia="Arial" w:hAnsi="Arial"/>
                <w:sz w:val="18"/>
                <w:szCs w:val="18"/>
                <w:color w:val="auto"/>
              </w:rPr>
              <w:t>Intangible assets include the following and are being amortized over their estimated useful lives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rPr>
              <w:t>Amortization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i w:val="1"/>
                <w:iCs w:val="1"/>
                <w:color w:val="auto"/>
                <w:w w:val="90"/>
              </w:rPr>
              <w:t>Period:</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Acquired Intangible Asset: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8"/>
              </w:rPr>
              <w:t>(years)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Technology platform and patents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Purchased and developed software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The Company has only one reporting unit, and therefore the entire goodwill is allocated to that reporting unit.</w:t>
      </w:r>
    </w:p>
    <w:p>
      <w:pPr>
        <w:spacing w:after="0" w:line="14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assessed the carrying value of goodwill at the reporting unit level based on an estimate of the fair value of the respective reporting unit. Fair value of the reporting unit was estimated using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preceding three years. Based on the Company’s assessment, we determined that the fair value of our reporting unit exceeds its carrying value, and accordingly, the goodwill associated with the reporting unit was not considered to be impaired at September 30, 2021.</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ind w:right="100" w:firstLine="648"/>
        <w:spacing w:after="0" w:line="257" w:lineRule="auto"/>
        <w:rPr>
          <w:sz w:val="20"/>
          <w:szCs w:val="20"/>
          <w:color w:val="auto"/>
        </w:rPr>
      </w:pPr>
      <w:r>
        <w:rPr>
          <w:rFonts w:ascii="Arial" w:cs="Arial" w:eastAsia="Arial" w:hAnsi="Arial"/>
          <w:sz w:val="18"/>
          <w:szCs w:val="18"/>
          <w:color w:val="auto"/>
        </w:rPr>
        <w:t>The Company recognizes that any changes in our projected 2022 and future results could potentially have a material impact on our assessment of goodwill impairment. The Company will continue to monitor the actual performance of its operations against expectations and assess further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Interim Impairment Assessment – March 31, 2020</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Despite the excess fair value identified in our 2019 annual impairment assessment, we determined that the reduced cash flow projections and the significant decline in our market capitalization as a result of the COVID-19 pandemic during the three months ended March 31, 2020 indicated that an impairment loss may have been incurred during the first quarter. Therefore, we qualitatively assessed whether it was more likely than not that the goodwill was impaired as of March 31, 2020. We reviewed our previous forecasts and assumptions based on our current projections that are subject to various risks and uncertainties, including: (1) forecasted revenues, expenses and cash flows, including the duration and extent of impact to our business and our alliance partners from the COVID-19 pandemic, (2) current discount rates, (3) the reduction in our market capitalization, (5) changes to the regulatory environment and (6) the nature and amount of government support that will be provided. As a result of this qualitative assessment, we concluded that indicators of impairment were present and that a quantitative interim impairment assessment of our goodwill was necessary as of March 31, 2020.</w:t>
      </w:r>
    </w:p>
    <w:p>
      <w:pPr>
        <w:spacing w:after="0" w:line="16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 xml:space="preserve">As a result of the adoption of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impairment test consists solely of comparing the carrying value of the reporting unit with its fair value and recording impairment, if identified.</w:t>
      </w:r>
    </w:p>
    <w:p>
      <w:pPr>
        <w:spacing w:after="0" w:line="14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fair value of the reporting unit was estimated via the income approach.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industry. Actual results may differ from those assumed in our forecasts. We derive our discount rates using a capital asset pricing model and by analyzing published rates relevant to our business to estimate the cost of equity financing. We use discount rates that are commensurate with the risks and uncertainty inherent in the respective businesses and in our internally developed forecasts. We utilized a discount rate of 14.5% in our valuation completed as of March 31, 2020.</w:t>
      </w:r>
    </w:p>
    <w:p>
      <w:pPr>
        <w:spacing w:after="0" w:line="16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our outlook for the digital signage industry over the long term remains strong, we have experienced rapid and immediate deterioration in our short term business as a result of the COVID-19 pandemic, generating increased uncertainty across our customer base in many of our key vertical markets. The elective and forced closures of businesses across the United States has resulted in reduced demand for our services, which primarily assist business in engaging with their end customers in a physical space through digital technology. The elimination and minimization of public gatherings has materially impacted demand for products and services in our movie theater, sports arena and large entertainment markets. These conditions resulted in downward revisions of our internal forecasts on current and future projected earnings and cash flows, leading to an implied fair value of goodwill substantially below the carrying value. Therefore, during the three months ended March 31, 2020, we recorded a non-cash impairment loss of $10,646. We recorded the estimated impairment losses in the caption “Goodwill impairment” in our Consolidated Statement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Impairment Assessment – September 30, 2020</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assessed the carrying value of goodwill at the reporting unit level based on an estimate of the fair value of the respective reporting unit. Fair value of the reporting unit was estimated using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preceding three years. Based on the Company’s assessment, we determined that the fair value of our reporting unit exceeds its carrying value, and accordingly, the goodwill associated with the reporting unit is not considered to be impaired at September 30,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notes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85"/>
              </w:rPr>
              <w:t>Issuance</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ind w:left="500"/>
              <w:spacing w:after="0" w:line="205" w:lineRule="exact"/>
              <w:rPr>
                <w:sz w:val="20"/>
                <w:szCs w:val="20"/>
                <w:color w:val="auto"/>
              </w:rPr>
            </w:pPr>
            <w:r>
              <w:rPr>
                <w:rFonts w:ascii="Arial" w:cs="Arial" w:eastAsia="Arial" w:hAnsi="Arial"/>
                <w:sz w:val="18"/>
                <w:szCs w:val="18"/>
                <w:b w:val="1"/>
                <w:bCs w:val="1"/>
                <w:color w:val="auto"/>
              </w:rPr>
              <w:t>Maturity</w:t>
            </w:r>
          </w:p>
        </w:tc>
        <w:tc>
          <w:tcPr>
            <w:tcW w:w="1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rPr>
              <w:t>Interest Rate</w:t>
            </w:r>
          </w:p>
        </w:tc>
        <w:tc>
          <w:tcPr>
            <w:tcW w:w="100" w:type="dxa"/>
            <w:vAlign w:val="bottom"/>
          </w:tcPr>
          <w:p>
            <w:pPr>
              <w:spacing w:after="0"/>
              <w:rPr>
                <w:sz w:val="17"/>
                <w:szCs w:val="17"/>
                <w:color w:val="auto"/>
              </w:rPr>
            </w:pPr>
          </w:p>
        </w:tc>
      </w:tr>
      <w:tr>
        <w:trPr>
          <w:trHeight w:val="241"/>
        </w:trPr>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Debt Type</w:t>
            </w: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260"/>
              <w:spacing w:after="0"/>
              <w:rPr>
                <w:sz w:val="20"/>
                <w:szCs w:val="20"/>
                <w:color w:val="auto"/>
              </w:rPr>
            </w:pPr>
            <w:r>
              <w:rPr>
                <w:rFonts w:ascii="Arial" w:cs="Arial" w:eastAsia="Arial" w:hAnsi="Arial"/>
                <w:sz w:val="18"/>
                <w:szCs w:val="18"/>
                <w:b w:val="1"/>
                <w:bCs w:val="1"/>
                <w:color w:val="auto"/>
              </w:rPr>
              <w:t>Principal</w:t>
            </w:r>
          </w:p>
        </w:tc>
        <w:tc>
          <w:tcPr>
            <w:tcW w:w="1900" w:type="dxa"/>
            <w:vAlign w:val="bottom"/>
            <w:gridSpan w:val="4"/>
          </w:tcPr>
          <w:p>
            <w:pPr>
              <w:ind w:left="660"/>
              <w:spacing w:after="0"/>
              <w:rPr>
                <w:sz w:val="20"/>
                <w:szCs w:val="20"/>
                <w:color w:val="auto"/>
              </w:rPr>
            </w:pPr>
            <w:r>
              <w:rPr>
                <w:rFonts w:ascii="Arial" w:cs="Arial" w:eastAsia="Arial" w:hAnsi="Arial"/>
                <w:sz w:val="18"/>
                <w:szCs w:val="18"/>
                <w:b w:val="1"/>
                <w:bCs w:val="1"/>
                <w:color w:val="auto"/>
              </w:rPr>
              <w:t>Date</w:t>
            </w:r>
          </w:p>
        </w:tc>
        <w:tc>
          <w:tcPr>
            <w:tcW w:w="1880" w:type="dxa"/>
            <w:vAlign w:val="bottom"/>
            <w:gridSpan w:val="4"/>
          </w:tcPr>
          <w:p>
            <w:pPr>
              <w:ind w:left="460"/>
              <w:spacing w:after="0"/>
              <w:rPr>
                <w:sz w:val="20"/>
                <w:szCs w:val="20"/>
                <w:color w:val="auto"/>
              </w:rPr>
            </w:pPr>
            <w:r>
              <w:rPr>
                <w:rFonts w:ascii="Arial" w:cs="Arial" w:eastAsia="Arial" w:hAnsi="Arial"/>
                <w:sz w:val="18"/>
                <w:szCs w:val="18"/>
                <w:b w:val="1"/>
                <w:bCs w:val="1"/>
                <w:color w:val="auto"/>
              </w:rPr>
              <w:t>Warrants</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Information</w:t>
            </w:r>
          </w:p>
        </w:tc>
      </w:tr>
      <w:tr>
        <w:trPr>
          <w:trHeight w:val="216"/>
        </w:trPr>
        <w:tc>
          <w:tcPr>
            <w:tcW w:w="1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8"/>
                <w:szCs w:val="18"/>
                <w:color w:val="auto"/>
              </w:rPr>
              <w:t>8/17/2016</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w w:val="87"/>
              </w:rPr>
              <w:t>2/17/2025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588,236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interest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48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E</w:t>
            </w:r>
          </w:p>
        </w:tc>
        <w:tc>
          <w:tcPr>
            <w:tcW w:w="2180" w:type="dxa"/>
            <w:vAlign w:val="bottom"/>
          </w:tcPr>
          <w:p>
            <w:pPr>
              <w:jc w:val="right"/>
              <w:ind w:right="560"/>
              <w:spacing w:after="0"/>
              <w:rPr>
                <w:sz w:val="20"/>
                <w:szCs w:val="20"/>
                <w:color w:val="auto"/>
              </w:rPr>
            </w:pPr>
            <w:r>
              <w:rPr>
                <w:rFonts w:ascii="Arial" w:cs="Arial" w:eastAsia="Arial" w:hAnsi="Arial"/>
                <w:sz w:val="18"/>
                <w:szCs w:val="18"/>
                <w:color w:val="auto"/>
              </w:rPr>
              <w:t>12/30/2019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0"/>
                <w:szCs w:val="20"/>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color w:val="auto"/>
              </w:rPr>
              <w:t>2/17/2025</w:t>
            </w:r>
          </w:p>
        </w:tc>
        <w:tc>
          <w:tcPr>
            <w:tcW w:w="80" w:type="dxa"/>
            <w:vAlign w:val="bottom"/>
          </w:tcPr>
          <w:p>
            <w:pPr>
              <w:spacing w:after="0"/>
              <w:rPr>
                <w:sz w:val="20"/>
                <w:szCs w:val="20"/>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10.0% interest</w:t>
            </w: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Total debt, gross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588,236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Fair value (E)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Total debt, gross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Debt discount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Total debt, net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1"/>
              </w:rPr>
              <w:t>Less current maturities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Long term debt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ind w:left="520"/>
              <w:spacing w:after="0"/>
              <w:rPr>
                <w:sz w:val="20"/>
                <w:szCs w:val="20"/>
                <w:color w:val="auto"/>
              </w:rPr>
            </w:pPr>
            <w:r>
              <w:rPr>
                <w:rFonts w:ascii="Arial" w:cs="Arial" w:eastAsia="Arial" w:hAnsi="Arial"/>
                <w:sz w:val="18"/>
                <w:szCs w:val="18"/>
                <w:i w:val="1"/>
                <w:iCs w:val="1"/>
                <w:color w:val="auto"/>
              </w:rPr>
              <w:t>As of December 31, 2020</w:t>
            </w:r>
          </w:p>
        </w:tc>
        <w:tc>
          <w:tcPr>
            <w:tcW w:w="1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4"/>
          </w:tcPr>
          <w:p>
            <w:pPr>
              <w:ind w:left="360"/>
              <w:spacing w:after="0" w:line="198" w:lineRule="exact"/>
              <w:rPr>
                <w:sz w:val="20"/>
                <w:szCs w:val="20"/>
                <w:color w:val="auto"/>
              </w:rPr>
            </w:pPr>
            <w:r>
              <w:rPr>
                <w:rFonts w:ascii="Arial" w:cs="Arial" w:eastAsia="Arial" w:hAnsi="Arial"/>
                <w:sz w:val="18"/>
                <w:szCs w:val="18"/>
                <w:b w:val="1"/>
                <w:bCs w:val="1"/>
                <w:color w:val="auto"/>
              </w:rPr>
              <w:t>Maturity</w:t>
            </w: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Interest Rate</w:t>
            </w:r>
          </w:p>
        </w:tc>
        <w:tc>
          <w:tcPr>
            <w:tcW w:w="180" w:type="dxa"/>
            <w:vAlign w:val="bottom"/>
            <w:gridSpan w:val="2"/>
          </w:tcPr>
          <w:p>
            <w:pPr>
              <w:spacing w:after="0"/>
              <w:rPr>
                <w:sz w:val="17"/>
                <w:szCs w:val="17"/>
                <w:color w:val="auto"/>
              </w:rPr>
            </w:pPr>
          </w:p>
        </w:tc>
      </w:tr>
      <w:tr>
        <w:trPr>
          <w:trHeight w:val="241"/>
        </w:trPr>
        <w:tc>
          <w:tcPr>
            <w:tcW w:w="14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Debt Type</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ind w:left="140"/>
              <w:spacing w:after="0"/>
              <w:rPr>
                <w:sz w:val="20"/>
                <w:szCs w:val="20"/>
                <w:color w:val="auto"/>
              </w:rPr>
            </w:pPr>
            <w:r>
              <w:rPr>
                <w:rFonts w:ascii="Arial" w:cs="Arial" w:eastAsia="Arial" w:hAnsi="Arial"/>
                <w:sz w:val="18"/>
                <w:szCs w:val="18"/>
                <w:b w:val="1"/>
                <w:bCs w:val="1"/>
                <w:color w:val="auto"/>
              </w:rPr>
              <w:t>Principal</w:t>
            </w:r>
          </w:p>
        </w:tc>
        <w:tc>
          <w:tcPr>
            <w:tcW w:w="1900" w:type="dxa"/>
            <w:vAlign w:val="bottom"/>
            <w:gridSpan w:val="4"/>
          </w:tcPr>
          <w:p>
            <w:pPr>
              <w:ind w:left="520"/>
              <w:spacing w:after="0"/>
              <w:rPr>
                <w:sz w:val="20"/>
                <w:szCs w:val="20"/>
                <w:color w:val="auto"/>
              </w:rPr>
            </w:pPr>
            <w:r>
              <w:rPr>
                <w:rFonts w:ascii="Arial" w:cs="Arial" w:eastAsia="Arial" w:hAnsi="Arial"/>
                <w:sz w:val="18"/>
                <w:szCs w:val="18"/>
                <w:b w:val="1"/>
                <w:bCs w:val="1"/>
                <w:color w:val="auto"/>
              </w:rPr>
              <w:t>Date</w:t>
            </w:r>
          </w:p>
        </w:tc>
        <w:tc>
          <w:tcPr>
            <w:tcW w:w="1880" w:type="dxa"/>
            <w:vAlign w:val="bottom"/>
            <w:gridSpan w:val="4"/>
          </w:tcPr>
          <w:p>
            <w:pPr>
              <w:ind w:left="400"/>
              <w:spacing w:after="0"/>
              <w:rPr>
                <w:sz w:val="20"/>
                <w:szCs w:val="20"/>
                <w:color w:val="auto"/>
              </w:rPr>
            </w:pPr>
            <w:r>
              <w:rPr>
                <w:rFonts w:ascii="Arial" w:cs="Arial" w:eastAsia="Arial" w:hAnsi="Arial"/>
                <w:sz w:val="18"/>
                <w:szCs w:val="18"/>
                <w:b w:val="1"/>
                <w:bCs w:val="1"/>
                <w:color w:val="auto"/>
              </w:rPr>
              <w:t>Warrants</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Information</w:t>
            </w:r>
          </w:p>
        </w:tc>
      </w:tr>
      <w:tr>
        <w:trPr>
          <w:trHeight w:val="216"/>
        </w:trPr>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3"/>
              </w:rPr>
              <w:t>N/A</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interest</w:t>
            </w:r>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15"/>
        </w:trPr>
        <w:tc>
          <w:tcPr>
            <w:tcW w:w="1480" w:type="dxa"/>
            <w:vAlign w:val="bottom"/>
            <w:gridSpan w:val="4"/>
          </w:tcPr>
          <w:p>
            <w:pPr>
              <w:jc w:val="center"/>
              <w:ind w:right="160"/>
              <w:spacing w:after="0"/>
              <w:rPr>
                <w:sz w:val="20"/>
                <w:szCs w:val="20"/>
                <w:color w:val="auto"/>
              </w:rPr>
            </w:pPr>
            <w:r>
              <w:rPr>
                <w:rFonts w:ascii="Arial" w:cs="Arial" w:eastAsia="Arial" w:hAnsi="Arial"/>
                <w:sz w:val="1"/>
                <w:szCs w:val="1"/>
                <w:color w:val="auto"/>
              </w:rPr>
              <w:t>B</w:t>
            </w:r>
          </w:p>
        </w:tc>
        <w:tc>
          <w:tcPr>
            <w:tcW w:w="2180" w:type="dxa"/>
            <w:vAlign w:val="bottom"/>
          </w:tcPr>
          <w:p>
            <w:pPr>
              <w:jc w:val="center"/>
              <w:spacing w:after="0"/>
              <w:rPr>
                <w:sz w:val="20"/>
                <w:szCs w:val="20"/>
                <w:color w:val="auto"/>
              </w:rPr>
            </w:pPr>
            <w:r>
              <w:rPr>
                <w:rFonts w:ascii="Arial" w:cs="Arial" w:eastAsia="Arial" w:hAnsi="Arial"/>
                <w:sz w:val="1"/>
                <w:szCs w:val="1"/>
                <w:color w:val="auto"/>
              </w:rPr>
              <w:t>1/16/2018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
                <w:szCs w:val="1"/>
                <w:color w:val="auto"/>
              </w:rPr>
              <w:t>1,085</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ind w:left="820"/>
              <w:spacing w:after="0"/>
              <w:rPr>
                <w:sz w:val="20"/>
                <w:szCs w:val="20"/>
                <w:color w:val="auto"/>
              </w:rPr>
            </w:pPr>
            <w:r>
              <w:rPr>
                <w:rFonts w:ascii="Arial" w:cs="Arial" w:eastAsia="Arial" w:hAnsi="Arial"/>
                <w:sz w:val="1"/>
                <w:szCs w:val="1"/>
                <w:color w:val="auto"/>
              </w:rPr>
              <w:t>3/31/2023</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
                <w:szCs w:val="1"/>
                <w:color w:val="auto"/>
              </w:rPr>
              <w:t>61,729</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
                <w:szCs w:val="1"/>
                <w:color w:val="auto"/>
              </w:rPr>
              <w:t>10.0% interest</w:t>
            </w: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1480" w:type="dxa"/>
            <w:vAlign w:val="bottom"/>
            <w:gridSpan w:val="4"/>
            <w:shd w:val="clear" w:color="auto" w:fill="CCEEFF"/>
          </w:tcPr>
          <w:p>
            <w:pPr>
              <w:jc w:val="center"/>
              <w:ind w:right="160"/>
              <w:spacing w:after="0" w:line="21" w:lineRule="exact"/>
              <w:rPr>
                <w:sz w:val="20"/>
                <w:szCs w:val="20"/>
                <w:color w:val="auto"/>
              </w:rPr>
            </w:pPr>
            <w:r>
              <w:rPr>
                <w:rFonts w:ascii="Arial" w:cs="Arial" w:eastAsia="Arial" w:hAnsi="Arial"/>
                <w:sz w:val="2"/>
                <w:szCs w:val="2"/>
                <w:color w:val="auto"/>
              </w:rPr>
              <w:t>C</w:t>
            </w:r>
          </w:p>
        </w:tc>
        <w:tc>
          <w:tcPr>
            <w:tcW w:w="2180" w:type="dxa"/>
            <w:vAlign w:val="bottom"/>
            <w:shd w:val="clear" w:color="auto" w:fill="CCEEFF"/>
          </w:tcPr>
          <w:p>
            <w:pPr>
              <w:jc w:val="center"/>
              <w:spacing w:after="0" w:line="21" w:lineRule="exact"/>
              <w:rPr>
                <w:sz w:val="20"/>
                <w:szCs w:val="20"/>
                <w:color w:val="auto"/>
              </w:rPr>
            </w:pPr>
            <w:r>
              <w:rPr>
                <w:rFonts w:ascii="Arial" w:cs="Arial" w:eastAsia="Arial" w:hAnsi="Arial"/>
                <w:sz w:val="2"/>
                <w:szCs w:val="2"/>
                <w:color w:val="auto"/>
              </w:rPr>
              <w:t>8/17/2016</w:t>
            </w: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120"/>
              <w:spacing w:after="0" w:line="21" w:lineRule="exact"/>
              <w:rPr>
                <w:sz w:val="20"/>
                <w:szCs w:val="20"/>
                <w:color w:val="auto"/>
              </w:rPr>
            </w:pPr>
            <w:r>
              <w:rPr>
                <w:rFonts w:ascii="Arial" w:cs="Arial" w:eastAsia="Arial" w:hAnsi="Arial"/>
                <w:sz w:val="2"/>
                <w:szCs w:val="2"/>
                <w:color w:val="auto"/>
              </w:rPr>
              <w:t>3,255</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80" w:type="dxa"/>
            <w:vAlign w:val="bottom"/>
            <w:gridSpan w:val="2"/>
            <w:shd w:val="clear" w:color="auto" w:fill="CCEEFF"/>
          </w:tcPr>
          <w:p>
            <w:pPr>
              <w:ind w:left="820"/>
              <w:spacing w:after="0" w:line="21" w:lineRule="exact"/>
              <w:rPr>
                <w:sz w:val="20"/>
                <w:szCs w:val="20"/>
                <w:color w:val="auto"/>
              </w:rPr>
            </w:pPr>
            <w:r>
              <w:rPr>
                <w:rFonts w:ascii="Arial" w:cs="Arial" w:eastAsia="Arial" w:hAnsi="Arial"/>
                <w:sz w:val="2"/>
                <w:szCs w:val="2"/>
                <w:color w:val="auto"/>
              </w:rPr>
              <w:t>3/31/2023</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gridSpan w:val="2"/>
            <w:shd w:val="clear" w:color="auto" w:fill="CCEEFF"/>
          </w:tcPr>
          <w:p>
            <w:pPr>
              <w:jc w:val="right"/>
              <w:ind w:right="60"/>
              <w:spacing w:after="0" w:line="21" w:lineRule="exact"/>
              <w:rPr>
                <w:sz w:val="20"/>
                <w:szCs w:val="20"/>
                <w:color w:val="auto"/>
              </w:rPr>
            </w:pPr>
            <w:r>
              <w:rPr>
                <w:rFonts w:ascii="Arial" w:cs="Arial" w:eastAsia="Arial" w:hAnsi="Arial"/>
                <w:sz w:val="2"/>
                <w:szCs w:val="2"/>
                <w:color w:val="auto"/>
              </w:rPr>
              <w:t>588,236</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80" w:type="dxa"/>
            <w:vAlign w:val="bottom"/>
            <w:gridSpan w:val="3"/>
            <w:shd w:val="clear" w:color="auto" w:fill="CCEEFF"/>
          </w:tcPr>
          <w:p>
            <w:pPr>
              <w:jc w:val="right"/>
              <w:ind w:right="180"/>
              <w:spacing w:after="0" w:line="21" w:lineRule="exact"/>
              <w:rPr>
                <w:sz w:val="20"/>
                <w:szCs w:val="20"/>
                <w:color w:val="auto"/>
              </w:rPr>
            </w:pPr>
            <w:r>
              <w:rPr>
                <w:rFonts w:ascii="Arial" w:cs="Arial" w:eastAsia="Arial" w:hAnsi="Arial"/>
                <w:sz w:val="2"/>
                <w:szCs w:val="2"/>
                <w:color w:val="auto"/>
              </w:rPr>
              <w:t>10.0% interest</w:t>
            </w: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1480" w:type="dxa"/>
            <w:vAlign w:val="bottom"/>
            <w:gridSpan w:val="4"/>
          </w:tcPr>
          <w:p>
            <w:pPr>
              <w:jc w:val="center"/>
              <w:ind w:right="140"/>
              <w:spacing w:after="0"/>
              <w:rPr>
                <w:sz w:val="20"/>
                <w:szCs w:val="20"/>
                <w:color w:val="auto"/>
              </w:rPr>
            </w:pPr>
            <w:r>
              <w:rPr>
                <w:rFonts w:ascii="Arial" w:cs="Arial" w:eastAsia="Arial" w:hAnsi="Arial"/>
                <w:sz w:val="18"/>
                <w:szCs w:val="18"/>
                <w:color w:val="auto"/>
              </w:rPr>
              <w:t>D</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11/19/2018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820"/>
              <w:spacing w:after="0"/>
              <w:rPr>
                <w:sz w:val="20"/>
                <w:szCs w:val="20"/>
                <w:color w:val="auto"/>
              </w:rPr>
            </w:pPr>
            <w:r>
              <w:rPr>
                <w:rFonts w:ascii="Arial" w:cs="Arial" w:eastAsia="Arial" w:hAnsi="Arial"/>
                <w:sz w:val="18"/>
                <w:szCs w:val="18"/>
                <w:color w:val="auto"/>
              </w:rPr>
              <w:t>2/15/2020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3.5% interest</w:t>
            </w:r>
          </w:p>
        </w:tc>
      </w:tr>
      <w:tr>
        <w:trPr>
          <w:trHeight w:val="15"/>
        </w:trPr>
        <w:tc>
          <w:tcPr>
            <w:tcW w:w="1480" w:type="dxa"/>
            <w:vAlign w:val="bottom"/>
            <w:gridSpan w:val="4"/>
            <w:shd w:val="clear" w:color="auto" w:fill="CCEEFF"/>
          </w:tcPr>
          <w:p>
            <w:pPr>
              <w:jc w:val="center"/>
              <w:ind w:right="140"/>
              <w:spacing w:after="0"/>
              <w:rPr>
                <w:sz w:val="20"/>
                <w:szCs w:val="20"/>
                <w:color w:val="auto"/>
              </w:rPr>
            </w:pPr>
            <w:r>
              <w:rPr>
                <w:rFonts w:ascii="Arial" w:cs="Arial" w:eastAsia="Arial" w:hAnsi="Arial"/>
                <w:sz w:val="1"/>
                <w:szCs w:val="1"/>
                <w:color w:val="auto"/>
              </w:rPr>
              <w:t>E</w:t>
            </w:r>
          </w:p>
        </w:tc>
        <w:tc>
          <w:tcPr>
            <w:tcW w:w="2180" w:type="dxa"/>
            <w:vAlign w:val="bottom"/>
            <w:shd w:val="clear" w:color="auto" w:fill="CCEEFF"/>
          </w:tcPr>
          <w:p>
            <w:pPr>
              <w:jc w:val="center"/>
              <w:spacing w:after="0"/>
              <w:rPr>
                <w:sz w:val="20"/>
                <w:szCs w:val="20"/>
                <w:color w:val="auto"/>
              </w:rPr>
            </w:pPr>
            <w:r>
              <w:rPr>
                <w:rFonts w:ascii="Arial" w:cs="Arial" w:eastAsia="Arial" w:hAnsi="Arial"/>
                <w:sz w:val="1"/>
                <w:szCs w:val="1"/>
                <w:color w:val="auto"/>
              </w:rPr>
              <w:t>12/30/2019</w:t>
            </w: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
                <w:szCs w:val="1"/>
                <w:color w:val="auto"/>
              </w:rPr>
              <w:t>2,177</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80" w:type="dxa"/>
            <w:vAlign w:val="bottom"/>
            <w:gridSpan w:val="2"/>
            <w:shd w:val="clear" w:color="auto" w:fill="CCEEFF"/>
          </w:tcPr>
          <w:p>
            <w:pPr>
              <w:ind w:left="820"/>
              <w:spacing w:after="0"/>
              <w:rPr>
                <w:sz w:val="20"/>
                <w:szCs w:val="20"/>
                <w:color w:val="auto"/>
              </w:rPr>
            </w:pPr>
            <w:r>
              <w:rPr>
                <w:rFonts w:ascii="Arial" w:cs="Arial" w:eastAsia="Arial" w:hAnsi="Arial"/>
                <w:sz w:val="1"/>
                <w:szCs w:val="1"/>
                <w:color w:val="auto"/>
              </w:rPr>
              <w:t>3/31/2023</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
                <w:szCs w:val="1"/>
                <w:color w:val="auto"/>
              </w:rPr>
              <w:t>10.0% interest</w:t>
            </w: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23"/>
        </w:trPr>
        <w:tc>
          <w:tcPr>
            <w:tcW w:w="148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F</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4/27/2020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ind w:left="820"/>
              <w:spacing w:after="0"/>
              <w:rPr>
                <w:sz w:val="20"/>
                <w:szCs w:val="20"/>
                <w:color w:val="auto"/>
              </w:rPr>
            </w:pPr>
            <w:r>
              <w:rPr>
                <w:rFonts w:ascii="Arial" w:cs="Arial" w:eastAsia="Arial" w:hAnsi="Arial"/>
                <w:sz w:val="18"/>
                <w:szCs w:val="18"/>
                <w:color w:val="auto"/>
              </w:rPr>
              <w:t>4/27/2022</w:t>
            </w: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 interest</w:t>
            </w:r>
            <w:r>
              <w:rPr>
                <w:rFonts w:ascii="Arial" w:cs="Arial" w:eastAsia="Arial" w:hAnsi="Arial"/>
                <w:sz w:val="14"/>
                <w:szCs w:val="14"/>
                <w:color w:val="auto"/>
              </w:rPr>
              <w:t>(3)</w:t>
            </w: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Total debt, gross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649,965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Fair value (E)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Total debt, gross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Debt discount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Total debt, net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Less current maturities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Long term debt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Secured Disbursed Escrow Promissory Note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Revolving Promissory Note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Amended and Restated Seller Note from acquisition of Allure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 Paycheck Protection Program Loan from Small Business Administration</w:t>
      </w:r>
    </w:p>
    <w:p>
      <w:pPr>
        <w:spacing w:after="0" w:line="211" w:lineRule="exact"/>
        <w:rPr>
          <w:sz w:val="20"/>
          <w:szCs w:val="20"/>
          <w:color w:val="auto"/>
        </w:rPr>
      </w:pPr>
    </w:p>
    <w:p>
      <w:pPr>
        <w:ind w:left="340" w:right="1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8.0% cash interest per annum through March 31, 2020. 10.0% paid-in-kind interest (“PIK”) interest per annum from April 1, 2020 through December 31, 2020. 8.0% cash interest per annum January 1, 2021 through the maturity date.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340" w:right="140" w:hanging="332"/>
        <w:spacing w:after="0" w:line="25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8.0% cash interest per annum, comprised of 6.0% cash, 2.0% PIK through March 31, 2020. 10.0% PIK interest per annum through September 30, 2020. In an event of default, the interest rate increases by 6.0% to 16.0%. Debt is automatically convertible to a new class of senior preferred stock of the Company at the earlier of an event of default or November 30, 2020. The principal, including PIK interest, as of December 31, 2020 is $2,177; however, fair value accounting for the convertible debt instrument results in an additional $93 of debt recorded on the Consolidated Balance Sheet as of December 31, 2020 related to this instrument.</w:t>
      </w:r>
    </w:p>
    <w:p>
      <w:pPr>
        <w:spacing w:after="0" w:line="187"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 cash interest per annum. Payments are deferred for six months from the date of the Promissory Note and the Company can apply for forgiveness of the Promissory Note after 60 days.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Loan and Security Agreement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February 17, 2022, Creative Realities, Inc. (the” Company”) and its subsidiaries (collectively, the “Borrowers”) refinanced their current debt facilities with Slipstream Communications, LLC (“Slipstream”), pursuant to a Second Amended and Restated Credit and Security Agreement (the “Credit Agreement”). The Borrowers include Reflect Systems, Inc. (“Reflect”), which became a wholly owned subsidiary of the Company as a result of the closing of the Merger on February 17, 2022. The debt facilities continue to be fully secured by all assets of the Borrowers.</w:t>
      </w:r>
    </w:p>
    <w:p>
      <w:pPr>
        <w:spacing w:after="0" w:line="17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75.0% warrant coverage (or 2,694,495 warrants). The Company issued to Slipstream a $7,185 Consolidation Term Note in connection with consolidating the Consolidation Term Loan.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w:t>
      </w:r>
    </w:p>
    <w:p>
      <w:pPr>
        <w:spacing w:after="0" w:line="16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to refinancing the existing debt with Slipstream, the Company also raised $10,000 in gross proceeds, or $9,950 in net proceeds, from entry into a new, 36-month senior secured term loan (the “Acquisition Loan”) with Slipstream as part of the Credit Agreement, which matures on February 17, 2025 (the “Maturity Date”). The Acquisition Loan has an interest rate of 8.0%, with 50.0% warrant coverage (or 2,500,000 warrants). The Company issued to Slipstream a $10,000 Acquisition Term Note in connection with obtaining the Acquisition Loan.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17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Acquisition Loan and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ind w:right="120" w:firstLine="648"/>
        <w:spacing w:after="0" w:line="296" w:lineRule="auto"/>
        <w:rPr>
          <w:sz w:val="20"/>
          <w:szCs w:val="20"/>
          <w:color w:val="auto"/>
        </w:rPr>
      </w:pPr>
      <w:r>
        <w:rPr>
          <w:rFonts w:ascii="Arial" w:cs="Arial" w:eastAsia="Arial" w:hAnsi="Arial"/>
          <w:sz w:val="16"/>
          <w:szCs w:val="16"/>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On February 17, 2022, in connection with the closing of the Reflect Acquisition, the Company issued to RSI Exit Corporation (“Stockholders’ Representative”), the representative of Reflect stockholders, a $2,500 Note and Security Agreement (the “Secured Promissory Note”).</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Secured Promissory Note accrues interest at 0.59% (the applicable federal rate) and requires the Company and Reflect to pay equal monthly principal installments of $104 on the fifteenth (15th) day of each month, commencing on March 17, 2022. Any remaining or unpaid principal shall be due and payable on February 15,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obligations of the Company and Reflect set forth in the Secured Promissory Note are secured by a first-lien security interest in various contracts of Reflect, together with all accounts arising under such contracts, supporting obligations related to the accounts arising under such contracts, all related books and records, and products and proceeds of the foregoing. Slipstream subordinated its security interest in such collateral, and the recourse for any breach of the Secured Promissory Note by the Company or Reflect will be against such collateral.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March 7, 2021, the Company and its subsidiaries (collectively, the “Borrowers”) refinanced their current debt facilities with Slipstream pursuant to an Amended and Restated Credit and Security Agreement (the “Prior Credit Agreement”). The debt facilities continue to be fully secured by all assets of the Borrowers. The maturity date (“Maturity Date”) on the outstanding debt and new debt is extended to March 31, 2023. The Prior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Prior Credit Agreement). The Line of Credit and Convertible Loan accrue interest at 10% per year, and the New Term Loan accrues interest at 8% per year.</w:t>
      </w:r>
    </w:p>
    <w:p>
      <w:pPr>
        <w:spacing w:after="0" w:line="16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only.</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ind w:right="24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Borrowers’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The Prior Credit Agreement limits the Company’s ability to issue Shares as follows (the “Exchange Limitations”): (1) The total number of Shares that may be issued under the Prior Credit Agreement will be limited to 19.99% of the Company’s outstanding shares of common stock on the date the Prior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w:t>
      </w:r>
    </w:p>
    <w:p>
      <w:pPr>
        <w:spacing w:after="0" w:line="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19.99% of the then issued and outstanding shares of Company common stock unless (A) such ownership would not be the largest ownership position in the Company, or (B) stockholder approval is obtained for ownership in excess of 19.99%.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for the Prior Credit Agreement was accounted for as a debt extinguishment in the first quarter of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August 17, 2016, the Company entered into a Loan and Security Agreement with Slipstream (“Loan and Security Agreement”). Since the initial entry into the Loan and Security Agreement in 2016, the Company has entered into several financing arrangements with varying interest rates, maturity dates, and number of associated detachable warrants, each entered within the structure of the Loan and Security Agreement. The debt instruments outstanding under the Loan and Security Agreement as of December 31, 2020 include the Term Loan, Secured Revolving Promissory Note, Secured Disbursed Escrow Promissory Note, and the Special Loan.</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Loan and Security Agreement contains certain customary restrictions including, but not limited to, restrictions on mergers and consolidations with other entities, cancellation of any debt or incurring new debt (subject to certain exceptions), and other customary restrictions. Obligations under the loan and security agreement are secured by a grant of collateral security in all of the tangible assets of Creative Realities, Inc. and each of its wholly owned subsidiaries.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On February 28, 2021, January 31, 2021, December 31, 2020, November 30, 2020, and September 29, 2020, the Company entered into several amendments to Loan and Security Agreement with its subsidiaries and Slipstream to amend the automatic conversion date of the Special Loan. Each amendment extended the automatic conversion date of the Special Loan, which was ultimately Amended and Restated in full on March 7, 2021 as discussed further above. The Company paid no fees in exchange for these extensions.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i w:val="1"/>
          <w:iCs w:val="1"/>
          <w:color w:val="auto"/>
        </w:rPr>
        <w:t>Eighth Amendment; Modification of Interest Rates under Loan and Security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1, 2020, the Company entered into an Eighth Amendment to Loan and Security Agreement (the “Eighth Amendment”) with its subsidiaries and Slipstream to amend the terms of the payments and interest accruing on the Company’s Term Loan, Secured Revolving Promissory Note, and Special Loan. The Eighth Amendment increased the interest rates of these loans from 8% to 10%, effective April 1, 2020. Until January 1, 2021, rather than cash payments of accrued interest under the term and revolving loans, interest will be paid by the issuance of and treated as additional principal thereunder. Commencing January 2, 2021, such interest will be payable in cash. Interest on the special loan will no longer be paid in cash, but by the issuance of and treated as additional principal thereunder.</w:t>
      </w:r>
    </w:p>
    <w:p>
      <w:pPr>
        <w:spacing w:after="0" w:line="19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Upon entry into the Eighth Amendment, the Company completed an analysis of the changes in the Loan and Security Agreement within ASC 470 </w:t>
      </w:r>
      <w:r>
        <w:rPr>
          <w:rFonts w:ascii="Arial" w:cs="Arial" w:eastAsia="Arial" w:hAnsi="Arial"/>
          <w:sz w:val="18"/>
          <w:szCs w:val="18"/>
          <w:i w:val="1"/>
          <w:iCs w:val="1"/>
          <w:color w:val="auto"/>
        </w:rPr>
        <w:t>Debt</w:t>
      </w:r>
      <w:r>
        <w:rPr>
          <w:rFonts w:ascii="Arial" w:cs="Arial" w:eastAsia="Arial" w:hAnsi="Arial"/>
          <w:sz w:val="18"/>
          <w:szCs w:val="18"/>
          <w:color w:val="auto"/>
        </w:rPr>
        <w:t>, concluding that the changes represent a modification to the existing debt that was not a troubled debt restructuring and will account for the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terms prospectively as yield adjustments, based on the revised terms.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bears no interest. Upon entry into the Prior Credit Agreement on March 7, 2021, this note was converted into Disbursed Escrow Conversion Shares, with elimination of the debt recorded as an equity issuance with the Statement of Shareholder’s Equity.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January 11, 2021, the Company received a notice from Old National Bank that the full principal amount of the PPP Loan and the accrued interest have been forgiven, resulting in a gain of $1,552 during the year-ended December 31,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Seller Note from acquisition of Allure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Amended and Restated Seller Note represented a note payable due from Allure to Seller, under a pre-existing Seller Note which was amended and restated to a reduced amount of $1,637 through the Stock Purchase Agreement and a subsequent net working capital adjustment. That debt accrued interest at 3.5% per annum, and required us to make quarterly payments of interest only through February 19, 2020, on which date the promissory note matured and all remaining amounts owing thereunder became due.</w:t>
      </w:r>
    </w:p>
    <w:p>
      <w:pPr>
        <w:spacing w:after="0" w:line="18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On February 20, 2020, Creative Realities, Inc. and Allure made a demand for arbitration against Seller for (1) breach of contract, (2) indemnification, and (3) fraudulent misrepresentation under the Allure Purchase Agreement.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As a result of this settlement, the full principal amount of the Seller Note and the accrued interest were eliminated, resulting in a gain in the Condensed Consolidated Financial statements of $1,624, representing $1,538 related to the Seller Note and $86 of related interest thereon, during 2021.</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 This case remains in the early stages of litigation, in part due to delays resulting from the COVID-19 pandemic, and, as a result, the outcome of each case is unclear, so the Company is unable to reasonably estimate the possible recovery, or range of recovery, if any.</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Due to delays arising as a result of the ongoing COVID-19 pandemic, these suits remain in the early stages of litigation and, as a result, the outcome of the suits and the allocation of liability, if any, remain unclear, so the Company is unable to reasonably estimate the possible liability, recovery, or range of magnitude for either the liability or recover, if any, at the time of this filing.</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has notified its insurance company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February 20, 2020, Creative Realities, Inc. and Allure made a demand for arbitration against Seller for (1) breach of contract, (2) indemnification, and (3) fraudulent misrepresentation under the Allure Purchase Agreement. This demand included a claim for the right to offset the amounts owing under the Amended and Restated Seller Note due February 20, 2020. The Company did not pay the Amended and Restated Seller Note on its maturity date. On February 27, 2020, Seller sent the Company a notice of breach for failure to pay the Amended and Restated Seller Note on the maturity date of February 20, 2020 and demanding immediate payment. On September 11, 2020, the Company served a First Amended Demand in the arbitration with Seller, and on November 5, 2020, Seller pre-served a Motion for Summary Disposition in the arbitration demanding payment of the Amended and Restated Seller Note and accrued interest.</w:t>
      </w:r>
    </w:p>
    <w:p>
      <w:pPr>
        <w:spacing w:after="0" w:line="19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recorded a gain on settlement of obligations of $1,624 during 2021 upon settlement.</w:t>
      </w:r>
    </w:p>
    <w:p>
      <w:pPr>
        <w:spacing w:after="0" w:line="1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Annual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2021, (i) the full principal amount of the PPP Loan and the accrued interest of $1,552 were forgiven and recorded as a gain on settlement,</w:t>
      </w:r>
    </w:p>
    <w:p>
      <w:pPr>
        <w:spacing w:after="0" w:line="46" w:lineRule="exact"/>
        <w:rPr>
          <w:sz w:val="20"/>
          <w:szCs w:val="20"/>
          <w:color w:val="auto"/>
        </w:rPr>
      </w:pPr>
    </w:p>
    <w:p>
      <w:pPr>
        <w:ind w:right="40" w:firstLine="8"/>
        <w:spacing w:after="0" w:line="255"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settled the Amended and Restated Seller Note and related accrued interest for $100, recording a gain on settlement of $1,624, representing $1,538 related to the Amended and Restated Seller Note and $86 of related interest thereon, and (iii) the statute of limitations passed related to the remaining liability on a lease abandoned by the Company in 2015, resulting in a gain of $256.</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ind w:right="300" w:firstLine="648"/>
        <w:spacing w:after="0" w:line="308" w:lineRule="auto"/>
        <w:rPr>
          <w:sz w:val="20"/>
          <w:szCs w:val="20"/>
          <w:color w:val="auto"/>
        </w:rPr>
      </w:pPr>
      <w:r>
        <w:rPr>
          <w:rFonts w:ascii="Arial" w:cs="Arial" w:eastAsia="Arial" w:hAnsi="Arial"/>
          <w:sz w:val="17"/>
          <w:szCs w:val="17"/>
          <w:color w:val="auto"/>
        </w:rPr>
        <w:t>During the year ended December 31, 2020, the Company settled and/or wrote off obligations of $348 for aggregate cash payments of $139 and recognized a gain of $209 related to legacy accounts payable deemed to no longer be legal obligations to vendors.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Employee-related Expenses</w:t>
      </w:r>
    </w:p>
    <w:p>
      <w:pPr>
        <w:spacing w:after="0" w:line="22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implemented cost-control measures in light of the effect of the COVID-19 pandemic on our business, including employment compensation reductions designed to achieve preliminary cost savings. On March 19, 2020, the Company’s Board of Directors approved a six-month reduction of the salaries of several Company employees by between five percent (5%) and twenty percent (20%). During 2021, the Company reinstated lost salaries one-third on each of April 1, July 1, and October 1, the final reinstate thereby increasing the compensation to its pre-pandemic levels.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March 20, 2020, we completed a reduction-in-force and accrued one-time termination benefits related to severance to the affected employees of $135, the total of which was paid during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termination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December 31, 2020, we vacated our office facilities located in Dallas, TX. In ceasing use of these facilities, we recorded a one-time non-cash charge of $18. There were no such lease terminations during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addition to the financing transactions with Slipstream, a related party,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we have the following related party transactions.</w:t>
      </w:r>
    </w:p>
    <w:p>
      <w:pPr>
        <w:spacing w:after="0" w:line="170"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33 Degrees Convenience Connect, Inc., a related party that was approximately 17.5% owned by a member of our senior management (“33 Degrees”) until September 2021, is a customer of both equipment and services from the Company. For the years ended December 31, 2021 and 2020, we had sales of $457 (2.5% of consolidated sales) and $1,057 (6.1% of consolidated sales), respectively, with 33 Degrees. Accounts receivable due from 33 Degrees was $35, or 1.0%, and $40, or 1.2% of consolidated accounts receivable at December 31, 2021 and December 31, 2020,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11: INCOME TAXES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Income tax benefit/(expense) consisted of the following:</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22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9"/>
              </w:rPr>
              <w:t>Year ended December 31,</w:t>
            </w:r>
          </w:p>
        </w:tc>
      </w:tr>
      <w:tr>
        <w:trPr>
          <w:trHeight w:val="237"/>
        </w:trPr>
        <w:tc>
          <w:tcPr>
            <w:tcW w:w="22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Tax provision summary: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benefit/(expense) - federal</w:t>
            </w:r>
          </w:p>
        </w:tc>
        <w:tc>
          <w:tcPr>
            <w:tcW w:w="820" w:type="dxa"/>
            <w:vAlign w:val="bottom"/>
          </w:tcPr>
          <w:p>
            <w:pPr>
              <w:spacing w:after="0"/>
              <w:rPr>
                <w:sz w:val="18"/>
                <w:szCs w:val="18"/>
                <w:color w:val="auto"/>
              </w:rPr>
            </w:pPr>
          </w:p>
        </w:tc>
        <w:tc>
          <w:tcPr>
            <w:tcW w:w="5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benefit/(expense) – state</w:t>
            </w:r>
          </w:p>
        </w:tc>
        <w:tc>
          <w:tcPr>
            <w:tcW w:w="8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Tax benefit/(expense)</w:t>
            </w: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tcPr>
          <w:p>
            <w:pPr>
              <w:spacing w:after="0"/>
              <w:rPr>
                <w:sz w:val="20"/>
                <w:szCs w:val="20"/>
                <w:color w:val="auto"/>
              </w:rPr>
            </w:pPr>
          </w:p>
        </w:tc>
      </w:tr>
      <w:tr>
        <w:trPr>
          <w:trHeight w:val="20"/>
        </w:trPr>
        <w:tc>
          <w:tcPr>
            <w:tcW w:w="2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income tax benefit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6"/>
          <w:szCs w:val="16"/>
          <w:color w:val="auto"/>
        </w:rPr>
        <w:t>A reconciliation of the statutory income tax rate to the effective income tax rates as a percentage of income before income taxes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5.21%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PPP Loan Forgiveness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(128.43)%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Discrete items, Transaction items, and Other</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115.43%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(15.11)%</w:t>
            </w:r>
          </w:p>
        </w:tc>
      </w:tr>
      <w:tr>
        <w:trPr>
          <w:trHeight w:val="250"/>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8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net deferred tax assets and liabilities recognized in the accompanying Consolidated Balance Sheets, determined using the income tax rate applicable to each period,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IRC 163(j) Interest Deduction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R&amp;D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foreign carryforwards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net operating loss and credit carryforwards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35,448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35,566</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41,759</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(42,186)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(41,759)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2021, the Company had no reserves recorded as a liability for unrecognized tax benefits for U.S. federal and state tax jurisdictions. There were no unrecognized tax benefits as of December 31, 2021 that, if recognized, would affect the tax rate. It is the Company’s policy to accrue interest and penalties related to liabilities for income tax contingencies in the provision for income taxes. As of December 31, 2021, the Company had no accrued interest or penalties related to uncertain tax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deferred tax assets are primarily related to net federal and state operating loss carryforwards (NOLs). As of December 31, 2021, the Company has federal and state net operating loss carryforwards expiring between 2022 and 2037, $10,651 of which has an indefinite carryforward period. The federal statute of limitations remains open for tax years 2018 through 2020 and state tax jurisdictions generally have statutes of limitations open for tax years 2017 through 2020.</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goodwill impairment recorded March 31, 2020 altered the deferred tax impact associated with indefinite lived goodwill from a deferred tax liability to a deferred tax asset. As the indefinite-lived intangibles can no longer provide a source of income, a full valuation allowance was placed against the deferred tax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performed a preliminary analysis of the annual NOL carryforwards and limitations that are available to be used against taxable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the history of losses of the Company, there continues to be a full valuation allowance against the net deferred tax assets of the Company.</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NOTE 12: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outstanding warrants for the years ended December 31, 2021 and 2020 is included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tcBorders>
              <w:top w:val="single" w:sz="8" w:color="auto"/>
            </w:tcBorders>
          </w:tcPr>
          <w:p>
            <w:pPr>
              <w:spacing w:after="0"/>
              <w:rPr>
                <w:sz w:val="21"/>
                <w:szCs w:val="21"/>
                <w:color w:val="auto"/>
              </w:rPr>
            </w:pPr>
          </w:p>
        </w:tc>
        <w:tc>
          <w:tcPr>
            <w:tcW w:w="406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7"/>
              </w:rPr>
              <w:t>Warrants (Equity)</w:t>
            </w: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40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Warrants issued</w:t>
            </w:r>
          </w:p>
        </w:tc>
        <w:tc>
          <w:tcPr>
            <w:tcW w:w="5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40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(323,689)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December 31, 2021</w:t>
            </w:r>
          </w:p>
        </w:tc>
        <w:tc>
          <w:tcPr>
            <w:tcW w:w="4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4,103,211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3"/>
          </w:tcPr>
          <w:p>
            <w:pPr>
              <w:jc w:val="right"/>
              <w:ind w:right="1850"/>
              <w:spacing w:after="0"/>
              <w:rPr>
                <w:sz w:val="20"/>
                <w:szCs w:val="20"/>
                <w:color w:val="auto"/>
              </w:rPr>
            </w:pPr>
            <w:r>
              <w:rPr>
                <w:rFonts w:ascii="Arial" w:cs="Arial" w:eastAsia="Arial" w:hAnsi="Arial"/>
                <w:sz w:val="18"/>
                <w:szCs w:val="18"/>
                <w:i w:val="1"/>
                <w:iCs w:val="1"/>
                <w:color w:val="auto"/>
              </w:rPr>
              <w:t>Year Ended December 31, 2020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7"/>
              </w:rPr>
              <w:t>Warrants (Equity)</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40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4,733,028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Warrants issued</w:t>
            </w:r>
          </w:p>
        </w:tc>
        <w:tc>
          <w:tcPr>
            <w:tcW w:w="5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5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(27,600)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Warrants expired</w:t>
            </w:r>
          </w:p>
        </w:tc>
        <w:tc>
          <w:tcPr>
            <w:tcW w:w="406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(278,528)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40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vMerge w:val="continue"/>
            <w:shd w:val="clear" w:color="auto" w:fill="CCEEFF"/>
          </w:tcPr>
          <w:p>
            <w:pPr>
              <w:spacing w:after="0"/>
              <w:rPr>
                <w:sz w:val="21"/>
                <w:szCs w:val="21"/>
                <w:color w:val="auto"/>
              </w:rPr>
            </w:pPr>
          </w:p>
        </w:tc>
        <w:tc>
          <w:tcPr>
            <w:tcW w:w="40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December 31, 2021, there remained outstanding 597,678 warrants which contain weighted average anti-dilution protection. During 2021, those warrants were subject to a downward adjustment in their strike price following completion of the Company’s issuance of common stock in (1) the Registered Direct Offering in February 2021 and (2) the conversion of the Disbursed Escrow Note in March 2021. The strike prices prior to adjustment ranged from $5.80 to $5.96 and were adjusted to between $5.61 and $5.76. The remaining weighted-average contractual life of warrants subject to weighted average anti-dilution protection is 0.92 years as of December 31, 2021.</w:t>
      </w:r>
    </w:p>
    <w:p>
      <w:pPr>
        <w:spacing w:after="0" w:line="188"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As of December 31, 2020, there remained outstanding 921,367 warrants which contain weighted average anti-dilution protection. During 2020, those warrants were subject to a downward adjustment in their strike price following completion of the Company’s issuance of common stock via at-the-market offering activities. The strike prices prior to adjustment ranged from $6.09 to $6.25 and were adjusted to between $5.80 and $5.96. The remaining weighted-average contractual life of warrants subject to weighted average anti-dilution protection is 1.71 years as of December 31, 2020.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1,400,000 shares of Company common stock in an at-the-market offering under Nasdaq rules.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expires five years from the date of issuance.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ind w:right="40" w:firstLine="648"/>
        <w:spacing w:after="0" w:line="289" w:lineRule="auto"/>
        <w:rPr>
          <w:sz w:val="20"/>
          <w:szCs w:val="20"/>
          <w:color w:val="auto"/>
        </w:rPr>
      </w:pPr>
      <w:r>
        <w:rPr>
          <w:rFonts w:ascii="Arial" w:cs="Arial" w:eastAsia="Arial" w:hAnsi="Arial"/>
          <w:sz w:val="16"/>
          <w:szCs w:val="16"/>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February 17, 2022, in connection with the restructured Credit Agreement with Slipstream, the Company issued 5,194,495 warrants with an exercise price of $2.00 per share which expire five years from the date of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outstanding options as of December 31, 2021 is included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$0.01 - $3.00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jc w:val="center"/>
              <w:spacing w:after="0"/>
              <w:rPr>
                <w:sz w:val="20"/>
                <w:szCs w:val="20"/>
                <w:color w:val="auto"/>
              </w:rPr>
            </w:pPr>
            <w:r>
              <w:rPr>
                <w:rFonts w:ascii="Arial" w:cs="Arial" w:eastAsia="Arial" w:hAnsi="Arial"/>
                <w:sz w:val="18"/>
                <w:szCs w:val="18"/>
                <w:color w:val="auto"/>
                <w:w w:val="90"/>
              </w:rPr>
              <w:t>$3.01 - $7.50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184,830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176,496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103,979</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882,142</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gridSpan w:val="2"/>
          </w:tcPr>
          <w:p>
            <w:pPr>
              <w:ind w:left="340"/>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50"/>
        </w:trPr>
        <w:tc>
          <w:tcPr>
            <w:tcW w:w="4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266,667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266,667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680"/>
              <w:spacing w:after="0"/>
              <w:rPr>
                <w:sz w:val="20"/>
                <w:szCs w:val="20"/>
                <w:color w:val="auto"/>
              </w:rPr>
            </w:pPr>
            <w:r>
              <w:rPr>
                <w:rFonts w:ascii="Arial" w:cs="Arial" w:eastAsia="Arial" w:hAnsi="Arial"/>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94"/>
              </w:rPr>
              <w:t>Performance Vesting Options</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Date/Activity</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2,068,809</w:t>
            </w: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7.2 years as of December 31,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November 17, 2021, Creative Realities’ Board of Directors updated its director compensation plan to compensate non-officer directors resulting in the Company granting 10-year options to purchase an aggregate of 255,000 shares of its common stock to non-employee directors of the Company under the Company’s 2014 Stock Incentive Plan (the “Plan”). One-third of the options vested immediately, with the half of the remaining options vesting at each of the first and second anniversaries of the grant date. The options have an exercise price of $2.21, the market value of the Company’s common stock on the grant date. The fair value of the options on the grant date was $1.744 and was determined using the Black-Scholes model. These values were calculated using the following weighted average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6.25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On June 1, 2020 the Board of Directors of the Company granted 10-year options to purchase an aggregate of 2,380,000 shares of its common stock to employees of the Company subject to shareholder approval of an increase in the reserve of shares authorized for issuance under the Company’s 2014 Stock Incentive Plan (the “Plan”). On July 10, 2020, the Company held a special meeting of the Company’s shareholders at which the shareholders approved the amendment to the Plan, which increased the reserve of shares authorized for issuance thereunder to 6,000,000 shares.</w:t>
      </w:r>
    </w:p>
    <w:p>
      <w:pPr>
        <w:spacing w:after="0" w:line="15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Of the 2,380,000 options awarded, 1,580,000 vest over 3 years and have an exercise price of $2.53, the market value of the Company’s common stock on the grant date. The fair value of the options on the grant date was $1.87 and was determined using the Black-Scholes model. These values were calculated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6.25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three plan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EBITDA</w:t>
            </w: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Calendar Year</w:t>
            </w:r>
          </w:p>
        </w:tc>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Target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2"/>
              </w:rPr>
              <w:t>$32 million</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$2.2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2021</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$35 million</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$3.1 million</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 million</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 million</w:t>
            </w:r>
          </w:p>
        </w:tc>
      </w:tr>
      <w:tr>
        <w:trPr>
          <w:trHeight w:val="655"/>
        </w:trPr>
        <w:tc>
          <w:tcPr>
            <w:tcW w:w="32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jc w:val="right"/>
              <w:ind w:right="2930"/>
              <w:spacing w:after="0"/>
              <w:rPr>
                <w:sz w:val="20"/>
                <w:szCs w:val="20"/>
                <w:color w:val="auto"/>
              </w:rPr>
            </w:pPr>
            <w:r>
              <w:rPr>
                <w:rFonts w:ascii="Arial" w:cs="Arial" w:eastAsia="Arial" w:hAnsi="Arial"/>
                <w:sz w:val="18"/>
                <w:szCs w:val="18"/>
                <w:color w:val="auto"/>
              </w:rPr>
              <w:t>F-28</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executives met the foregoing EBTIDA target for calendar year 2021.</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exercise price of the foregoing options is $2.53 per share, the closing price of the Company’s common stock on the grant date. The options were issued from the Company’s 2014 Stock Incentive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 No expense was recorded in 2020 as neither the revenue nor EBITDA target were achieved. The Company recorded stock compensation expense of $500 within general and administrative expense related to these awards for current year and catch-up expense related to the achievement of the EBITDA target in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12,135 options outstanding under the 2006 Equity Incentive Plan.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There are 2,856,674 options outstanding under the 2014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Compensation expense recognized for the issuance of stock options to employees for the years ended December 31, 2021 and 2020 of $1,494 and $620, respectively, was included in general and administrative expense in the Consolidated Financial Statements.</w:t>
      </w:r>
    </w:p>
    <w:p>
      <w:pPr>
        <w:spacing w:after="0" w:line="170"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At December 31, 2021, there was approximately $1,360 and $999 of total unrecognized compensation expense related to unvested share-based awards with time vesting and performance vesting criteria for employees,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Compensation expense recognized for the issuance of stock options, including those options awarded to our Board of Directors, for the years ended December 31, 2021 and 2020 of $399 and $100, respectively, was included in general and administrative expense in the Consolidated Financial Statements. At December 31, 2021, there was approximately $260 of total unrecognized compensation expense related to unvested share-based awards with time vesting criteria for non-employee directors. Generally, expense related to the time vesting options will be recognized over the next two- years and will be adjusted for any future forfeitures as they occur.</w:t>
      </w:r>
    </w:p>
    <w:p>
      <w:pPr>
        <w:spacing w:after="0" w:line="18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During 2021, the Company engaged certain consultants to perform services in exchange for Company common stock. Shares issued for services were calculated based on the ten (10) day volume weighted average price (“VWAP”) for the last ten (10) days during the month of service provided. The Company recorded $130 in compensation expenses in exchange for issuance of shares during 2021. $30 of the compensation expenses were recorded as capitalized software.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NOTE 14: LEASES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2022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ectPr>
          <w:pgSz w:w="11900" w:h="16838" w:orient="portrait"/>
          <w:cols w:equalWidth="0" w:num="1">
            <w:col w:w="11240"/>
          </w:cols>
          <w:pgMar w:left="320" w:top="877" w:right="339" w:bottom="1440" w:gutter="0" w:footer="0" w:header="0"/>
        </w:sectPr>
      </w:pPr>
    </w:p>
    <w:p>
      <w:pPr>
        <w:spacing w:after="0" w:line="187" w:lineRule="exact"/>
        <w:rPr>
          <w:sz w:val="20"/>
          <w:szCs w:val="20"/>
          <w:color w:val="auto"/>
        </w:rPr>
      </w:pPr>
    </w:p>
    <w:p>
      <w:pPr>
        <w:jc w:val="right"/>
        <w:ind w:right="1834"/>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
        <w:spacing w:after="0"/>
        <w:rPr>
          <w:sz w:val="20"/>
          <w:szCs w:val="20"/>
          <w:color w:val="auto"/>
        </w:rPr>
      </w:pPr>
      <w:r>
        <w:rPr>
          <w:rFonts w:ascii="Arial" w:cs="Arial" w:eastAsia="Arial" w:hAnsi="Arial"/>
          <w:sz w:val="16"/>
          <w:szCs w:val="16"/>
          <w:b w:val="1"/>
          <w:bCs w:val="1"/>
          <w:color w:val="auto"/>
        </w:rPr>
        <w:t>December 31,</w:t>
      </w:r>
    </w:p>
    <w:p>
      <w:pPr>
        <w:spacing w:after="0" w:line="32"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1026" w:hanging="1026"/>
        <w:spacing w:after="0"/>
        <w:tabs>
          <w:tab w:leader="none" w:pos="1026" w:val="left"/>
        </w:tabs>
        <w:numPr>
          <w:ilvl w:val="0"/>
          <w:numId w:val="55"/>
        </w:numPr>
        <w:rPr>
          <w:rFonts w:ascii="Arial" w:cs="Arial" w:eastAsia="Arial" w:hAnsi="Arial"/>
          <w:sz w:val="13"/>
          <w:szCs w:val="13"/>
          <w:color w:val="auto"/>
        </w:rPr>
      </w:pPr>
      <w:r>
        <w:rPr>
          <w:rFonts w:ascii="Arial" w:cs="Arial" w:eastAsia="Arial" w:hAnsi="Arial"/>
          <w:sz w:val="13"/>
          <w:szCs w:val="13"/>
          <w:color w:val="auto"/>
        </w:rPr>
        <w:t>4</w:t>
      </w:r>
    </w:p>
    <w:p>
      <w:pPr>
        <w:spacing w:after="0" w:line="80" w:lineRule="exact"/>
        <w:rPr>
          <w:rFonts w:ascii="Arial" w:cs="Arial" w:eastAsia="Arial" w:hAnsi="Arial"/>
          <w:sz w:val="13"/>
          <w:szCs w:val="13"/>
          <w:color w:val="auto"/>
        </w:rPr>
      </w:pPr>
    </w:p>
    <w:p>
      <w:pPr>
        <w:ind w:left="1046"/>
        <w:spacing w:after="0"/>
        <w:rPr>
          <w:rFonts w:ascii="Arial" w:cs="Arial" w:eastAsia="Arial" w:hAnsi="Arial"/>
          <w:sz w:val="13"/>
          <w:szCs w:val="13"/>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379</w:t>
      </w:r>
    </w:p>
    <w:p>
      <w:pPr>
        <w:spacing w:after="0" w:line="62" w:lineRule="exact"/>
        <w:rPr>
          <w:sz w:val="20"/>
          <w:szCs w:val="20"/>
          <w:color w:val="auto"/>
        </w:rPr>
      </w:pPr>
    </w:p>
    <w:p>
      <w:pPr>
        <w:ind w:left="846" w:hanging="846"/>
        <w:spacing w:after="0"/>
        <w:tabs>
          <w:tab w:leader="none" w:pos="846" w:val="left"/>
        </w:tabs>
        <w:numPr>
          <w:ilvl w:val="0"/>
          <w:numId w:val="56"/>
        </w:numPr>
        <w:rPr>
          <w:rFonts w:ascii="Arial" w:cs="Arial" w:eastAsia="Arial" w:hAnsi="Arial"/>
          <w:sz w:val="15"/>
          <w:szCs w:val="15"/>
          <w:color w:val="auto"/>
        </w:rPr>
      </w:pPr>
      <w:r>
        <w:rPr>
          <w:rFonts w:ascii="Arial" w:cs="Arial" w:eastAsia="Arial" w:hAnsi="Arial"/>
          <w:sz w:val="15"/>
          <w:szCs w:val="15"/>
          <w:color w:val="auto"/>
        </w:rPr>
        <w:t>383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29" w:right="171"/>
        <w:spacing w:after="0" w:line="266" w:lineRule="auto"/>
        <w:rPr>
          <w:sz w:val="20"/>
          <w:szCs w:val="20"/>
          <w:color w:val="auto"/>
        </w:rPr>
      </w:pPr>
      <w:r>
        <w:rPr>
          <w:rFonts w:ascii="Arial" w:cs="Arial" w:eastAsia="Arial" w:hAnsi="Arial"/>
          <w:sz w:val="18"/>
          <w:szCs w:val="18"/>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029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87" w:lineRule="exact"/>
        <w:rPr>
          <w:sz w:val="20"/>
          <w:szCs w:val="20"/>
          <w:color w:val="auto"/>
        </w:rPr>
      </w:pPr>
    </w:p>
    <w:p>
      <w:pPr>
        <w:ind w:left="929" w:hanging="929"/>
        <w:spacing w:after="0"/>
        <w:tabs>
          <w:tab w:leader="none" w:pos="9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20</w:t>
      </w:r>
    </w:p>
    <w:p>
      <w:pPr>
        <w:spacing w:after="0" w:line="46"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7"/>
          <w:szCs w:val="17"/>
          <w:color w:val="auto"/>
        </w:rPr>
        <w:t>2</w:t>
      </w:r>
    </w:p>
    <w:p>
      <w:pPr>
        <w:spacing w:after="0" w:line="2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626</w:t>
      </w:r>
    </w:p>
    <w:p>
      <w:pPr>
        <w:spacing w:after="0" w:line="62" w:lineRule="exact"/>
        <w:rPr>
          <w:sz w:val="20"/>
          <w:szCs w:val="20"/>
          <w:color w:val="auto"/>
        </w:rPr>
      </w:pPr>
    </w:p>
    <w:p>
      <w:pPr>
        <w:ind w:left="829" w:hanging="829"/>
        <w:spacing w:after="0"/>
        <w:tabs>
          <w:tab w:leader="none" w:pos="829" w:val="left"/>
        </w:tabs>
        <w:numPr>
          <w:ilvl w:val="0"/>
          <w:numId w:val="58"/>
        </w:numPr>
        <w:rPr>
          <w:rFonts w:ascii="Arial" w:cs="Arial" w:eastAsia="Arial" w:hAnsi="Arial"/>
          <w:sz w:val="16"/>
          <w:szCs w:val="16"/>
          <w:color w:val="auto"/>
        </w:rPr>
      </w:pPr>
      <w:r>
        <w:rPr>
          <w:rFonts w:ascii="Arial" w:cs="Arial" w:eastAsia="Arial" w:hAnsi="Arial"/>
          <w:sz w:val="16"/>
          <w:szCs w:val="16"/>
          <w:color w:val="auto"/>
        </w:rPr>
        <w:t>648</w:t>
      </w:r>
    </w:p>
    <w:p>
      <w:pPr>
        <w:spacing w:after="0" w:line="46" w:lineRule="exact"/>
        <w:rPr>
          <w:sz w:val="20"/>
          <w:szCs w:val="20"/>
          <w:color w:val="auto"/>
        </w:rPr>
      </w:pPr>
    </w:p>
    <w:p>
      <w:pPr>
        <w:sectPr>
          <w:pgSz w:w="11900" w:h="16838" w:orient="portrait"/>
          <w:cols w:equalWidth="0" w:num="3">
            <w:col w:w="7874" w:space="720"/>
            <w:col w:w="1106" w:space="271"/>
            <w:col w:w="1269"/>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5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2.8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 years</w:t>
            </w:r>
          </w:p>
        </w:tc>
      </w:tr>
      <w:tr>
        <w:trPr>
          <w:trHeight w:val="216"/>
        </w:trPr>
        <w:tc>
          <w:tcPr>
            <w:tcW w:w="860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0.9 years</w:t>
            </w:r>
          </w:p>
        </w:tc>
      </w:tr>
      <w:tr>
        <w:trPr>
          <w:trHeight w:val="216"/>
        </w:trPr>
        <w:tc>
          <w:tcPr>
            <w:tcW w:w="8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60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14.0%</w:t>
            </w:r>
          </w:p>
        </w:tc>
      </w:tr>
      <w:tr>
        <w:trPr>
          <w:trHeight w:val="418"/>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December 31, 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r>
      <w:tr>
        <w:trPr>
          <w:trHeight w:val="24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756</w:t>
            </w:r>
          </w:p>
        </w:tc>
        <w:tc>
          <w:tcPr>
            <w:tcW w:w="100" w:type="dxa"/>
            <w:vAlign w:val="bottom"/>
            <w:tcBorders>
              <w:top w:val="single" w:sz="8" w:color="CCEEFF"/>
            </w:tcBorders>
          </w:tcPr>
          <w:p>
            <w:pPr>
              <w:spacing w:after="0"/>
              <w:rPr>
                <w:sz w:val="17"/>
                <w:szCs w:val="17"/>
                <w:color w:val="auto"/>
              </w:rPr>
            </w:pPr>
          </w:p>
        </w:tc>
      </w:tr>
      <w:tr>
        <w:trPr>
          <w:trHeight w:val="24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0"/>
        </w:trPr>
        <w:tc>
          <w:tcPr>
            <w:tcW w:w="860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Present value of lease liabilities</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654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Lease liabilities, current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281</w:t>
            </w:r>
          </w:p>
        </w:tc>
      </w:tr>
      <w:tr>
        <w:trPr>
          <w:trHeight w:val="25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non-current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10"/>
        </w:trPr>
        <w:tc>
          <w:tcPr>
            <w:tcW w:w="860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Present value of lease liabilities</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tcPr>
          <w:p>
            <w:pPr>
              <w:spacing w:after="0"/>
              <w:rPr>
                <w:sz w:val="18"/>
                <w:szCs w:val="18"/>
                <w:color w:val="auto"/>
              </w:rPr>
            </w:pPr>
          </w:p>
        </w:tc>
      </w:tr>
      <w:tr>
        <w:trPr>
          <w:trHeight w:val="432"/>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30"/>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641"/>
        </w:trPr>
        <w:tc>
          <w:tcPr>
            <w:tcW w:w="8600" w:type="dxa"/>
            <w:vAlign w:val="bottom"/>
            <w:tcBorders>
              <w:bottom w:val="single" w:sz="8" w:color="auto"/>
            </w:tcBorders>
            <w:gridSpan w:val="2"/>
          </w:tcPr>
          <w:p>
            <w:pPr>
              <w:ind w:left="5440"/>
              <w:spacing w:after="0"/>
              <w:rPr>
                <w:sz w:val="20"/>
                <w:szCs w:val="20"/>
                <w:color w:val="auto"/>
              </w:rPr>
            </w:pPr>
            <w:r>
              <w:rPr>
                <w:rFonts w:ascii="Arial" w:cs="Arial" w:eastAsia="Arial" w:hAnsi="Arial"/>
                <w:sz w:val="18"/>
                <w:szCs w:val="18"/>
                <w:color w:val="auto"/>
              </w:rPr>
              <w:t>F-30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NOTE 15: PROFIT-SHARING PLAN</w:t>
      </w:r>
    </w:p>
    <w:p>
      <w:pPr>
        <w:spacing w:after="0" w:line="229"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We have a defined contribution 401(k) retirement plans for eligible associates in the United States. Associates may contribute up to 15% of their pretax compensation to the plan subject to IRS limitations. Beginning on April 1, 2018, the Company began contributing an employer contribution match of 50% of employee wages up to 6%, for an effective match of 3%. The Company indefinitely suspended the employer match at the end of March 2020 in response to the uncertainty of the COVID-19 pandemic and reinstated the employer match in October 2021.</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a Registered Retirement Savings Plan for eligible associates in Canada. Associates may contribute up to 18% of earned income reported on their tax return in the previous year, subject to legal contribution limits. Beginning on April 1, 2018, the Company began contributing an employer contribution match of 50% of employee wages up to 6%, for an effective match of 3%. The Company indefinitely suspended the employer match at the end of March 2020 in response to the uncertainty of the COVID-19 pandemic and reinstated the employer match in October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contributed $19 and $35 to employee retirement plans for the year-ended December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SEGMENT INFORMATION AND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currently operate in one reportable segment, marketing technology solutions. Substantially all property and equipment is located at our offices in the United States, and a data center located in the United States. All material sales for the years ended December 31, 2021 and 2020 were in the United States and Canada.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had two (2) customers that accounted for 41.1% and 27.8% of revenue for the years ended December 31, 2021 and 2020, respectively.</w:t>
      </w:r>
    </w:p>
    <w:p>
      <w:pPr>
        <w:spacing w:after="0" w:line="23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had two (2) and customers that in the aggregate accounted for 56.6% and 42.6% of accounts receivable as of December 31,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had three (3) and two (2) vendors that accounted for 69.1% and 46.8% of outstanding accounts payable at December 31, 2021 and December 31, 2020, respectively.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3, 2022, the Company entered into a Securities Purchase Agreement with the Purchaser for gross proceeds of approximately $11,000 before deducting placement agent fees and estimated offering expenses. The net proceeds from such equity financing were used to fund, in part, payment of the closing cash consideration in the Merger. A detailed explanation of this transaction is included in Note 1 to the audited annual financial statements included within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On February 17, 2022, the Company raised $10,000 in gross proceeds, or $9,950 in net proceeds, from entry into the Acquisition Loan with Slipstream as part of the Credit Agreement, with an interest rate of 8.0% and which matures on February 17, 2025. The Company also refinanced their current debt facilities with Slipstream, pursuant to the Credit Agreement into a single note for $7,185 with interest rate of 10.0% maturing on the same date. A detailed explanation of this transaction is included in Note 1 to the audited annual financial statements included within this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March 18, 2022, the Purchaser exercised 1,301,505 pre-funded warrants at an exercise price of $0.0001 per share in exchange for 1,301,505 shares of Company common stock.</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gridSpan w:val="23"/>
          </w:tcPr>
          <w:p>
            <w:pPr>
              <w:jc w:val="center"/>
              <w:ind w:right="466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gridSpan w:val="22"/>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Stock Purchase Agreement, dated as of September 20, 2018, by and between the registrant and Christie Digital System, Inc. (incorporated</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by reference to the registrant’s Current Report on Form 8-K filed with the SEC on September 20,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shd w:val="clear" w:color="auto" w:fill="CCEEFF"/>
              </w:rPr>
            </w:pPr>
            <w:hyperlink r:id="rId101">
              <w:r>
                <w:rPr>
                  <w:rFonts w:ascii="Arial" w:cs="Arial" w:eastAsia="Arial" w:hAnsi="Arial"/>
                  <w:sz w:val="18"/>
                  <w:szCs w:val="18"/>
                  <w:color w:val="0000EE"/>
                  <w:w w:val="90"/>
                  <w:shd w:val="clear" w:color="auto" w:fill="CCEEFF"/>
                </w:rPr>
                <w:t>Agreement and Plan of Merger, dated as of November 12, 2021, by and between the registrant, CRI Acquisition Corporation, Reflect</w:t>
              </w:r>
            </w:hyperlink>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EE"/>
            </w:tcBorders>
            <w:gridSpan w:val="26"/>
            <w:shd w:val="clear" w:color="auto" w:fill="CCEEFF"/>
          </w:tcPr>
          <w:p>
            <w:pPr>
              <w:spacing w:after="0" w:line="196" w:lineRule="exact"/>
              <w:rPr>
                <w:rFonts w:ascii="Arial" w:cs="Arial" w:eastAsia="Arial" w:hAnsi="Arial"/>
                <w:sz w:val="18"/>
                <w:szCs w:val="18"/>
                <w:color w:val="0000EE"/>
                <w:w w:val="92"/>
                <w:shd w:val="clear" w:color="auto" w:fill="CCEEFF"/>
              </w:rPr>
            </w:pPr>
            <w:hyperlink r:id="rId101">
              <w:r>
                <w:rPr>
                  <w:rFonts w:ascii="Arial" w:cs="Arial" w:eastAsia="Arial" w:hAnsi="Arial"/>
                  <w:sz w:val="18"/>
                  <w:szCs w:val="18"/>
                  <w:color w:val="0000EE"/>
                  <w:w w:val="92"/>
                  <w:shd w:val="clear" w:color="auto" w:fill="CCEEFF"/>
                </w:rPr>
                <w:t>Systems, Inc., and RSI Exit Corporation (incorporated by reference to Exhibit 2.1 to the registrant’s Current Report on Form 8-K filed on</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shd w:val="clear" w:color="auto" w:fill="CCEEFF"/>
              </w:rPr>
            </w:pPr>
            <w:hyperlink r:id="rId101">
              <w:r>
                <w:rPr>
                  <w:rFonts w:ascii="Arial" w:cs="Arial" w:eastAsia="Arial" w:hAnsi="Arial"/>
                  <w:sz w:val="18"/>
                  <w:szCs w:val="18"/>
                  <w:color w:val="0000EE"/>
                  <w:w w:val="90"/>
                  <w:shd w:val="clear" w:color="auto" w:fill="CCEEFF"/>
                </w:rPr>
                <w:t>November 15, 2021)</w:t>
              </w:r>
            </w:hyperlink>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Amendment to Agreement and Plan of Merger, dated as of February 8, 2022, by and among the registrant, CRI Acquisition Corporation,</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Reflect Systems, Inc., and RSI Exit Corporation (incorporated by reference to Exhibit 2.1 to the registrant’s Current Report on Form 8-K</w:t>
              </w:r>
            </w:hyperlink>
          </w:p>
        </w:tc>
        <w:tc>
          <w:tcPr>
            <w:tcW w:w="240" w:type="dxa"/>
            <w:vAlign w:val="bottom"/>
            <w:tcBorders>
              <w:bottom w:val="single" w:sz="8" w:color="CCEEFF"/>
            </w:tcBorders>
            <w:gridSpan w:val="7"/>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filed February 9,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Articles of Incorporation, as amended (incorporated by reference to Exhibit 3.1 to the registrant’s Form 8-K filed with the SEC on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September 17, 2014)</w:t>
              </w:r>
            </w:hyperlink>
          </w:p>
        </w:tc>
        <w:tc>
          <w:tcPr>
            <w:tcW w:w="740" w:type="dxa"/>
            <w:vAlign w:val="bottom"/>
            <w:tcBorders>
              <w:top w:val="single" w:sz="8" w:color="CCEEFF"/>
            </w:tcBorders>
            <w:gridSpan w:val="1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Articles of Amendment Filed on October 17, 2018 (incorporate by reference to Exhibit 3.3 to the registrant’s registration statement on Form</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S-1 filed October 17,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shd w:val="clear" w:color="auto" w:fill="CCEEFF"/>
              </w:rPr>
            </w:pPr>
            <w:hyperlink r:id="rId104">
              <w:r>
                <w:rPr>
                  <w:rFonts w:ascii="Arial" w:cs="Arial" w:eastAsia="Arial" w:hAnsi="Arial"/>
                  <w:sz w:val="18"/>
                  <w:szCs w:val="18"/>
                  <w:color w:val="0000EE"/>
                  <w:w w:val="91"/>
                  <w:shd w:val="clear" w:color="auto" w:fill="CCEEFF"/>
                </w:rPr>
                <w:t>Series A-1 Convertible Preferred Stock Certificate of Designation of Preferences, Rights and Limitations filed October 30, 3015</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4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shd w:val="clear" w:color="auto" w:fill="CCEEFF"/>
              </w:rPr>
            </w:pPr>
            <w:hyperlink r:id="rId104">
              <w:r>
                <w:rPr>
                  <w:rFonts w:ascii="Arial" w:cs="Arial" w:eastAsia="Arial" w:hAnsi="Arial"/>
                  <w:sz w:val="18"/>
                  <w:szCs w:val="18"/>
                  <w:color w:val="0000EE"/>
                  <w:w w:val="91"/>
                  <w:shd w:val="clear" w:color="auto" w:fill="CCEEFF"/>
                </w:rPr>
                <w:t>(incorporated by reference to Exhibit 4.2 of the registrant’s Registration Statement on Form S-1 filed with the SEC on February</w:t>
              </w:r>
            </w:hyperlink>
          </w:p>
        </w:tc>
        <w:tc>
          <w:tcPr>
            <w:tcW w:w="680" w:type="dxa"/>
            <w:vAlign w:val="bottom"/>
            <w:tcBorders>
              <w:bottom w:val="single" w:sz="8" w:color="0000EE"/>
            </w:tcBorders>
            <w:gridSpan w:val="11"/>
            <w:shd w:val="clear" w:color="auto" w:fill="CCEEFF"/>
          </w:tcPr>
          <w:p>
            <w:pPr>
              <w:jc w:val="right"/>
              <w:spacing w:after="0" w:line="196" w:lineRule="exact"/>
              <w:rPr>
                <w:rFonts w:ascii="Arial" w:cs="Arial" w:eastAsia="Arial" w:hAnsi="Arial"/>
                <w:sz w:val="18"/>
                <w:szCs w:val="18"/>
                <w:color w:val="0000EE"/>
                <w:w w:val="86"/>
                <w:shd w:val="clear" w:color="auto" w:fill="CCEEFF"/>
              </w:rPr>
            </w:pPr>
            <w:hyperlink r:id="rId104">
              <w:r>
                <w:rPr>
                  <w:rFonts w:ascii="Arial" w:cs="Arial" w:eastAsia="Arial" w:hAnsi="Arial"/>
                  <w:sz w:val="18"/>
                  <w:szCs w:val="18"/>
                  <w:color w:val="0000EE"/>
                  <w:w w:val="86"/>
                  <w:shd w:val="clear" w:color="auto" w:fill="CCEEFF"/>
                </w:rPr>
                <w:t>11, 2016)</w:t>
              </w:r>
            </w:hyperlink>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Amendment to Articles of Incorporation (incorporated by reference to Exhibit 3.1 to the registrant’s Form 8-K filed with the SEC on</w:t>
              </w:r>
            </w:hyperlink>
          </w:p>
        </w:tc>
        <w:tc>
          <w:tcPr>
            <w:tcW w:w="540" w:type="dxa"/>
            <w:vAlign w:val="bottom"/>
            <w:tcBorders>
              <w:bottom w:val="single" w:sz="8" w:color="CCEEFF"/>
            </w:tcBorders>
            <w:gridSpan w:val="1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September 17, 2014)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Articles of Amendment (incorporated by reference to Exhibit 3.1 to the registrant’s Form 8-K filed with the SEC on October 16, 2014)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Articles of Amendment Filed on October 17, 2018 (incorporated by reference to Exhibit 3.3 to the registrant’s registration statement 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Form S-1 filed October 17, 2018)</w:t>
              </w:r>
            </w:hyperlink>
          </w:p>
        </w:tc>
        <w:tc>
          <w:tcPr>
            <w:tcW w:w="36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Statement of Cancellation of Certificate of Designation of Series A Convertible Preferred Stock (incorporated by reference to Exhibit 3.1 to</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the registrant’s Form 8-K filed with the SEC on March 18, 2019)</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Statement of Cancellation of Certificate of Designation of Series A-1 Convertible Preferred Stock (incorporated by reference to Exhibit 3.2</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to the registrant’s Form 8-K filed with the SEC on March 18, 2019)</w:t>
              </w:r>
            </w:hyperlink>
          </w:p>
        </w:tc>
        <w:tc>
          <w:tcPr>
            <w:tcW w:w="8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Amended and Restated Bylaws (incorporated by reference to the registrant’s Current Report on Form 8-K filed on November 2, 2011)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7"/>
              </w:rPr>
            </w:pPr>
            <w:hyperlink r:id="rId110">
              <w:r>
                <w:rPr>
                  <w:rFonts w:ascii="Arial" w:cs="Arial" w:eastAsia="Arial" w:hAnsi="Arial"/>
                  <w:sz w:val="18"/>
                  <w:szCs w:val="18"/>
                  <w:color w:val="0000EE"/>
                  <w:w w:val="97"/>
                </w:rPr>
                <w:t>Specimen certificate evidencing shares of Common Stock (incorporated by reference to Exhibit 4.2 of the Registrant’s Registration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Statement on Form SB-2 (File No. 333-136972))</w:t>
              </w:r>
            </w:hyperlink>
          </w:p>
        </w:tc>
        <w:tc>
          <w:tcPr>
            <w:tcW w:w="660" w:type="dxa"/>
            <w:vAlign w:val="bottom"/>
            <w:tcBorders>
              <w:top w:val="single" w:sz="8" w:color="CCEEFF"/>
            </w:tcBorders>
            <w:gridSpan w:val="15"/>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Form of Indenture between the registrant and one or more trustees to be named (incorporated by reference to Exhibit 4.4 of the Registrant’s</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Registration Statement on Form S-3 (File No. 333-238275)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Form of Warrant Issued to Selling Stockholders (November 19, 2018 Issuance date) (incorporated by reference to Exhibit 4.2 of the</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Registrant’s Registration Statement on Form S-3 (File No. 333-239108)</w:t>
              </w:r>
            </w:hyperlink>
          </w:p>
        </w:tc>
        <w:tc>
          <w:tcPr>
            <w:tcW w:w="620" w:type="dxa"/>
            <w:vAlign w:val="bottom"/>
            <w:tcBorders>
              <w:top w:val="single" w:sz="8" w:color="CCEEFF"/>
            </w:tcBorders>
            <w:gridSpan w:val="1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Warrant dated August 10, 2017, issued in favor of Slipstream Communications, LLC (incorporated by reference to the registrant’s Form 10-</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Q filed with the SEC on November 14, 2017)</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Warrant dated November 13, 2017, issued in favor of Slipstream Communications, LLC (incorporated by reference to the registrant’s Form</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Warrant dated January 16, 2018, issued in favor of Slipstream Communications, LLC (incorporated by reference to the registrant’s Form S-</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1 filed with the SEC on June 25, 2018)</w:t>
              </w:r>
            </w:hyperlink>
          </w:p>
        </w:tc>
        <w:tc>
          <w:tcPr>
            <w:tcW w:w="60" w:type="dxa"/>
            <w:vAlign w:val="bottom"/>
            <w:tcBorders>
              <w:top w:val="single" w:sz="8" w:color="CCEEFF"/>
            </w:tcBorders>
            <w:gridSpan w:val="3"/>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5840" w:type="dxa"/>
            <w:vAlign w:val="bottom"/>
            <w:tcBorders>
              <w:top w:val="single" w:sz="8" w:color="CCEEFF"/>
              <w:bottom w:val="single" w:sz="8" w:color="auto"/>
            </w:tcBorders>
            <w:gridSpan w:val="22"/>
          </w:tcPr>
          <w:p>
            <w:pPr>
              <w:jc w:val="center"/>
              <w:ind w:right="5380"/>
              <w:spacing w:after="0"/>
              <w:rPr>
                <w:sz w:val="20"/>
                <w:szCs w:val="20"/>
                <w:color w:val="auto"/>
              </w:rPr>
            </w:pPr>
            <w:r>
              <w:rPr>
                <w:rFonts w:ascii="Arial" w:cs="Arial" w:eastAsia="Arial" w:hAnsi="Arial"/>
                <w:sz w:val="18"/>
                <w:szCs w:val="18"/>
                <w:color w:val="auto"/>
                <w:w w:val="92"/>
              </w:rPr>
              <w:t>E-1</w:t>
            </w:r>
          </w:p>
        </w:tc>
      </w:tr>
    </w:tbl>
    <w:p>
      <w:pPr>
        <w:sectPr>
          <w:pgSz w:w="11900" w:h="16838" w:orient="portrait"/>
          <w:cols w:equalWidth="0" w:num="1">
            <w:col w:w="11240"/>
          </w:cols>
          <w:pgMar w:left="320" w:top="877"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20" w:type="dxa"/>
            <w:vAlign w:val="bottom"/>
            <w:gridSpan w:val="15"/>
          </w:tcPr>
          <w:p>
            <w:pPr>
              <w:ind w:left="10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Warrant to Purchase Common Stock issued to Slipstream Communications, LLC on April 27, 2018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31</w:t>
              </w:r>
              <w:r>
                <w:rPr>
                  <w:rFonts w:ascii="Arial" w:cs="Arial" w:eastAsia="Arial" w:hAnsi="Arial"/>
                  <w:sz w:val="18"/>
                  <w:szCs w:val="18"/>
                  <w:color w:val="0000EE"/>
                </w:rPr>
                <w:t xml:space="preserve"> of the registrant’s Form S-1 filed with the SEC on June 25, 2018).</w:t>
              </w:r>
            </w:hyperlink>
          </w:p>
        </w:tc>
        <w:tc>
          <w:tcPr>
            <w:tcW w:w="24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Warrant to Purchase Common Stock (entered into in connection with Loan and Security Agreement dated August 17, 2016) (incorporated</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by reference to the registrant’s Quarterly Report on Form 10-Q filed with the SEC on November 21, 2016)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Form of Investor Warrant issued November 19, 2018 (incorporated by reference to Exhibit 4.3 to the registrant’s Amendment No. 5 to Form</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S-1/A filed with the SEC on November 14,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Form of Representative’s Warrant (incorporated by reference to Exhibit 4.4 to the registrant’s Amendment No. 3 to Form S-1/A filed with</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the SEC on October 22,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Description of Registrant’s Securities (incorporated by reference to Exhibit 4.14 of Registrant’s Annual Report on Form 10-K for the fiscal</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year ended 12/31/2019)</w:t>
              </w:r>
            </w:hyperlink>
          </w:p>
        </w:tc>
        <w:tc>
          <w:tcPr>
            <w:tcW w:w="10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Form of Pre-Funded Warrant (incorporated by reference to Exhibit 4.1 of the registrant’s Current Report on Form 8-K filed February 4,</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2022)</w:t>
              </w:r>
            </w:hyperlink>
          </w:p>
        </w:tc>
        <w:tc>
          <w:tcPr>
            <w:tcW w:w="3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400" w:type="dxa"/>
            <w:vAlign w:val="bottom"/>
            <w:tcBorders>
              <w:top w:val="single" w:sz="8" w:color="0000EE"/>
            </w:tcBorders>
            <w:shd w:val="clear" w:color="auto" w:fill="CCEEFF"/>
          </w:tcPr>
          <w:p>
            <w:pPr>
              <w:spacing w:after="0"/>
              <w:rPr>
                <w:sz w:val="18"/>
                <w:szCs w:val="18"/>
                <w:color w:val="auto"/>
              </w:rPr>
            </w:pPr>
          </w:p>
        </w:tc>
        <w:tc>
          <w:tcPr>
            <w:tcW w:w="1620" w:type="dxa"/>
            <w:vAlign w:val="bottom"/>
            <w:tcBorders>
              <w:top w:val="single" w:sz="8" w:color="0000EE"/>
            </w:tcBorders>
            <w:shd w:val="clear" w:color="auto" w:fill="CCEEFF"/>
          </w:tcPr>
          <w:p>
            <w:pPr>
              <w:spacing w:after="0"/>
              <w:rPr>
                <w:sz w:val="18"/>
                <w:szCs w:val="18"/>
                <w:color w:val="auto"/>
              </w:rPr>
            </w:pPr>
          </w:p>
        </w:tc>
        <w:tc>
          <w:tcPr>
            <w:tcW w:w="182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14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Form of Common Stock Warrant (incorporated by reference to Exhibit 4.2 of the registrant’s Current Report on Form 8-K filed February 4,</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2022)</w:t>
              </w:r>
            </w:hyperlink>
          </w:p>
        </w:tc>
        <w:tc>
          <w:tcPr>
            <w:tcW w:w="3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400" w:type="dxa"/>
            <w:vAlign w:val="bottom"/>
            <w:tcBorders>
              <w:top w:val="single" w:sz="8" w:color="0000EE"/>
            </w:tcBorders>
            <w:shd w:val="clear" w:color="auto" w:fill="CCEEFF"/>
          </w:tcPr>
          <w:p>
            <w:pPr>
              <w:spacing w:after="0"/>
              <w:rPr>
                <w:sz w:val="18"/>
                <w:szCs w:val="18"/>
                <w:color w:val="auto"/>
              </w:rPr>
            </w:pPr>
          </w:p>
        </w:tc>
        <w:tc>
          <w:tcPr>
            <w:tcW w:w="1620" w:type="dxa"/>
            <w:vAlign w:val="bottom"/>
            <w:tcBorders>
              <w:top w:val="single" w:sz="8" w:color="0000EE"/>
            </w:tcBorders>
            <w:shd w:val="clear" w:color="auto" w:fill="CCEEFF"/>
          </w:tcPr>
          <w:p>
            <w:pPr>
              <w:spacing w:after="0"/>
              <w:rPr>
                <w:sz w:val="18"/>
                <w:szCs w:val="18"/>
                <w:color w:val="auto"/>
              </w:rPr>
            </w:pPr>
          </w:p>
        </w:tc>
        <w:tc>
          <w:tcPr>
            <w:tcW w:w="182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14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15"/>
                <w:szCs w:val="15"/>
                <w:color w:val="auto"/>
              </w:rPr>
            </w:pPr>
          </w:p>
        </w:tc>
        <w:tc>
          <w:tcPr>
            <w:tcW w:w="97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Lender Warrant dated February 17, 2022 (incorporated by reference to Exhibit 4.1 of the registrant’s Current Report on Form 8-K filed</w:t>
              </w:r>
            </w:hyperlink>
          </w:p>
        </w:tc>
        <w:tc>
          <w:tcPr>
            <w:tcW w:w="38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Purchaser Warrant dated February 17, 2022 (incorporated by reference to Exhibit 4.2 of the registrant’s Current Report on Form 8-K filed</w:t>
              </w:r>
            </w:hyperlink>
          </w:p>
        </w:tc>
        <w:tc>
          <w:tcPr>
            <w:tcW w:w="18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Voting and Lock-up Agreement dated November 12, 2021 among registrant, Reflect Systems, Inc. and certain stockholders of Reflect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incorporated by reference to Exhibit 9.1 to the registrant’s Current Report on Form 8-K filed November 15, 2021)</w:t>
              </w:r>
            </w:hyperlink>
          </w:p>
        </w:tc>
        <w:tc>
          <w:tcPr>
            <w:tcW w:w="48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Voting Agreement dated November 12, 2021 among registrant, Reflect Systems, Inc. and certain stockholders of registrant(incorporated by</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reference to Exhibit 9.2 to the registrant’s Current Report on Form 8-K filed November 15, 2021)</w:t>
              </w:r>
            </w:hyperlink>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3440" w:type="dxa"/>
            <w:vAlign w:val="bottom"/>
            <w:tcBorders>
              <w:top w:val="single" w:sz="8" w:color="0000EE"/>
              <w:bottom w:val="single" w:sz="8" w:color="auto"/>
            </w:tcBorders>
            <w:gridSpan w:val="2"/>
          </w:tcPr>
          <w:p>
            <w:pPr>
              <w:ind w:left="780"/>
              <w:spacing w:after="0"/>
              <w:rPr>
                <w:sz w:val="20"/>
                <w:szCs w:val="20"/>
                <w:color w:val="auto"/>
              </w:rPr>
            </w:pPr>
            <w:r>
              <w:rPr>
                <w:rFonts w:ascii="Arial" w:cs="Arial" w:eastAsia="Arial" w:hAnsi="Arial"/>
                <w:sz w:val="18"/>
                <w:szCs w:val="18"/>
                <w:color w:val="auto"/>
              </w:rPr>
              <w:t>E-2</w:t>
            </w:r>
          </w:p>
        </w:tc>
        <w:tc>
          <w:tcPr>
            <w:tcW w:w="3080" w:type="dxa"/>
            <w:vAlign w:val="bottom"/>
            <w:tcBorders>
              <w:top w:val="single" w:sz="8" w:color="CCEEFF"/>
              <w:bottom w:val="single" w:sz="8" w:color="auto"/>
            </w:tcBorders>
            <w:gridSpan w:val="13"/>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Form of Warrant Agency Agreement between the Company and Computershare Trust Company, N.A.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4.</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of the registrant’s registration statement on Form S-1 filed October 22, 2018)</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2014 Stock Incentive Plan as amended (incorporated by reference to the registrant’s definitive proxy statement filed with the SEC on July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24, 2018)</w:t>
              </w:r>
            </w:hyperlink>
          </w:p>
        </w:tc>
        <w:tc>
          <w:tcPr>
            <w:tcW w:w="45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1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Master Distribution Agreement dated June 19, 2020 by and between the Company and InReality, LLC (incorporated by reference to Exhibit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registrant’s report on Form 8-K filed with the SEC on June 19,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Twelfth Amendment to Loan and Security Agreement dated January 31, 2021 by and among the Company, its subsidiaries and Slipstream</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Communications, LLC (incorporated by reference to Exhibit 10.1 of the registrant’s report on Form 8-K filed with the SEC on February 3,</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2021)</w:t>
              </w:r>
            </w:hyperlink>
          </w:p>
        </w:tc>
        <w:tc>
          <w:tcPr>
            <w:tcW w:w="420" w:type="dxa"/>
            <w:vAlign w:val="bottom"/>
            <w:tcBorders>
              <w:top w:val="single" w:sz="8" w:color="0000EE"/>
            </w:tcBorders>
            <w:shd w:val="clear" w:color="auto" w:fill="CCEEFF"/>
          </w:tcPr>
          <w:p>
            <w:pPr>
              <w:spacing w:after="0"/>
              <w:rPr>
                <w:sz w:val="18"/>
                <w:szCs w:val="18"/>
                <w:color w:val="auto"/>
              </w:rPr>
            </w:pPr>
          </w:p>
        </w:tc>
        <w:tc>
          <w:tcPr>
            <w:tcW w:w="45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1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Securities Purchase Agreement dated February 18, 2021 by and between Creative Realities, Inc. and purchaser identified on the signature</w:t>
              </w:r>
            </w:hyperlink>
          </w:p>
        </w:tc>
        <w:tc>
          <w:tcPr>
            <w:tcW w:w="20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page thereto (incorporated by reference to Exhibit 10.1 of the registrant’s report on Form 8-K filed with the SEC on February 19,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Thirteenth Amendment to Loan and Security Agreement dated February 28, 2021 by and among the Company, its subsidiaries and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Slipstream Communications, LLC (incorporated by reference to Exhibit 10.1 of the registrant’s report on Form 8-K filed with the SEC on</w:t>
              </w:r>
            </w:hyperlink>
          </w:p>
        </w:tc>
        <w:tc>
          <w:tcPr>
            <w:tcW w:w="180" w:type="dxa"/>
            <w:vAlign w:val="bottom"/>
            <w:tcBorders>
              <w:bottom w:val="single" w:sz="8" w:color="CCEEFF"/>
            </w:tcBorders>
            <w:gridSpan w:val="7"/>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March 4,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Amended and Restated Loan and Security Agreement by and among the Company, its subsidiaries and Slipstream Communications, LLC</w:t>
              </w:r>
            </w:hyperlink>
          </w:p>
        </w:tc>
        <w:tc>
          <w:tcPr>
            <w:tcW w:w="180" w:type="dxa"/>
            <w:vAlign w:val="bottom"/>
            <w:tcBorders>
              <w:bottom w:val="single" w:sz="8" w:color="CCEEFF"/>
            </w:tcBorders>
            <w:gridSpan w:val="7"/>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(incorporated by reference to Exhibit 10.36 to the registrant's report on Form 10-K filed with the SEC on March 10,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Employment Agreement dated as of November 12, 2021 by and between the registrant and Rick Mills (incorporated by reference to Exhibit</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November 15, 2021).</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Agreement dated as of November 12, 2021 by and between the registrant and Will Logan. (incorporated by reference to</w:t>
              </w:r>
            </w:hyperlink>
          </w:p>
        </w:tc>
        <w:tc>
          <w:tcPr>
            <w:tcW w:w="50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Exhibit 10.2 to the registrant’s Current Report on Form 8-K filed November 15,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Form of Securities Purchase Agreement dated February 3, 2022 by and between Creative Realities, Inc. and the Investors (incorporated by</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reference to Exhibit 10.1 of the registrant’s Current Report on Form 8-K filed February 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of Registration Rights Agreement dated February 3, 2022 by and between Creative Realities, Inc. and the Investors (incorporated by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reference to Exhibit 10.2 of the registrant’s Current Report on Form 8-K filed February 4, 2022)</w:t>
              </w:r>
            </w:hyperlink>
          </w:p>
        </w:tc>
        <w:tc>
          <w:tcPr>
            <w:tcW w:w="1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Second Amended and Restated Loan and Security Agreement by and among the registrant, its subsidiaries and Slipstream</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780" w:type="dxa"/>
            <w:vAlign w:val="bottom"/>
            <w:gridSpan w:val="9"/>
            <w:shd w:val="clear" w:color="auto" w:fill="0000EE"/>
          </w:tcPr>
          <w:p>
            <w:pPr>
              <w:spacing w:after="0" w:line="20" w:lineRule="exact"/>
              <w:rPr>
                <w:sz w:val="1"/>
                <w:szCs w:val="1"/>
                <w:color w:val="auto"/>
              </w:rPr>
            </w:pPr>
          </w:p>
        </w:tc>
        <w:tc>
          <w:tcPr>
            <w:tcW w:w="1180" w:type="dxa"/>
            <w:vAlign w:val="bottom"/>
            <w:gridSpan w:val="8"/>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96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Communications, LLC (incorporated by reference to Exhibit 10.1 of the registrant’s Current Report on Form 8-K filed February 18, 2022)</w:t>
              </w:r>
            </w:hyperlink>
          </w:p>
        </w:tc>
        <w:tc>
          <w:tcPr>
            <w:tcW w:w="140" w:type="dxa"/>
            <w:vAlign w:val="bottom"/>
            <w:tcBorders>
              <w:bottom w:val="single" w:sz="8" w:color="CCEEFF"/>
            </w:tcBorders>
            <w:gridSpan w:val="5"/>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gridSpan w:val="19"/>
          </w:tcPr>
          <w:p>
            <w:pPr>
              <w:ind w:left="3240"/>
              <w:spacing w:after="0"/>
              <w:rPr>
                <w:sz w:val="20"/>
                <w:szCs w:val="20"/>
                <w:color w:val="auto"/>
              </w:rPr>
            </w:pPr>
            <w:r>
              <w:rPr>
                <w:rFonts w:ascii="Arial" w:cs="Arial" w:eastAsia="Arial" w:hAnsi="Arial"/>
                <w:sz w:val="18"/>
                <w:szCs w:val="18"/>
                <w:color w:val="auto"/>
              </w:rPr>
              <w:t>E-3</w:t>
            </w:r>
          </w:p>
        </w:tc>
      </w:tr>
    </w:tbl>
    <w:p>
      <w:pPr>
        <w:sectPr>
          <w:pgSz w:w="11900" w:h="16838" w:orient="portrait"/>
          <w:cols w:equalWidth="0" w:num="1">
            <w:col w:w="11240"/>
          </w:cols>
          <w:pgMar w:left="320" w:top="877"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8"/>
              </w:rPr>
            </w:pPr>
            <w:hyperlink r:id="rId139">
              <w:r>
                <w:rPr>
                  <w:rFonts w:ascii="Arial" w:cs="Arial" w:eastAsia="Arial" w:hAnsi="Arial"/>
                  <w:sz w:val="18"/>
                  <w:szCs w:val="18"/>
                  <w:u w:val="single" w:color="auto"/>
                  <w:color w:val="0000EE"/>
                  <w:w w:val="98"/>
                </w:rPr>
                <w:t>$</w:t>
              </w:r>
              <w:r>
                <w:rPr>
                  <w:rFonts w:ascii="Arial" w:cs="Arial" w:eastAsia="Arial" w:hAnsi="Arial"/>
                  <w:sz w:val="18"/>
                  <w:szCs w:val="18"/>
                  <w:color w:val="0000EE"/>
                  <w:w w:val="98"/>
                </w:rPr>
                <w:t>10,000,000 Acquisition Term Note (incorporated by reference to Exhibit 10.2 of the registrant’s Current Report on Form 8-K filed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February 18, 2022)</w:t>
              </w:r>
            </w:hyperlink>
          </w:p>
        </w:tc>
        <w:tc>
          <w:tcPr>
            <w:tcW w:w="64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u w:val="single" w:color="auto"/>
                  <w:color w:val="0000EE"/>
                  <w:w w:val="91"/>
                </w:rPr>
                <w:t>$</w:t>
              </w:r>
              <w:r>
                <w:rPr>
                  <w:rFonts w:ascii="Arial" w:cs="Arial" w:eastAsia="Arial" w:hAnsi="Arial"/>
                  <w:sz w:val="18"/>
                  <w:szCs w:val="18"/>
                  <w:color w:val="0000EE"/>
                  <w:w w:val="91"/>
                </w:rPr>
                <w:t>7,185,319.06 Consolidation Term Note (incorporated by reference to Exhibit 10.3 of the registrant’s Current Report on Form 8-K filed</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Secured Promissory Note (incorporated by reference to Exhibit 10.4 of the registrant’s Current Report on Form 8-K filed February 18,</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2022)</w:t>
              </w:r>
            </w:hyperlink>
          </w:p>
        </w:tc>
        <w:tc>
          <w:tcPr>
            <w:tcW w:w="120" w:type="dxa"/>
            <w:vAlign w:val="bottom"/>
            <w:tcBorders>
              <w:top w:val="single" w:sz="8" w:color="0000EE"/>
            </w:tcBorders>
            <w:shd w:val="clear" w:color="auto" w:fill="CCEEFF"/>
          </w:tcPr>
          <w:p>
            <w:pPr>
              <w:spacing w:after="0"/>
              <w:rPr>
                <w:sz w:val="18"/>
                <w:szCs w:val="18"/>
                <w:color w:val="auto"/>
              </w:rPr>
            </w:pPr>
          </w:p>
        </w:tc>
        <w:tc>
          <w:tcPr>
            <w:tcW w:w="11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3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60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2014 Stock Incentive Plan, as amended (incorporated by reference to Exhibit A to the registrant's definitive proxy statement on Schedule</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14A filed with the SEC on June 12,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Retention Bonus Plan (incorporated by reference to Exhibit 10.5 of the registrant’s Current Report on Form 8-K filed 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Form of Retention Bonus Plan Agreement (incorporated by reference to Exhibit 10.6 of the registrant’s Current Report on Form 8-K filed</w:t>
              </w:r>
            </w:hyperlink>
          </w:p>
        </w:tc>
        <w:tc>
          <w:tcPr>
            <w:tcW w:w="18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Code of Business Conduct and Ethics (incorporated by reference to Exhibit 14.1 of the Registrant’s Annual Report on Form 10-K for the</w:t>
              </w:r>
            </w:hyperlink>
          </w:p>
        </w:tc>
        <w:tc>
          <w:tcPr>
            <w:tcW w:w="24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fiscal year ended December 31,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List of Subsidiaries*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Consent of Deloitte &amp; Touche LLP*</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Chief Executive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Chief Financial Officer Certification pursuant to Exchange Act Rule 13a-14(a).*</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Chief Executive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Chief Financial Officer Certification pursuant to 18 U.S.C. Section 1350.*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Press Release dated March 22,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Compensatory Plan or arrangement required to be filed pursuant to Item 15(b) of Form 10-K.</w:t>
      </w:r>
    </w:p>
    <w:p>
      <w:pPr>
        <w:spacing w:after="0" w:line="9" w:lineRule="exact"/>
        <w:rPr>
          <w:sz w:val="20"/>
          <w:szCs w:val="20"/>
          <w:color w:val="auto"/>
        </w:rPr>
      </w:pPr>
    </w:p>
    <w:p>
      <w:pPr>
        <w:ind w:left="340" w:right="440" w:hanging="332"/>
        <w:spacing w:after="0" w:line="277"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exhibit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structure, including our principal operating subsidiaries,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r>
              <w:rPr>
                <w:rFonts w:ascii="Arial" w:cs="Arial" w:eastAsia="Arial" w:hAnsi="Arial"/>
                <w:sz w:val="18"/>
                <w:szCs w:val="18"/>
                <w:b w:val="1"/>
                <w:bCs w:val="1"/>
                <w:color w:val="auto"/>
              </w:rPr>
              <w:t>Name of subsidiary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Allure Global Solutions, Inc.</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Georgia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Reflect Systems, Inc.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Wireless Ronin Technologies Canada, Inc.</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333-262516, 333-239108, 333-238275, and 333-255001 on Form S-3, Nos. 333-225876 and 333-209847 on Form S-1, No. 333-261048 on Form S-4 and Nos. 333-189318, 333-181999, 333-174861, 333-167454, 333-159927, 333-147458 and 333-145795 on Form S-8 of our report dated March 22, 2022, relating to the consolidated financial statements of Creative Realities, Inc. appearing in this Annual Report on Form 10-K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10-K for the year ended December 31, 2021,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32.2</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10-K for the year ended December 31, 2021,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Creative Realities Reports Fourth Quarter and Full Year 2021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Expects 2022 Revenue to Exceed $43 Million</w:t>
      </w:r>
    </w:p>
    <w:p>
      <w:pPr>
        <w:spacing w:after="0" w:line="20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LOUISVILLE, KY – March 22, 2022 </w:t>
      </w:r>
      <w:r>
        <w:rPr>
          <w:rFonts w:ascii="Arial" w:cs="Arial" w:eastAsia="Arial" w:hAnsi="Arial"/>
          <w:sz w:val="16"/>
          <w:szCs w:val="16"/>
          <w:color w:val="auto"/>
        </w:rPr>
        <w:t>– Creative Realities, Inc. (“Creative Realities,” “CRI,” or the “Company”) (NASDAQ: CREX, CREXW),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digital signage solutions, announced its financial results for the year ended December 31, 2021, including the quarter ended as of the same date.</w:t>
      </w:r>
    </w:p>
    <w:p>
      <w:pPr>
        <w:spacing w:after="0" w:line="12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Rick Mills, Chief Executive Officer, commented “CRI’s fourth quarter 2021 revenue was approximately $5.4 million, bringing full year 2021 revenue to $18.4 million, which represents an increase of 8.3% and 5.6% as compared to the same periods in the prior year. Removing the year-over-year revenue generated from our Safe Space Solutions products, which we launched in response to the COVID-19 pandemic, our core digital signage revenue grew 32.2% and 20.5% in the three- and twelve-month periods ended December 31, 2021 as compared to the same periods in the prior year, despite facing supply chain difficulties. We continue to experience strong and growing demand for our digital signage solutions into 2022 and beyond.”</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Mills continued, “Our primary focus is growing CRI into the market leader in end-to-end digital signage solutions for enterprise customers, expanding the number of devices managed via our digital signage software, and increasing the value of our Company through expansion in our recurring services revenue. During the fourth quarter of 2021, CRI won a significant new theme park customer that will continue to deploy hardware throughout 2022 and we expect to ultimately add more than 1,300 billable devices, generating monthly recurring subscription revenue to our content management software platforms.”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tremendous momentum and return to double-digit growth that we experienced in core digital signage solutions throughout 2022 has only accelerated with our acquisition of Reflect Systems, Inc. (“Reflect”) in February 2022. In December 2021, CRI and Reflect went to market on our first joint sales effort, which resulted in a major win – a project to deploy digital experiences for a retail customer at hundreds of locations nationwide for an expected total contract value in excess of $10 million. Our merger with Reflect and this win immediately validated what we’ve been saying since Reflect and CRI first began discussing a merger: we believe our combined offerings are stronger than anything else in the industry,” said Mills. “Winning a project of this value and prominence sends a powerful message to existing and potential customers – we have something new and exciting that they need to consider.”</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 could not be more excited about the opportunity to join forces with Reflect, which has an incredible track record for growing annual recurring revenues via software subscriptions to its digital signage software platforms. In addition, it brings CRI a tremendous, patented AdTech platform (Reflect AdLogic) and a media sales capability that will enable the Company to directly productize solutions and participate in the out-of-home advertising industry, including the potential for integrated programmatic high value digital advertising solutions. With our recent theme park and retail wins, combined with the outlook for our expanded customer base and growth prospects, we expect the combined company to generate revenue in excess of $43 million during 2022, representing an organic growth rate in excess of 35% on a combined company basis as compared to 2021. This expectation includes the consolidation of Reflect operations for the period beginning February 17, 2022.”</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Mills concluded, “We are proud of the work we have done to prepare the Company for long-term success and are excited about recent customer developments, both those we have previously announced and those we anticipate will come to fruition throughout 2022. Now more than ever, we believe our end-to-end offering has positioned CRI well within the industry to compete for new and growing opportunities with partners, particularly enterprise customers in a variety of key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u w:val="single" w:color="auto"/>
          <w:color w:val="auto"/>
        </w:rPr>
        <w:t>2021 Financial Overview</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All results herein represent the financial results of Creative Realities, Inc. and exclude any results of Reflect Systems, Inc. as the merger was closed February 17, 2022. The first quarter of 2022 will include financial results for Reflect Systems, Inc. for the period February 17, 2022 – March 31, 2022 during which Reflect operated as a wholly owned subsidiary of Creative Realities.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Highlights:</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Revenue growth of $1.0 million, or 5.6%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Digital signage revenue growth of $2.9 million, or 20.5%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income of $0.2 million as compared to net loss of $16.8 million in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EBTIDA of $3.9 million as compared to an EBITDA loss of $13.9 million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52"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Revenues were $18.4 million for the year ended December 31, 2021, an increase of $1.0 million, or 5.6%, as compared to the same period in</w:t>
      </w:r>
    </w:p>
    <w:p>
      <w:pPr>
        <w:spacing w:after="0" w:line="46" w:lineRule="exact"/>
        <w:rPr>
          <w:rFonts w:ascii="Arial" w:cs="Arial" w:eastAsia="Arial" w:hAnsi="Arial"/>
          <w:sz w:val="16"/>
          <w:szCs w:val="16"/>
          <w:color w:val="auto"/>
        </w:rPr>
      </w:pPr>
    </w:p>
    <w:p>
      <w:pPr>
        <w:ind w:left="660" w:right="20"/>
        <w:spacing w:after="0" w:line="250" w:lineRule="auto"/>
        <w:rPr>
          <w:rFonts w:ascii="Arial" w:cs="Arial" w:eastAsia="Arial" w:hAnsi="Arial"/>
          <w:sz w:val="16"/>
          <w:szCs w:val="16"/>
          <w:color w:val="auto"/>
        </w:rPr>
      </w:pPr>
      <w:r>
        <w:rPr>
          <w:rFonts w:ascii="Arial" w:cs="Arial" w:eastAsia="Arial" w:hAnsi="Arial"/>
          <w:sz w:val="18"/>
          <w:szCs w:val="18"/>
          <w:color w:val="auto"/>
        </w:rPr>
        <w:t>2020. Removing our Safe Space Solutions revenue in each period, revenues from our core digital signage solutions were $16.8 million in 2021, an increase of $2.9 million, or 20.5%, as compared to 2020.</w:t>
      </w:r>
    </w:p>
    <w:p>
      <w:pPr>
        <w:ind w:left="660" w:right="60" w:hanging="328"/>
        <w:spacing w:after="0" w:line="281"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Hardware revenues were $9.5 million for the year ended December 31, 2021, an increase of $0.5 million, or 5.1% as compared to the same period in 2020;digital signage hardware solutions revenue increased $2.1 million in 2021 compared to 2020, offset by reductions in sales of our Safe Space Solutions products. Gross margin on hardware revenue was 26.8% during 2021 as compared to 30.5% during 2020 primarily due to the reduction in revenue from Safe Space Solutions products, which have historically generated higher gross profit on a per unit basis.</w:t>
      </w:r>
    </w:p>
    <w:p>
      <w:pPr>
        <w:spacing w:after="0" w:line="2" w:lineRule="exact"/>
        <w:rPr>
          <w:rFonts w:ascii="Arial" w:cs="Arial" w:eastAsia="Arial" w:hAnsi="Arial"/>
          <w:sz w:val="16"/>
          <w:szCs w:val="16"/>
          <w:color w:val="auto"/>
        </w:rPr>
      </w:pPr>
    </w:p>
    <w:p>
      <w:pPr>
        <w:ind w:left="660" w:right="10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Services and other revenues were $9.0 million for the year ended December 31, 2021, an increase of $0.5 million, or 6.2%, as compared to the same period in 2020, driven primarily by a $0.2 million, or 44%, increase, in software development services for a single key customer for custom development in our platform.</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Managed services revenue, which includes both software-as-a-service (“SaaS”) and help desk technical subscription services for our traditional digital signage and Safe Space Solutions product offerings, were $5.6 million for the year ended December 31, 2021, an increase of $0.2 million, or 4.0%, as our base business and related deployments continued to rebound following customers opening their venues/locations upon release of COVID-19 vaccines.</w:t>
      </w:r>
    </w:p>
    <w:p>
      <w:pPr>
        <w:spacing w:after="0" w:line="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Gross profit was $8.4 million for the year ended December 31, 2021, an increase of $0.2 million, or 3%, compared to the same period in 2020. Consolidated gross margin decreased to 45.3% for the year ended December 31, 2021 from 46.5% in the prior year, driven primarily by a reduction in Safe Space Solutions sales, which have historically generated higher margin on a per unit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year ended December 31, 2021 as compared to the same period in the prior year:</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Sales and marketing expenses decreased by $0.5 million, or 31%, driven by (1) a current year Employee Retention Credit of $0.2 million related to the retention and payment of salaries to sales personnel throughout 2020 and 2021, which was all recorded when filed in 2021, (2) reduction of $0.1 million in sales lead generation tools, and (3) the result of reduced personnel costs, partially offset by small increases in trade show activity and related travel costs following a return to participation in industry trade shows and events after the elimination of such costs in 2020 as a result of the COVID-19 pandemic.</w:t>
      </w:r>
    </w:p>
    <w:p>
      <w:pPr>
        <w:spacing w:after="0" w:line="1"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Research and development expenses decreased by $0.5 million, or 49% as the result of (1) a current year Employee Retention Credit of $0.2 million related to the retention and payment of salaries to development personnel throughout 2020 and 2021, which was all recorded when filed in 2021, (2) a reduction in personnel costs during the period following reduced headcount and salary reductions in March 2020 through salary reinstatements in October 2021, and (3) an increase in capitalization of development activities for new features/functionality. The Company capitalizes its costs incurred for additional functionality to its internal software. We capitalized approximately $1.1 million and $0.6 million for the years ended December 31, 2021 and 2020, respectively. These software development costs include both enhancements and upgrades of our client-based systems including functionality of our internal information systems to aid in our productivity, profitability and customer relationship management. We amortize these costs over 3 years once the new projects are completed and placed in service.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left="660" w:right="120" w:hanging="328"/>
        <w:spacing w:after="0" w:line="25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General and administrative expenses, including bad debt expense and recoveries, decreased by $2.0 million in 2021, or 21.2% compared to 2020, driven by:</w:t>
      </w:r>
    </w:p>
    <w:p>
      <w:pPr>
        <w:spacing w:after="0" w:line="1"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A reduction in bad debt expense of $1.1 million, following a recovery of accounts receivable from a customer who filed for bankruptcy in 2020;</w:t>
      </w:r>
    </w:p>
    <w:p>
      <w:pPr>
        <w:ind w:left="1300" w:right="100" w:hanging="324"/>
        <w:spacing w:after="0" w:line="265" w:lineRule="auto"/>
        <w:rPr>
          <w:rFonts w:ascii="Arial" w:cs="Arial" w:eastAsia="Arial" w:hAnsi="Arial"/>
          <w:sz w:val="18"/>
          <w:szCs w:val="18"/>
          <w:color w:val="auto"/>
        </w:rPr>
      </w:pPr>
      <w:r>
        <w:rPr>
          <w:rFonts w:ascii="Arial" w:cs="Arial" w:eastAsia="Arial" w:hAnsi="Arial"/>
          <w:sz w:val="17"/>
          <w:szCs w:val="17"/>
          <w:color w:val="auto"/>
        </w:rPr>
        <w:t>o A reduction of $0.7 million in salaries expense from Employee Retention Credits related to the retention and payment of salaries to sales personnel throughout 2020 and 2021, each of which were recorded in 2021 when the tax credits were filed;</w:t>
      </w:r>
    </w:p>
    <w:p>
      <w:pPr>
        <w:ind w:left="980" w:right="440"/>
        <w:spacing w:after="0" w:line="290" w:lineRule="auto"/>
        <w:rPr>
          <w:rFonts w:ascii="Arial" w:cs="Arial" w:eastAsia="Arial" w:hAnsi="Arial"/>
          <w:sz w:val="18"/>
          <w:szCs w:val="18"/>
          <w:color w:val="auto"/>
        </w:rPr>
      </w:pPr>
      <w:r>
        <w:rPr>
          <w:rFonts w:ascii="Arial" w:cs="Arial" w:eastAsia="Arial" w:hAnsi="Arial"/>
          <w:sz w:val="17"/>
          <w:szCs w:val="17"/>
          <w:color w:val="auto"/>
        </w:rPr>
        <w:t>o A reduction of $0.3 million in rent expense following closure, downsizing, or restructuring of four leases facilities during 2020; and o A reduction of $0.4 million in legal expenses following settlement of our dispute with the seller of Allure Global Solutions, Inc.</w:t>
      </w:r>
    </w:p>
    <w:p>
      <w:pPr>
        <w:spacing w:after="0" w:line="161" w:lineRule="exact"/>
        <w:rPr>
          <w:rFonts w:ascii="Arial" w:cs="Arial" w:eastAsia="Arial" w:hAnsi="Arial"/>
          <w:sz w:val="18"/>
          <w:szCs w:val="18"/>
          <w:color w:val="auto"/>
        </w:rPr>
      </w:pPr>
    </w:p>
    <w:p>
      <w:pPr>
        <w:ind w:left="660" w:right="80"/>
        <w:spacing w:after="0" w:line="277" w:lineRule="auto"/>
        <w:rPr>
          <w:rFonts w:ascii="Arial" w:cs="Arial" w:eastAsia="Arial" w:hAnsi="Arial"/>
          <w:sz w:val="18"/>
          <w:szCs w:val="18"/>
          <w:color w:val="auto"/>
        </w:rPr>
      </w:pPr>
      <w:r>
        <w:rPr>
          <w:rFonts w:ascii="Arial" w:cs="Arial" w:eastAsia="Arial" w:hAnsi="Arial"/>
          <w:sz w:val="18"/>
          <w:szCs w:val="18"/>
          <w:color w:val="auto"/>
        </w:rPr>
        <w:t>These reductions were partially offset by an increase in stock compensation amortization expense of $1.2 million related to incremental employee and directors’ awards.</w:t>
      </w:r>
    </w:p>
    <w:p>
      <w:pPr>
        <w:spacing w:after="0" w:line="170"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Excluding the consideration of those Employee Retention Credits recorded in the period and the year-over-year impact of bad debt expense and recovers, total general and administrative expenses decreased $0.8 million, or 10.2%, during 2021 as compared to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52" w:lineRule="exact"/>
        <w:rPr>
          <w:sz w:val="20"/>
          <w:szCs w:val="20"/>
          <w:color w:val="auto"/>
        </w:rPr>
      </w:pPr>
    </w:p>
    <w:p>
      <w:pPr>
        <w:ind w:left="660" w:right="180" w:hanging="328"/>
        <w:spacing w:after="0" w:line="25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Operating loss was $2.5 million for the year ended December 31, 2021 as compared to an operating loss of $16.1 million during the same period in 2020. The current year operating loss included $0.5 million in costs associated with pursuit of acquisition activities, including the Reflect transaction.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Net income was $0.2 million for the year ended December 31, 2021 as compared to net loss of $16.8 million for the same period in 2020.</w:t>
      </w:r>
    </w:p>
    <w:p>
      <w:pPr>
        <w:spacing w:after="0" w:line="20" w:lineRule="exact"/>
        <w:rPr>
          <w:rFonts w:ascii="Arial" w:cs="Arial" w:eastAsia="Arial" w:hAnsi="Arial"/>
          <w:sz w:val="17"/>
          <w:szCs w:val="17"/>
          <w:color w:val="auto"/>
        </w:rPr>
      </w:pPr>
    </w:p>
    <w:p>
      <w:pPr>
        <w:ind w:left="660" w:right="200" w:hanging="328"/>
        <w:spacing w:after="0" w:line="25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EBITDA was $3.9 million for the year ended December 31, 2021 as compared to an EBITDA loss of $13.9 million for the same period in 2020. Adjusted EBITDA was $1.2 million in 2021 as compared to an Adjusted EBITDA loss of $3.2 million in 2020. See below for a description of these non-GAAP financial measures and reconciliation to our net loss.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left="660" w:right="240" w:hanging="328"/>
        <w:spacing w:after="0" w:line="25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Debt Financing</w:t>
      </w:r>
      <w:r>
        <w:rPr>
          <w:rFonts w:ascii="Arial" w:cs="Arial" w:eastAsia="Arial" w:hAnsi="Arial"/>
          <w:sz w:val="18"/>
          <w:szCs w:val="18"/>
          <w:color w:val="auto"/>
        </w:rPr>
        <w:t>: On February 17, 2022, the Company refinanced its debt facilities with its current lender, and raised $10.0 million in gross loan proceeds. The financing also combined and extended the maturity date of the Company’s pre-existing $4.8 million senior secured term loan and $2.4 million secured convertible loan into a Consolidation Term Loan. The refinancing extended the maturity date of the Company’s loans to February 1, 2025 and removed the convertible feature of the secured convertible loan.</w:t>
      </w:r>
    </w:p>
    <w:p>
      <w:pPr>
        <w:spacing w:after="0" w:line="2"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Equity Financing</w:t>
      </w:r>
      <w:r>
        <w:rPr>
          <w:rFonts w:ascii="Arial" w:cs="Arial" w:eastAsia="Arial" w:hAnsi="Arial"/>
          <w:sz w:val="18"/>
          <w:szCs w:val="18"/>
          <w:color w:val="auto"/>
        </w:rPr>
        <w:t>: On February 3, 2022, the Company completed an at-the-market private placement priced for gross proceeds of approximately $11.0 million before deducting placement agent fees and estimated offering expenses. The net proceeds from the private placement were used to fund payment of the closing cash consideration in the acquisition of Reflect.</w:t>
      </w:r>
    </w:p>
    <w:p>
      <w:pPr>
        <w:spacing w:after="0" w:line="1"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Acquisition of Reflect</w:t>
      </w:r>
      <w:r>
        <w:rPr>
          <w:rFonts w:ascii="Arial" w:cs="Arial" w:eastAsia="Arial" w:hAnsi="Arial"/>
          <w:sz w:val="18"/>
          <w:szCs w:val="18"/>
          <w:color w:val="auto"/>
        </w:rPr>
        <w:t>: On February 17, 2022, the Company and Reflect consummated a merger, pursuant to which Reflect stockholders collectively received from the Company the following merger consideration:</w:t>
      </w:r>
    </w:p>
    <w:p>
      <w:pPr>
        <w:ind w:left="980"/>
        <w:spacing w:after="0"/>
        <w:rPr>
          <w:rFonts w:ascii="Arial" w:cs="Arial" w:eastAsia="Arial" w:hAnsi="Arial"/>
          <w:sz w:val="18"/>
          <w:szCs w:val="18"/>
          <w:color w:val="auto"/>
        </w:rPr>
      </w:pPr>
      <w:r>
        <w:rPr>
          <w:rFonts w:ascii="Arial" w:cs="Arial" w:eastAsia="Arial" w:hAnsi="Arial"/>
          <w:sz w:val="18"/>
          <w:szCs w:val="18"/>
          <w:color w:val="auto"/>
        </w:rPr>
        <w:t>o   $16.2 million payable in cash; and</w:t>
      </w:r>
    </w:p>
    <w:p>
      <w:pPr>
        <w:spacing w:after="0" w:line="9" w:lineRule="exact"/>
        <w:rPr>
          <w:rFonts w:ascii="Arial" w:cs="Arial" w:eastAsia="Arial" w:hAnsi="Arial"/>
          <w:sz w:val="18"/>
          <w:szCs w:val="18"/>
          <w:color w:val="auto"/>
        </w:rPr>
      </w:pPr>
    </w:p>
    <w:p>
      <w:pPr>
        <w:ind w:left="980" w:right="540"/>
        <w:spacing w:after="0" w:line="250" w:lineRule="auto"/>
        <w:rPr>
          <w:rFonts w:ascii="Arial" w:cs="Arial" w:eastAsia="Arial" w:hAnsi="Arial"/>
          <w:sz w:val="18"/>
          <w:szCs w:val="18"/>
          <w:color w:val="auto"/>
        </w:rPr>
      </w:pPr>
      <w:r>
        <w:rPr>
          <w:rFonts w:ascii="Arial" w:cs="Arial" w:eastAsia="Arial" w:hAnsi="Arial"/>
          <w:sz w:val="18"/>
          <w:szCs w:val="18"/>
          <w:color w:val="auto"/>
        </w:rPr>
        <w:t>o 2,333,334 shares of common stock of Creative Realities (valued based on an issuance price of $2 per share) (the “CREX Shares”); o $2.5 million Secured Promissory Note; and</w:t>
      </w:r>
    </w:p>
    <w:p>
      <w:pPr>
        <w:ind w:left="1300" w:right="20" w:hanging="324"/>
        <w:spacing w:after="0" w:line="295" w:lineRule="auto"/>
        <w:rPr>
          <w:rFonts w:ascii="Arial" w:cs="Arial" w:eastAsia="Arial" w:hAnsi="Arial"/>
          <w:sz w:val="18"/>
          <w:szCs w:val="18"/>
          <w:color w:val="auto"/>
        </w:rPr>
      </w:pPr>
      <w:r>
        <w:rPr>
          <w:rFonts w:ascii="Arial" w:cs="Arial" w:eastAsia="Arial" w:hAnsi="Arial"/>
          <w:sz w:val="16"/>
          <w:szCs w:val="16"/>
          <w:color w:val="auto"/>
        </w:rPr>
        <w:t>o Supplemental cash payments (the “Guaranteed Consideration”), if any, payable on or after the three-year anniversary of the effective time of the Merger (the “Guarantee Date”), in an amount by which the value of the CREX Shares on such anniversary is less than $6.40 per share, or if certain customers of Reflect collectively achieve over 85,000 billable devices online at any time on or before December 31, 2022, is less than $7.20 per share, multiplied by the amount of CREX Shares held by the Reflect stockholders on the Guarantee Date.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will host a webinar to review the results and provide additional commentary about the Company’s recent performance and the Reflect merger, which is scheduled for Wednesday, March 23, 2022 at 9:00 am Eastern Time.</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Prior to the call, participants should register at bit.ly//CRIearnings2021Q4.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 its recent acquisition of Reflect Systems, Inc., a leading provider of digital signage software platforms, the company is poised to extend its product and service offering and accelerate growth in SaaS revenue. While Reflect provided a broad range of digital signage solutions, the company’s flagship products are the market-leading ReflectView digital signage platform and Reflect AdLogic ad management platform. ReflectView is the industry’s most comprehensive, scalable, enterprise-grade digital signage platform, powering enterprise customer networks. Meanwhile, Reflect AdLogic has become the benchmark for digital signage powered ad networks, delivering nearly 50 million ads daily. The acquisition of Reflect also brought to the business a media sales division with the expertise and relationships to help any digital signage venue owner develop and execute a monetization plan for their network.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company has operations across North America with active installations in more than 10 countries.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right="120"/>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to be filed with the Securities and Exchange Commission on or about March 22,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2021 and the Company’s subsequent filings with the U.S. Securities and Exchange Commission. Important factors, among others, that may affect actual results or outcomes include: our ability to effectively integrate Reflect’s business operations, our strategy for customer retention, growth, product development, market position, financial results and reserves, our ability to execute on our business plan, our ability to retain key personnel, potential litigation, supply chain shortages, and general economic and market conditions impacting demand for our products and services, including those as a result of the COVID-19 pandemic.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Christina Davies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cdavies@ideagrove.com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12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Deal and transaction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52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lvl w:ilvl="1">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Roman"/>
      <w:start w:val="2"/>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o"/>
      <w:numFmt w:val="bullet"/>
      <w:start w:val="1"/>
    </w:lvl>
  </w:abstractNum>
  <w:abstractNum w:abstractNumId="32">
    <w:nsid w:val="4F4EF005"/>
    <w:multiLevelType w:val="hybridMultilevel"/>
    <w:lvl w:ilvl="0">
      <w:lvlJc w:val="left"/>
      <w:lvlText w:val="(%1)"/>
      <w:numFmt w:val="lowerRoman"/>
      <w:start w:val="2"/>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3"/>
    </w:lvl>
  </w:abstractNum>
  <w:abstractNum w:abstractNumId="35">
    <w:nsid w:val="275AC794"/>
    <w:multiLevelType w:val="hybridMultilevel"/>
    <w:lvl w:ilvl="0">
      <w:lvlJc w:val="left"/>
      <w:lvlText w:val="(%1)"/>
      <w:numFmt w:val="lowerRoman"/>
      <w:start w:val="2"/>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4"/>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3"/>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lvl>
    <w:lvl w:ilvl="1">
      <w:lvlJc w:val="left"/>
      <w:lvlText w:val="*"/>
      <w:numFmt w:val="bullet"/>
      <w:start w:val="1"/>
    </w:lvl>
  </w:abstractNum>
  <w:abstractNum w:abstractNumId="44">
    <w:nsid w:val="D34B6A8"/>
    <w:multiLevelType w:val="hybridMultilevel"/>
    <w:lvl w:ilvl="0">
      <w:lvlJc w:val="left"/>
      <w:lvlText w:val="(%1)"/>
      <w:numFmt w:val="decimal"/>
      <w:start w:val="2"/>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
      <w:numFmt w:val="bullet"/>
      <w:start w:val="1"/>
    </w:lvl>
    <w:lvl w:ilvl="1">
      <w:lvlJc w:val="left"/>
      <w:lvlText w:val="(%2)"/>
      <w:numFmt w:val="decimal"/>
      <w:start w:val="1"/>
    </w:lvl>
  </w:abstractNum>
  <w:abstractNum w:abstractNumId="49">
    <w:nsid w:val="77AE35EB"/>
    <w:multiLevelType w:val="hybridMultilevel"/>
    <w:lvl w:ilvl="0">
      <w:lvlJc w:val="left"/>
      <w:lvlText w:val="o"/>
      <w:numFmt w:val="bullet"/>
      <w:start w:val="1"/>
    </w:lvl>
  </w:abstractNum>
  <w:abstractNum w:abstractNumId="50">
    <w:nsid w:val="579BE4F1"/>
    <w:multiLevelType w:val="hybridMultilevel"/>
    <w:lvl w:ilvl="0">
      <w:lvlJc w:val="left"/>
      <w:lvlText w:val="(%1)"/>
      <w:numFmt w:val="lowerRoman"/>
      <w:start w:val="2"/>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2"/>
    </w:lvl>
  </w:abstractNum>
  <w:abstractNum w:abstractNumId="53">
    <w:nsid w:val="2F305DEF"/>
    <w:multiLevelType w:val="hybridMultilevel"/>
    <w:lvl w:ilvl="0">
      <w:lvlJc w:val="left"/>
      <w:lvlText w:val="(%1)"/>
      <w:numFmt w:val="lowerRoman"/>
      <w:start w:val="2"/>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decimal"/>
      <w:start w:val="5"/>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decimal"/>
      <w:start w:val="5"/>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00" Type="http://schemas.openxmlformats.org/officeDocument/2006/relationships/hyperlink" Target="http://www.sec.gov/Archives/edgar/data/1356093/000121390018012746/f8k092018ex2-1_creative.htm" TargetMode="External"/><Relationship Id="rId101" Type="http://schemas.openxmlformats.org/officeDocument/2006/relationships/hyperlink" Target="http://www.sec.gov/Archives/edgar/data/1356093/000121390021059463/ea150536ex2-1_creativereal.htm" TargetMode="External"/><Relationship Id="rId102" Type="http://schemas.openxmlformats.org/officeDocument/2006/relationships/hyperlink" Target="http://www.sec.gov/Archives/edgar/data/1356093/000121390022006040/ea155158ex2-1_creativereal.htm" TargetMode="External"/><Relationship Id="rId103" Type="http://schemas.openxmlformats.org/officeDocument/2006/relationships/hyperlink" Target="http://www.sec.gov/Archives/edgar/data/1356093/000121390014006692/f8k091514ex3i_creative.htm" TargetMode="External"/><Relationship Id="rId104" Type="http://schemas.openxmlformats.org/officeDocument/2006/relationships/hyperlink" Target="http://www.sec.gov/Archives/edgar/data/1356093/000121390016010773/fs12016ex4ii_creativereal.htm" TargetMode="External"/><Relationship Id="rId105" Type="http://schemas.openxmlformats.org/officeDocument/2006/relationships/hyperlink" Target="http://www.sec.gov/Archives/edgar/data/1356093/000121390014007335/f8k081014ex3i_creative.htm" TargetMode="External"/><Relationship Id="rId106" Type="http://schemas.openxmlformats.org/officeDocument/2006/relationships/hyperlink" Target="http://www.sec.gov/Archives/edgar/data/1356093/000121390018014233/fs12018a3ex3-3_creativereal.htm" TargetMode="External"/><Relationship Id="rId107" Type="http://schemas.openxmlformats.org/officeDocument/2006/relationships/hyperlink" Target="http://www.sec.gov/Archives/edgar/data/1356093/000121390019004365/f8k031319ex3-1_creative.htm" TargetMode="External"/><Relationship Id="rId108" Type="http://schemas.openxmlformats.org/officeDocument/2006/relationships/hyperlink" Target="http://www.sec.gov/Archives/edgar/data/1356093/000121390019004365/f8k031319ex3-2_creative.htm" TargetMode="External"/><Relationship Id="rId109" Type="http://schemas.openxmlformats.org/officeDocument/2006/relationships/hyperlink" Target="http://www.sec.gov/Archives/edgar/data/1356093/000095012311094400/c24019exv3.htm" TargetMode="External"/><Relationship Id="rId110" Type="http://schemas.openxmlformats.org/officeDocument/2006/relationships/hyperlink" Target="http://www.sec.gov/Archives/edgar/data/1356093/000095013406016951/c04558sbexv4w2.htm" TargetMode="External"/><Relationship Id="rId111" Type="http://schemas.openxmlformats.org/officeDocument/2006/relationships/hyperlink" Target="https://www.sec.gov/Archives/edgar/data/1356093/000121390020012355/ea121686ex4-4_creative.htm" TargetMode="External"/><Relationship Id="rId112" Type="http://schemas.openxmlformats.org/officeDocument/2006/relationships/hyperlink" Target="http://www.sec.gov/Archives/edgar/data/1356093/000121390020014738/ea122923ex4-2_creative.htm" TargetMode="External"/><Relationship Id="rId113" Type="http://schemas.openxmlformats.org/officeDocument/2006/relationships/hyperlink" Target="http://www.sec.gov/Archives/edgar/data/1356093/000121390017012068/f10q0917ex10-1_creative.htm" TargetMode="External"/><Relationship Id="rId114" Type="http://schemas.openxmlformats.org/officeDocument/2006/relationships/hyperlink" Target="http://www.sec.gov/Archives/edgar/data/1356093/000121390018008179/fs12018ex10-25_creative.htm" TargetMode="External"/><Relationship Id="rId115" Type="http://schemas.openxmlformats.org/officeDocument/2006/relationships/hyperlink" Target="http://www.sec.gov/Archives/edgar/data/1356093/000121390018008179/fs12018ex10-26_creative.htm" TargetMode="External"/><Relationship Id="rId116" Type="http://schemas.openxmlformats.org/officeDocument/2006/relationships/hyperlink" Target="http://www.sec.gov/Archives/edgar/data/1356093/000121390018008179/fs12018ex10-32_creative.htm" TargetMode="External"/><Relationship Id="rId117" Type="http://schemas.openxmlformats.org/officeDocument/2006/relationships/hyperlink" Target="http://www.sec.gov/Archives/edgar/data/1356093/000121390016018780/f10q0916ex10ii_creative.htm" TargetMode="External"/><Relationship Id="rId118" Type="http://schemas.openxmlformats.org/officeDocument/2006/relationships/hyperlink" Target="http://www.sec.gov/Archives/edgar/data/1356093/000121390018015711/fs12018a5ex4-3_creative.htm" TargetMode="External"/><Relationship Id="rId119" Type="http://schemas.openxmlformats.org/officeDocument/2006/relationships/hyperlink" Target="http://www.sec.gov/Archives/edgar/data/1356093/000121390018014233/fs12018a3ex4-4_creativereal.htm" TargetMode="External"/><Relationship Id="rId120" Type="http://schemas.openxmlformats.org/officeDocument/2006/relationships/hyperlink" Target="http://www.sec.gov/Archives/edgar/data/1356093/000121390020006174/f10k2019ex4-14_creative.htm" TargetMode="External"/><Relationship Id="rId121" Type="http://schemas.openxmlformats.org/officeDocument/2006/relationships/hyperlink" Target="https://www.sec.gov/Archives/edgar/data/1356093/000121390022005397/ea154895ex4-1_creative.htm" TargetMode="External"/><Relationship Id="rId122" Type="http://schemas.openxmlformats.org/officeDocument/2006/relationships/hyperlink" Target="http://www.sec.gov/Archives/edgar/data/1356093/000121390022005397/ea154895ex4-2_creative.htm" TargetMode="External"/><Relationship Id="rId123" Type="http://schemas.openxmlformats.org/officeDocument/2006/relationships/hyperlink" Target="https://www.sec.gov/Archives/edgar/data/1356093/000121390022008352/ea155906ex4-1_creative.htm" TargetMode="External"/><Relationship Id="rId124" Type="http://schemas.openxmlformats.org/officeDocument/2006/relationships/hyperlink" Target="https://www.sec.gov/Archives/edgar/data/1356093/000121390022008352/ea155906ex4-2_creative.htm" TargetMode="External"/><Relationship Id="rId125" Type="http://schemas.openxmlformats.org/officeDocument/2006/relationships/hyperlink" Target="https://www.sec.gov/Archives/edgar/data/1356093/000121390021059463/ea150536ex9-1_creativereal.htm" TargetMode="External"/><Relationship Id="rId126" Type="http://schemas.openxmlformats.org/officeDocument/2006/relationships/hyperlink" Target="http://www.sec.gov/Archives/edgar/data/1356093/000121390021059463/ea150536ex9-2_creativereal.htm" TargetMode="External"/><Relationship Id="rId127" Type="http://schemas.openxmlformats.org/officeDocument/2006/relationships/hyperlink" Target="http://www.sec.gov/Archives/edgar/data/1356093/000121390018014233/fs12018a3ex4-5_creativereal.htm" TargetMode="External"/><Relationship Id="rId128" Type="http://schemas.openxmlformats.org/officeDocument/2006/relationships/hyperlink" Target="http://www.sec.gov/Archives/edgar/data/1356093/000121390018009543/def14a2018_creativerealities.htm" TargetMode="External"/><Relationship Id="rId129" Type="http://schemas.openxmlformats.org/officeDocument/2006/relationships/hyperlink" Target="http://www.sec.gov/Archives/edgar/data/1356093/000121390020015377/ea123146ex10-1_creative.htm" TargetMode="External"/><Relationship Id="rId130" Type="http://schemas.openxmlformats.org/officeDocument/2006/relationships/hyperlink" Target="http://www.sec.gov/Archives/edgar/data/1356093/000121390021006527/ea134107ex10-1_creative.htm" TargetMode="External"/><Relationship Id="rId131" Type="http://schemas.openxmlformats.org/officeDocument/2006/relationships/hyperlink" Target="http://www.sec.gov/Archives/edgar/data/1356093/000121390021010575/ea136019ex10-1_creative.htm" TargetMode="External"/><Relationship Id="rId132" Type="http://schemas.openxmlformats.org/officeDocument/2006/relationships/hyperlink" Target="http://www.sec.gov/Archives/edgar/data/1356093/000121390021013354/ea136138ex10-1_creative.htm" TargetMode="External"/><Relationship Id="rId133" Type="http://schemas.openxmlformats.org/officeDocument/2006/relationships/hyperlink" Target="http://www.sec.gov/Archives/edgar/data/1356093/000121390021014469/f10k2020ex10-36_creative.htm" TargetMode="External"/><Relationship Id="rId134" Type="http://schemas.openxmlformats.org/officeDocument/2006/relationships/hyperlink" Target="http://www.sec.gov/Archives/edgar/data/1356093/000121390021059463/ea150536ex10-1_creativereal.htm" TargetMode="External"/><Relationship Id="rId135" Type="http://schemas.openxmlformats.org/officeDocument/2006/relationships/hyperlink" Target="http://www.sec.gov/Archives/edgar/data/1356093/000121390021059463/ea150536ex10-2_creativereal.htm" TargetMode="External"/><Relationship Id="rId136" Type="http://schemas.openxmlformats.org/officeDocument/2006/relationships/hyperlink" Target="http://www.sec.gov/Archives/edgar/data/1356093/000121390022005397/ea154895ex10-1_creative.htm" TargetMode="External"/><Relationship Id="rId137" Type="http://schemas.openxmlformats.org/officeDocument/2006/relationships/hyperlink" Target="http://www.sec.gov/Archives/edgar/data/1356093/000121390022005397/ea154895ex10-2_creative.htm" TargetMode="External"/><Relationship Id="rId138" Type="http://schemas.openxmlformats.org/officeDocument/2006/relationships/hyperlink" Target="http://www.sec.gov/Archives/edgar/data/1356093/000121390022008352/ea155906ex10-1_creative.htm" TargetMode="External"/><Relationship Id="rId139" Type="http://schemas.openxmlformats.org/officeDocument/2006/relationships/hyperlink" Target="http://www.sec.gov/Archives/edgar/data/1356093/000121390022008352/ea155906ex10-2_creative.htm" TargetMode="External"/><Relationship Id="rId140" Type="http://schemas.openxmlformats.org/officeDocument/2006/relationships/hyperlink" Target="http://www.sec.gov/Archives/edgar/data/1356093/000121390022008352/ea155906ex10-3_creative.htm" TargetMode="External"/><Relationship Id="rId141" Type="http://schemas.openxmlformats.org/officeDocument/2006/relationships/hyperlink" Target="http://www.sec.gov/Archives/edgar/data/1356093/000121390022008352/ea155906ex10-4_creative.htm" TargetMode="External"/><Relationship Id="rId142" Type="http://schemas.openxmlformats.org/officeDocument/2006/relationships/hyperlink" Target="http://www.sec.gov/Archives/edgar/data/1356093/000121390020014877/def14a0620_creative.htm" TargetMode="External"/><Relationship Id="rId143" Type="http://schemas.openxmlformats.org/officeDocument/2006/relationships/hyperlink" Target="http://www.sec.gov/Archives/edgar/data/1356093/000121390022008352/ea155906ex10-5_creative.htm" TargetMode="External"/><Relationship Id="rId144" Type="http://schemas.openxmlformats.org/officeDocument/2006/relationships/hyperlink" Target="http://www.sec.gov/Archives/edgar/data/1356093/000121390022008352/ea155906ex10-6_creative.htm" TargetMode="External"/><Relationship Id="rId145" Type="http://schemas.openxmlformats.org/officeDocument/2006/relationships/hyperlink" Target="http://www.sec.gov/Archives/edgar/data/1356093/000121390019005126/f10k2018ex14-1_creativere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2022-03-22T15:59:26Z</dcterms:created>
  <dcterms:modified xsi:type="dcterms:W3CDTF">2022-03-22T15:59:26Z</dcterms:modified>
</cp:coreProperties>
</file>