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CURRENT REPORT</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14"/>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PURSUANT TO SECTION 13 OR 15(d) OF</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THE SECURITIES EXCHANGE ACT OF 1934</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3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April 14, 2026</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14"/>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0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2"/>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Minnesota</w:t>
            </w:r>
          </w:p>
        </w:tc>
        <w:tc>
          <w:tcPr>
            <w:tcW w:w="44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001-33169</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41-1967918</w:t>
            </w:r>
          </w:p>
        </w:tc>
      </w:tr>
      <w:tr>
        <w:trPr>
          <w:trHeight w:val="191"/>
        </w:trPr>
        <w:tc>
          <w:tcPr>
            <w:tcW w:w="3020" w:type="dxa"/>
            <w:vAlign w:val="bottom"/>
            <w:tcBorders>
              <w:top w:val="single" w:sz="8" w:color="auto"/>
            </w:tcBorders>
          </w:tcPr>
          <w:p>
            <w:pPr>
              <w:jc w:val="center"/>
              <w:ind w:left="51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3"/>
          </w:tcPr>
          <w:p>
            <w:pPr>
              <w:jc w:val="center"/>
              <w:ind w:right="5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8320" w:type="dxa"/>
            <w:vAlign w:val="bottom"/>
            <w:gridSpan w:val="6"/>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13100 Magisterial Drive, Suite 102, Louisville, KY</w:t>
            </w:r>
          </w:p>
        </w:tc>
        <w:tc>
          <w:tcPr>
            <w:tcW w:w="292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40223</w:t>
            </w:r>
          </w:p>
        </w:tc>
      </w:tr>
      <w:tr>
        <w:trPr>
          <w:trHeight w:val="228"/>
        </w:trPr>
        <w:tc>
          <w:tcPr>
            <w:tcW w:w="3020" w:type="dxa"/>
            <w:vAlign w:val="bottom"/>
            <w:tcBorders>
              <w:top w:val="single" w:sz="8" w:color="auto"/>
            </w:tcBorders>
          </w:tcPr>
          <w:p>
            <w:pPr>
              <w:spacing w:after="0"/>
              <w:rPr>
                <w:sz w:val="19"/>
                <w:szCs w:val="19"/>
                <w:color w:val="auto"/>
              </w:rPr>
            </w:pPr>
          </w:p>
        </w:tc>
        <w:tc>
          <w:tcPr>
            <w:tcW w:w="5300" w:type="dxa"/>
            <w:vAlign w:val="bottom"/>
            <w:tcBorders>
              <w:top w:val="single" w:sz="8" w:color="auto"/>
            </w:tcBorders>
            <w:gridSpan w:val="5"/>
          </w:tcPr>
          <w:p>
            <w:pPr>
              <w:jc w:val="center"/>
              <w:ind w:right="210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020" w:type="dxa"/>
            <w:vAlign w:val="bottom"/>
          </w:tcPr>
          <w:p>
            <w:pPr>
              <w:spacing w:after="0"/>
              <w:rPr>
                <w:sz w:val="24"/>
                <w:szCs w:val="24"/>
                <w:color w:val="auto"/>
              </w:rPr>
            </w:pPr>
          </w:p>
        </w:tc>
        <w:tc>
          <w:tcPr>
            <w:tcW w:w="44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(502) 791-8800</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0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CREX</w:t>
            </w:r>
          </w:p>
        </w:tc>
        <w:tc>
          <w:tcPr>
            <w:tcW w:w="22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14, 2026, Creative Realities, Inc. issued a press release announcing its financial condition and results of operations for the three and twelve months ended December 31, 2025. A copy of the press release is furnished as Exhibit 99.1. The information in this Item 2.02, including the information contained in the press release furnished as Exhibit 99.1,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p>
      <w:pPr>
        <w:ind w:left="620" w:hanging="612"/>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0"/>
                <w:szCs w:val="20"/>
                <w:color w:val="auto"/>
              </w:rPr>
            </w:pPr>
          </w:p>
        </w:tc>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4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April 14, 2026</w:t>
            </w: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45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14,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Creative Realities,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Tamra Koshewa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Tamra Koshewa</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6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9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dated April 14, 2026</w:t>
            </w:r>
          </w:p>
        </w:tc>
      </w:tr>
      <w:tr>
        <w:trPr>
          <w:trHeight w:val="41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Creative Realities Reports Fiscal 2025 Fourth Quarter Results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CDM Integration on Track; Company Poised for Strong Year Ahead</w:t>
      </w:r>
    </w:p>
    <w:p>
      <w:pPr>
        <w:spacing w:after="0" w:line="1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LOUISVILLE, KY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April 14, 2026 </w:t>
      </w:r>
      <w:r>
        <w:rPr>
          <w:rFonts w:ascii="Times New Roman" w:cs="Times New Roman" w:eastAsia="Times New Roman" w:hAnsi="Times New Roman"/>
          <w:sz w:val="18"/>
          <w:szCs w:val="18"/>
          <w:color w:val="auto"/>
        </w:rPr>
        <w:t>– Creative Realities, Inc. (“Creative Realities,” “CRI,” or the “Company”) (NASDAQ: CREX), a leading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signage, media and AdTech solutions, today announced its financial results for the fiscal fourth quarter ended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jc w:val="both"/>
        <w:ind w:left="500" w:hanging="330"/>
        <w:spacing w:after="0" w:line="266"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7, 2025, the Company closed on its acquisition of Cineplex Digital Media (“CDM”) for CAD $70.0 million. Final purchase price after adjustments was approximately CAD $60,263 (or approximately USD $42,761). Concurrent with the acquisition CRI added three new members to its Board of Directors.</w:t>
      </w:r>
    </w:p>
    <w:p>
      <w:pPr>
        <w:spacing w:after="0" w:line="17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revenue of $23.9 million versus $11.0 million in the prior-year period.</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$11.5 million for the three months ended December 31, 2025 versus $4.9 million in the fourth quarter of fiscal 2024.</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$5.2 million for the fourth quarter of 2025 versus $0.5 million in the prior-year period.</w:t>
      </w:r>
    </w:p>
    <w:p>
      <w:pPr>
        <w:spacing w:after="0" w:line="252"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recurring revenue (“ARR”) of approximately $20.1** million at the end of the fourth quarter versus $12.3 million as of September 30, 2025.</w:t>
      </w:r>
    </w:p>
    <w:p>
      <w:pPr>
        <w:spacing w:after="0" w:line="16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end of the quarter, on February 18, 2026, CRI announced that it had repurchased the warrants (the “Warrants”) to purchase 1,731,499 shares of the Company’s common stock held by Slipstream Communications, LLC (“Slipstream”).</w:t>
      </w:r>
    </w:p>
    <w:p>
      <w:pPr>
        <w:spacing w:after="0" w:line="16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recently announced a partnership with AMC Theatres (“AMC”) and National CineMedia (“NCM”) to significantly expand and modernize AMC Theatres’ in-lobby media footprint across 285 locations nationwide.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“After closing out fiscal 2025, a period of significant transformation and accomplishment, CRI is positioned for even stronger days ahead – bolstered by the acquisition of CDM just a few months ago,” said Rick Mills, Chief Executive Officer. “We expect fiscal 2026 to be our best year ever and anticipate higher top line growth and expanded margins as we leverage the entire organization to achieve improved financial results. With the integration of CDM on track, we are well on our way to driving even greater economies of scale by providing unique value-added services to a broader customer portfolio across North America. In addition, we have already achieved $6.4 million of annualized enterprise-wide cost synergies and remain on schedule to realize $10 million by the end of the year. This is driven by operating efficiencies, margin enhancement strategies, and the application of CRI’s CMS and AdTech platforms. We’re extremely excited by the new opportunities now on our doorstep, which we expect to lead to growth acceleration as the year progresses. With the addition of some very accomplished staff – including Chief Financial Officer Tamra Koshewa, Chief Experience Officer Jackie Walker, and Chief Revenue Officer Dan McAllister – to help lead the Company, we’re in excellent position to execute our vision of becoming the leader in digital media and, in the process, post higher returns for our shareholders in the quarters to come.”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is a non-GAAP financial measure. A reconciliation is provided in the tables of this press release.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**Annualized Recurring Revenue is a non-GAAP operating metric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Fourth Quarter 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were $23.9 million for the fiscal 2025 fourth quarter as compared to $11.0 million in the same period in fiscal 2024, with approximately $13.6 million from CDM. Hardware revenue rose to $6.6 million, versus $3.9 million in the prior-year period, while service revenue increased to $17.3 million from $7.2 million in fiscal 2024, largely reflecting the impact of the CDM acquisition as well as deployment timing.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gross profit was $11.5 million for the fiscal 2025 fourth quarter versus $4.9 million in the prior-year period, and consolidated gross margin was 47.9% versus 44.2% in the fiscal 2024 fourth quarter. Gross margin on hardware revenue was 27.6% in fiscal 2025, as compared to 26.3% in the prior-year period, while gross margin on service amounted to 55.7%, versus 53.9% in the fiscal 2024 fourth quarter, primarily due to improved mix. The Company ended the 2025 fourth quarter with ARR of approximately $20.1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in the fourth quarter rose to $2.0 million, versus $1.4 million in the prior-year period, while general and administrative (G&amp;A) expenses increased to $8.9 million versus $4.2 million in the fourth quarter of fiscal 2024, reflecting the acquisition of CDM; approximately $1.2 million of G&amp;A expenses were one-time in nature, including legal and accounting consulting fees as well as closing costs related to the transaction.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posted operating income of approximately $0.5 million in the fourth quarter of fiscal 2025 compared to an operating loss of $0.7 million in the fourth quarter of fiscal 2024. CRI reported a net loss of $2.0 million and a net loss attributable to common stockholders of $2.2 million, or $(0.21) per diluted share, in the quarter ended December 31, 2025 versus a net loss of $2.8 million, or $(0.27) per diluted share, in the prior-year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(defined later in this release) was $5.2 million in the fourth quarter of 2025 as compared to $0.5 million in the prior-year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December 31, 2025, the Company had cash on hand of approximately $1.6 million, versus $1.0 million at December 31, 2024. The Company had outstanding debt of approximately $44.0 million versus $13.0 million at the start of the fiscal year, reflecting the acquisition of CDM.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will host a conference call to review the results of the fourth quarter of 2025, and provide additional commentary about recent performance, on April 14 at 9:00 am Eastern Time, which will include prepared remarks and materials from management, followed by a live Q&amp;A. The call will be hosted by Rick Mills, Chief Executive Officer, Tamra Koshewa, Chief Financial Officer, and George Sautter, Chief Strategy Officer.</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Prior to the call, participants should register at </w:t>
      </w:r>
      <w:r>
        <w:rPr>
          <w:rFonts w:ascii="Times New Roman" w:cs="Times New Roman" w:eastAsia="Times New Roman" w:hAnsi="Times New Roman"/>
          <w:sz w:val="18"/>
          <w:szCs w:val="18"/>
          <w:u w:val="single" w:color="auto"/>
          <w:color w:val="auto"/>
        </w:rPr>
        <w:t>https://bit.ly/CREXearnings2025Q4</w:t>
      </w:r>
      <w:r>
        <w:rPr>
          <w:rFonts w:ascii="Times New Roman" w:cs="Times New Roman" w:eastAsia="Times New Roman" w:hAnsi="Times New Roman"/>
          <w:sz w:val="18"/>
          <w:szCs w:val="18"/>
          <w:color w:val="auto"/>
        </w:rPr>
        <w:t>. Once registered, participants can use the weblink provided in the registration email to participate in the live webcast. An archived edition of the earnings conference call will also be posted on the Company’s website later today and will remain available for one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Creative Realities, Inc. prepares its consolidated financial statements in accordance with United States generally accepted accounting principles (“GAAP”). In addition to disclosing financial results prepared in accordance with GAAP, the Company discloses information regarding “EBITDA” and “Adjusted EBITDA.” CRI defines “EBITDA” as earnings before interest, income taxes, depreciation and amortization of intangibles. CRI defines “Adjusted EBITDA” as EBITDA excluding stock-based compensation, fair value adjustments and both cash and non-cash non-recurring gains and charges. EBITDA and Adjusted EBITDA are not measures of performance defined in accordance with GAAP. However, EBITDA and Adjusted EBITDA are used internally in planning and evaluating the Company’s operating performance. Accordingly, management believes that disclosure of these metrics offers investors, bankers and other stakeholders an additional view of the Company’s operations that, when coupled with the GAAP results, provides a more complete understanding of the Company’s financial results. EBITDA and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the Company’s performance. A reconciliation of GAAP net income/(loss) to EBITDA and Adjusted EBITDA is included in the accompanying financial schedules. For further information, please refer to Creative Realities, Inc.’s filings available online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including its Annual Report on Form 10-K for 2024 filed with the Securities and Exchange Commission.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Annualized recurring revenue, or “ARR,” represents the annualized revenue run rate of our subscription (1) software-as-a-service (“SaaS”) contracts, (2) maintenance and support of perpetual license contracts, and (3) content management service contracts at the end of the final calendar month included in a reporting period, assuming these contracts are renewed on their existing terms for customers that are under subscription contracts with us. This gives us an indication of the revenue that can be earned in the following 12-month period from our existing client base, assuming no cancellations or price changes occur during that period. We believe that ARR is a key operating metric to measure our business because it is driven by our ability to acquire new subscription customers and to maintain and expand our relationship with existing subscription customers. ARR should be viewed independently of revenue and deferred revenue as ARR is a performance metric and is not intended to be combined with any of these items.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further information, please refer to Creative Realities, Inc.’s filings available online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including its Annual Report on Form 10-K for 2024 filed with the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Creative Realities, Inc.</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Creative Realities designs, develops and deploys digital signage-based experiences for enterprise-level networks utilizing its Clarity™, ReflectView™, and iShowroom™ Content Management System (CMS) platforms. The Company is actively providing recurring SaaS and support services across diverse vertical markets, including, but not limited to, retail, automotive, digital out-of-home (DOOH) advertising networks, convenience stores, foodservice/QSR, gaming, theater, and stadium venues. In addition, the Company assists clients in utilizing place-based digital media to achieve business objectives such as increased revenue, enhanced customer experiences, and improved productivity. This includes the design, deployment, and day-to-day management of retail media networks to monetize on-premise foot traffic utilizing its AdLogic™ and CPM+™ programmatic advertising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Section 21E of the Securities Exchange Act of 1934, as amended, and the Private Securities Litigation Reform Act of 1995, and includes, among other things, discussions of our business strategies, product releases, future operations and capital resources. Words such as "estimates," "projects," "expects," "anticipates," "forecasts," "plans," "intends," "believes," "seeks," "may," "will," "should," "future," "propose" and variations of these words or similar expressions (or the negative versions of such words or expressions) are intended to identify forward-looking statements. Forward-looking statements are not guarantees of future performance, conditions or results. They are based on the opinions, estimates and beliefs of management as of the date such statements are made, and they are subject to known and unknown risks, uncertainties, assumptions and other factors, many of which are outside of our control, that may cause the actual results, level of activity, performance or achievements to be materially different from those expressed or implied by such forward-looking statements. Some of these risks are discussed in the “Risk Factors” section contained in Item 1A of our Annual Report on Form 10-K for the year ended December 31, 2024 and our Quarterly Reports on Form 10-Q for the quarters ended March 31, 2025 and September 30, 2025, and the Company’s subsequent filings with the U.S. Securities and Exchange Commission. Important factors, among others, that may affect actual results or outcomes include: our ability to integrate the recently acquired business of Cineplex Digital Media Inc. (“CDM”) into our own, maintain or improve the financial performance of CDM’s business and realize anticipated synergies, our strategy for customer retention, growth, product development, market position, financial results and reserves, our ability to execute on our business plan, our ability to retain key personnel, our ability to remain listed on the Nasdaq Capital Market, our ability to realize the revenues included in our future guidance and backlog reports, our ability to satisfy our upcoming debt obligations and other liabilities, the ability of the Company to continue as a going concern, potential litigation, supply chain shortages, and general economic and market conditions impacting demand for our products and services. Readers should not place undue reliance upon any forward-looking statements. We assume no obligation to update or revise the forward-looking statements, whether as a result of new information, future events or otherwise,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Davies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cdavies@ideagrove.com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Witty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cwitty@darrowir.com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646-438-9385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ir@cri.com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https://investors.cri.com/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1,559</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19,219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7,420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1,995</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53,266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26,453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35,906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22,658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TEMPORARY EQUITY,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16,673</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3,837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8,115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maturities of finance leases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3,799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contingent consideration, at fair value</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12,815</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13,044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debt, net of deferred financing costs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34,583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17,844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101,854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Redeemable Convertible Preferred stock, $1,000 stated value, 50,000 shares authorized; 30 and 0</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December 31, 2025 and 2024, respectively Liquidation preference of</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$30,232 and $0 as of December 31, 2025 and 2024, respectively</w:t>
            </w:r>
          </w:p>
        </w:tc>
        <w:tc>
          <w:tcPr>
            <w:tcW w:w="3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27,688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66,666 shares authorized; 10,519 and 10,447 shares issued and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2025 and 2024, respectively</w:t>
            </w:r>
          </w:p>
        </w:tc>
        <w:tc>
          <w:tcPr>
            <w:tcW w:w="3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85,300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(65,130)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(56,854)</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25,460</w:t>
            </w:r>
          </w:p>
        </w:tc>
        <w:tc>
          <w:tcPr>
            <w:tcW w:w="100" w:type="dxa"/>
            <w:vAlign w:val="bottom"/>
            <w:tcBorders>
              <w:bottom w:val="single" w:sz="8" w:color="CCEEFF"/>
            </w:tcBorders>
          </w:tcPr>
          <w:p>
            <w:pPr>
              <w:spacing w:after="0"/>
              <w:rPr>
                <w:sz w:val="18"/>
                <w:szCs w:val="18"/>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Temporary Equity, and Shareholders'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40" w:type="dxa"/>
            <w:vAlign w:val="bottom"/>
          </w:tcPr>
          <w:p>
            <w:pPr>
              <w:spacing w:after="0"/>
              <w:rPr>
                <w:sz w:val="19"/>
                <w:szCs w:val="19"/>
                <w:color w:val="auto"/>
              </w:rPr>
            </w:pPr>
          </w:p>
        </w:tc>
        <w:tc>
          <w:tcPr>
            <w:tcW w:w="2300" w:type="dxa"/>
            <w:vAlign w:val="bottom"/>
            <w:gridSpan w:val="5"/>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5"/>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6,597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21,232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18,259</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17,324</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7,162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36,000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32,595</w:t>
            </w:r>
          </w:p>
        </w:tc>
        <w:tc>
          <w:tcPr>
            <w:tcW w:w="0" w:type="dxa"/>
            <w:vAlign w:val="bottom"/>
          </w:tcPr>
          <w:p>
            <w:pPr>
              <w:spacing w:after="0"/>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23,921</w:t>
            </w: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57,232</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4,773</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2,839</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15,292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13,521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7,681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3,303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16,226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13,322</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12,454</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31,518</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1,360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5,803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6,015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8,982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23,065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17,058</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impairment of software asset</w:t>
            </w:r>
          </w:p>
        </w:tc>
        <w:tc>
          <w:tcPr>
            <w:tcW w:w="100" w:type="dxa"/>
            <w:vAlign w:val="bottom"/>
          </w:tcPr>
          <w:p>
            <w:pPr>
              <w:spacing w:after="0"/>
              <w:rPr>
                <w:sz w:val="19"/>
                <w:szCs w:val="19"/>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5,712</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23,073</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1,115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change in fair value of contingent consideration</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Pr>
          <w:p>
            <w:pPr>
              <w:spacing w:after="0"/>
              <w:rPr>
                <w:sz w:val="19"/>
                <w:szCs w:val="19"/>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(1,175)</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(1,166)</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Series A Redeemable Convertible Preferred Stock dividends</w:t>
            </w:r>
          </w:p>
        </w:tc>
        <w:tc>
          <w:tcPr>
            <w:tcW w:w="10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applicable to common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(loss) income per common share</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9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2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(0.81</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(loss) income per common share</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10,519</w:t>
            </w:r>
          </w:p>
        </w:tc>
        <w:tc>
          <w:tcPr>
            <w:tcW w:w="2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10,447</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10,495</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10,519</w:t>
            </w: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10,447</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10,495</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5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80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6,491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4,078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modification of revolver</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software asset</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change in fair value of contingent consideration</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1,608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to operating assets and liabilities, net of acquisitions: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1,850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acquisition of Cineplex Digital Media (net of cash acquired)</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(37,983)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of costs for software development</w:t>
            </w: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r>
      <w:tr>
        <w:trPr>
          <w:trHeight w:val="210"/>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(40,477</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Series A Redeemable Convertible Preferred Stock</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 of issuance costs related to Series A Redeemable Convertible Preferred Stock</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term debt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36,000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term debts</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(15,147)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borrowings under revolving credit facility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41,712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31,459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borrowings under revolving credit facility</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(49,817)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(18,415)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48,739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on cash and cash equivalents</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920" w:type="dxa"/>
            <w:vAlign w:val="bottom"/>
          </w:tcPr>
          <w:p>
            <w:pPr>
              <w:spacing w:after="0"/>
              <w:rPr>
                <w:sz w:val="19"/>
                <w:szCs w:val="19"/>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2,910</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in accounts payable</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 Redeemable Convertible Preferred Stock dividends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232</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1,509</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notes payable as partial settlement of contingent consideration</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4,000</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warrants as partial settlement of contingent consideration</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1,040</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information for cash flow</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1,849</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520</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w:t>
            </w:r>
          </w:p>
        </w:tc>
      </w:tr>
    </w:tbl>
    <w:p>
      <w:pPr>
        <w:sectPr>
          <w:pgSz w:w="11900" w:h="16838" w:orient="portrait"/>
          <w:cols w:equalWidth="0" w:num="1">
            <w:col w:w="11240"/>
          </w:cols>
          <w:pgMar w:left="320" w:top="576" w:right="339" w:bottom="0"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LOSS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Creative Realities, Inc. prepares its consolidated financial statements in accordance with United States generally accepted accounting principles (“GAAP”).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disclosing financial results prepared in accordance with GAAP, the Company discloses information regarding “EBITDA” and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CRI defines “EBITDA” as earnings before interest, income taxes, depreciation and amortization of intangibles. CRI defines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as EBITDA excluding stock-based compensation, fair value adjustments and both cash and non-cash non-recurring gains and charges.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and should not be considered as a substitute for net income (loss), operating income (loss) or any other performance measure derived in accordance with United States generally accepted accounting principles (“GAAP”) or as an alternative to net cash provided by operating activities as a measure of CRI’s profitability or liquidity. CRI’s management believes EBITDA and Adjusted EBITDA are useful financial metrics because they allow external users of CRI’s financial statements, such as industry analysts, investors, lenders and rating agencies, to more effectively evaluate CRI’s operating performance, compare the results of its operations from period to period and against CRI’s peers without regard to CRI’s financing methods, hedging positions or capital structure and because it highlights trends in CRI’s business that may not otherwise be apparent when relying solely on GAAP measures. CRI also presents EBITDA and Adjusted EBITDA because it believes EBITDA and Adjusted EBITDA are important supplemental measures of its performance that are frequently used by others in evaluating companies in its industry. Because EBITDA and Adjusted EBITDA exclude some, but not all, items that affect net income (loss) and may vary among companies, the EBITDA and Adjusted EBITDA CRI presents may not be comparable to similarly titled measures of other companies.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EBITDA and Adjusted EBITDA from net loss, CRI’s most directly comparable financial measure calculated and presented in accordance with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80" w:type="dxa"/>
            <w:vAlign w:val="bottom"/>
            <w:gridSpan w:val="3"/>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6"/>
                <w:szCs w:val="16"/>
                <w:color w:val="auto"/>
              </w:rPr>
            </w:pPr>
          </w:p>
        </w:tc>
        <w:tc>
          <w:tcPr>
            <w:tcW w:w="116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6"/>
                <w:szCs w:val="16"/>
                <w:color w:val="auto"/>
              </w:rPr>
            </w:pPr>
          </w:p>
        </w:tc>
        <w:tc>
          <w:tcPr>
            <w:tcW w:w="98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(8,276)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(6,189)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(4,775)</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Deal &amp; transaction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impairment of software asset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modification of revolver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2026-04-14T06:33:12Z</dcterms:created>
  <dcterms:modified xsi:type="dcterms:W3CDTF">2026-04-14T06:33:12Z</dcterms:modified>
</cp:coreProperties>
</file>