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jc w:val="center"/>
        <w:ind w:left="4000" w:right="940" w:hanging="3052"/>
        <w:spacing w:after="0" w:line="495" w:lineRule="auto"/>
        <w:tabs>
          <w:tab w:leader="none" w:pos="1150"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For the quarterly period ended June 30, 2022</w:t>
      </w:r>
    </w:p>
    <w:p>
      <w:pPr>
        <w:ind w:left="5540"/>
        <w:spacing w:after="0"/>
        <w:rPr>
          <w:rFonts w:ascii="MS PGothic" w:cs="MS PGothic" w:eastAsia="MS PGothic" w:hAnsi="MS PGothic"/>
          <w:sz w:val="18"/>
          <w:szCs w:val="18"/>
          <w:color w:val="auto"/>
        </w:rPr>
      </w:pPr>
      <w:r>
        <w:rPr>
          <w:rFonts w:ascii="Arial" w:cs="Arial" w:eastAsia="Arial" w:hAnsi="Arial"/>
          <w:sz w:val="18"/>
          <w:szCs w:val="18"/>
          <w:color w:val="auto"/>
        </w:rPr>
        <w:t>or</w:t>
      </w:r>
    </w:p>
    <w:p>
      <w:pPr>
        <w:spacing w:after="0" w:line="221" w:lineRule="exact"/>
        <w:rPr>
          <w:rFonts w:ascii="MS PGothic" w:cs="MS PGothic" w:eastAsia="MS PGothic" w:hAnsi="MS PGothic"/>
          <w:sz w:val="18"/>
          <w:szCs w:val="18"/>
          <w:color w:val="auto"/>
        </w:rPr>
      </w:pPr>
    </w:p>
    <w:p>
      <w:pPr>
        <w:jc w:val="center"/>
        <w:ind w:left="3600" w:right="940" w:hanging="2659"/>
        <w:spacing w:after="0" w:line="503" w:lineRule="auto"/>
        <w:tabs>
          <w:tab w:leader="none" w:pos="1141"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_________ to _________</w:t>
      </w:r>
    </w:p>
    <w:p>
      <w:pPr>
        <w:ind w:left="4280"/>
        <w:spacing w:after="0"/>
        <w:rPr>
          <w:rFonts w:ascii="MS PGothic" w:cs="MS PGothic" w:eastAsia="MS PGothic" w:hAnsi="MS PGothic"/>
          <w:sz w:val="18"/>
          <w:szCs w:val="18"/>
          <w:color w:val="auto"/>
        </w:rPr>
      </w:pPr>
      <w:r>
        <w:rPr>
          <w:rFonts w:ascii="Arial" w:cs="Arial" w:eastAsia="Arial" w:hAnsi="Arial"/>
          <w:sz w:val="18"/>
          <w:szCs w:val="18"/>
          <w:color w:val="auto"/>
        </w:rPr>
        <w:t>Commission File Number 001-33169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2165350</wp:posOffset>
            </wp:positionH>
            <wp:positionV relativeFrom="paragraph">
              <wp:posOffset>151765</wp:posOffset>
            </wp:positionV>
            <wp:extent cx="2777490" cy="506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77490" cy="5060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w:t>
      </w:r>
      <w:r>
        <w:rPr>
          <w:rFonts w:ascii="Arial" w:cs="Arial" w:eastAsia="Arial" w:hAnsi="Arial"/>
          <w:sz w:val="22"/>
          <w:szCs w:val="22"/>
          <w:b w:val="1"/>
          <w:bCs w:val="1"/>
          <w:color w:val="auto"/>
        </w:rPr>
        <w:t>reative Realities,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7700" w:type="dxa"/>
            <w:vAlign w:val="bottom"/>
            <w:gridSpan w:val="5"/>
          </w:tcPr>
          <w:p>
            <w:pPr>
              <w:jc w:val="center"/>
              <w:ind w:right="2180"/>
              <w:spacing w:after="0"/>
              <w:rPr>
                <w:sz w:val="20"/>
                <w:szCs w:val="20"/>
                <w:color w:val="auto"/>
              </w:rPr>
            </w:pPr>
            <w:r>
              <w:rPr>
                <w:rFonts w:ascii="Arial" w:cs="Arial" w:eastAsia="Arial" w:hAnsi="Arial"/>
                <w:sz w:val="18"/>
                <w:szCs w:val="18"/>
                <w:b w:val="1"/>
                <w:bCs w:val="1"/>
                <w:color w:val="auto"/>
                <w:w w:val="89"/>
              </w:rPr>
              <w:t>Minnesota</w:t>
            </w:r>
          </w:p>
        </w:tc>
        <w:tc>
          <w:tcPr>
            <w:tcW w:w="3540" w:type="dxa"/>
            <w:vAlign w:val="bottom"/>
          </w:tcPr>
          <w:p>
            <w:pPr>
              <w:jc w:val="right"/>
              <w:ind w:right="2230"/>
              <w:spacing w:after="0"/>
              <w:rPr>
                <w:sz w:val="20"/>
                <w:szCs w:val="20"/>
                <w:color w:val="auto"/>
              </w:rPr>
            </w:pPr>
            <w:r>
              <w:rPr>
                <w:rFonts w:ascii="Arial" w:cs="Arial" w:eastAsia="Arial" w:hAnsi="Arial"/>
                <w:sz w:val="18"/>
                <w:szCs w:val="18"/>
                <w:b w:val="1"/>
                <w:bCs w:val="1"/>
                <w:color w:val="auto"/>
              </w:rPr>
              <w:t>41-1967918</w:t>
            </w:r>
          </w:p>
        </w:tc>
      </w:tr>
      <w:tr>
        <w:trPr>
          <w:trHeight w:val="202"/>
        </w:trPr>
        <w:tc>
          <w:tcPr>
            <w:tcW w:w="5520" w:type="dxa"/>
            <w:vAlign w:val="bottom"/>
            <w:tcBorders>
              <w:top w:val="single" w:sz="8" w:color="auto"/>
            </w:tcBorders>
            <w:gridSpan w:val="2"/>
          </w:tcPr>
          <w:p>
            <w:pPr>
              <w:jc w:val="center"/>
              <w:spacing w:after="0" w:line="201" w:lineRule="exact"/>
              <w:rPr>
                <w:sz w:val="20"/>
                <w:szCs w:val="20"/>
                <w:color w:val="auto"/>
              </w:rPr>
            </w:pPr>
            <w:r>
              <w:rPr>
                <w:rFonts w:ascii="Arial" w:cs="Arial" w:eastAsia="Arial" w:hAnsi="Arial"/>
                <w:sz w:val="18"/>
                <w:szCs w:val="18"/>
                <w:color w:val="auto"/>
                <w:w w:val="91"/>
              </w:rPr>
              <w:t>State or Other Jurisdiction of</w:t>
            </w:r>
          </w:p>
        </w:tc>
        <w:tc>
          <w:tcPr>
            <w:tcW w:w="2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3540" w:type="dxa"/>
            <w:vAlign w:val="bottom"/>
            <w:tcBorders>
              <w:top w:val="single" w:sz="8" w:color="auto"/>
            </w:tcBorders>
          </w:tcPr>
          <w:p>
            <w:pPr>
              <w:jc w:val="center"/>
              <w:ind w:right="187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7700" w:type="dxa"/>
            <w:vAlign w:val="bottom"/>
            <w:gridSpan w:val="5"/>
          </w:tcPr>
          <w:p>
            <w:pPr>
              <w:jc w:val="center"/>
              <w:ind w:right="2180"/>
              <w:spacing w:after="0"/>
              <w:rPr>
                <w:sz w:val="20"/>
                <w:szCs w:val="20"/>
                <w:color w:val="auto"/>
              </w:rPr>
            </w:pPr>
            <w:r>
              <w:rPr>
                <w:rFonts w:ascii="Arial" w:cs="Arial" w:eastAsia="Arial" w:hAnsi="Arial"/>
                <w:sz w:val="18"/>
                <w:szCs w:val="18"/>
                <w:color w:val="auto"/>
                <w:w w:val="92"/>
              </w:rPr>
              <w:t>Incorporation or Organization</w:t>
            </w:r>
          </w:p>
        </w:tc>
        <w:tc>
          <w:tcPr>
            <w:tcW w:w="3540" w:type="dxa"/>
            <w:vAlign w:val="bottom"/>
          </w:tcPr>
          <w:p>
            <w:pPr>
              <w:jc w:val="center"/>
              <w:ind w:right="1850"/>
              <w:spacing w:after="0"/>
              <w:rPr>
                <w:sz w:val="20"/>
                <w:szCs w:val="20"/>
                <w:color w:val="auto"/>
              </w:rPr>
            </w:pPr>
            <w:r>
              <w:rPr>
                <w:rFonts w:ascii="Arial" w:cs="Arial" w:eastAsia="Arial" w:hAnsi="Arial"/>
                <w:sz w:val="18"/>
                <w:szCs w:val="18"/>
                <w:color w:val="auto"/>
                <w:w w:val="95"/>
              </w:rPr>
              <w:t>Identification No.</w:t>
            </w:r>
          </w:p>
        </w:tc>
      </w:tr>
      <w:tr>
        <w:trPr>
          <w:trHeight w:val="439"/>
        </w:trPr>
        <w:tc>
          <w:tcPr>
            <w:tcW w:w="7700" w:type="dxa"/>
            <w:vAlign w:val="bottom"/>
            <w:gridSpan w:val="5"/>
          </w:tcPr>
          <w:p>
            <w:pPr>
              <w:jc w:val="center"/>
              <w:ind w:right="2180"/>
              <w:spacing w:after="0"/>
              <w:rPr>
                <w:sz w:val="20"/>
                <w:szCs w:val="20"/>
                <w:color w:val="auto"/>
              </w:rPr>
            </w:pPr>
            <w:r>
              <w:rPr>
                <w:rFonts w:ascii="Arial" w:cs="Arial" w:eastAsia="Arial" w:hAnsi="Arial"/>
                <w:sz w:val="18"/>
                <w:szCs w:val="18"/>
                <w:b w:val="1"/>
                <w:bCs w:val="1"/>
                <w:color w:val="auto"/>
                <w:w w:val="92"/>
              </w:rPr>
              <w:t>13100 Magisterial Drive, Suite 100, Louisville KY</w:t>
            </w:r>
          </w:p>
        </w:tc>
        <w:tc>
          <w:tcPr>
            <w:tcW w:w="3540" w:type="dxa"/>
            <w:vAlign w:val="bottom"/>
          </w:tcPr>
          <w:p>
            <w:pPr>
              <w:jc w:val="right"/>
              <w:ind w:right="2430"/>
              <w:spacing w:after="0"/>
              <w:rPr>
                <w:sz w:val="20"/>
                <w:szCs w:val="20"/>
                <w:color w:val="auto"/>
              </w:rPr>
            </w:pPr>
            <w:r>
              <w:rPr>
                <w:rFonts w:ascii="Arial" w:cs="Arial" w:eastAsia="Arial" w:hAnsi="Arial"/>
                <w:sz w:val="18"/>
                <w:szCs w:val="18"/>
                <w:b w:val="1"/>
                <w:bCs w:val="1"/>
                <w:color w:val="auto"/>
              </w:rPr>
              <w:t>40223</w:t>
            </w:r>
          </w:p>
        </w:tc>
      </w:tr>
      <w:tr>
        <w:trPr>
          <w:trHeight w:val="230"/>
        </w:trPr>
        <w:tc>
          <w:tcPr>
            <w:tcW w:w="552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c>
          <w:tcPr>
            <w:tcW w:w="3540" w:type="dxa"/>
            <w:vAlign w:val="bottom"/>
            <w:tcBorders>
              <w:top w:val="single" w:sz="8" w:color="auto"/>
            </w:tcBorders>
          </w:tcPr>
          <w:p>
            <w:pPr>
              <w:jc w:val="center"/>
              <w:ind w:right="1850"/>
              <w:spacing w:after="0"/>
              <w:rPr>
                <w:sz w:val="20"/>
                <w:szCs w:val="20"/>
                <w:color w:val="auto"/>
              </w:rPr>
            </w:pPr>
            <w:r>
              <w:rPr>
                <w:rFonts w:ascii="Arial" w:cs="Arial" w:eastAsia="Arial" w:hAnsi="Arial"/>
                <w:sz w:val="18"/>
                <w:szCs w:val="18"/>
                <w:color w:val="auto"/>
                <w:w w:val="93"/>
              </w:rPr>
              <w:t>Zip Code</w:t>
            </w:r>
          </w:p>
        </w:tc>
      </w:tr>
      <w:tr>
        <w:trPr>
          <w:trHeight w:val="377"/>
        </w:trPr>
        <w:tc>
          <w:tcPr>
            <w:tcW w:w="5060" w:type="dxa"/>
            <w:vAlign w:val="bottom"/>
          </w:tcPr>
          <w:p>
            <w:pPr>
              <w:spacing w:after="0"/>
              <w:rPr>
                <w:sz w:val="24"/>
                <w:szCs w:val="2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9"/>
              </w:rPr>
              <w:t>(502) 791-8800</w:t>
            </w:r>
          </w:p>
        </w:tc>
        <w:tc>
          <w:tcPr>
            <w:tcW w:w="152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37"/>
        </w:trPr>
        <w:tc>
          <w:tcPr>
            <w:tcW w:w="7700" w:type="dxa"/>
            <w:vAlign w:val="bottom"/>
            <w:gridSpan w:val="5"/>
          </w:tcPr>
          <w:p>
            <w:pPr>
              <w:jc w:val="center"/>
              <w:ind w:left="3450"/>
              <w:spacing w:after="0"/>
              <w:rPr>
                <w:sz w:val="20"/>
                <w:szCs w:val="20"/>
                <w:color w:val="auto"/>
              </w:rPr>
            </w:pPr>
            <w:r>
              <w:rPr>
                <w:rFonts w:ascii="Arial" w:cs="Arial" w:eastAsia="Arial" w:hAnsi="Arial"/>
                <w:sz w:val="18"/>
                <w:szCs w:val="18"/>
                <w:color w:val="auto"/>
                <w:w w:val="90"/>
              </w:rPr>
              <w:t>Registrant’s Telephone Number, Including Area Code</w:t>
            </w:r>
          </w:p>
        </w:tc>
        <w:tc>
          <w:tcPr>
            <w:tcW w:w="3540" w:type="dxa"/>
            <w:vAlign w:val="bottom"/>
          </w:tcPr>
          <w:p>
            <w:pPr>
              <w:spacing w:after="0"/>
              <w:rPr>
                <w:sz w:val="20"/>
                <w:szCs w:val="20"/>
                <w:color w:val="auto"/>
              </w:rPr>
            </w:pP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40" w:type="dxa"/>
            <w:vAlign w:val="bottom"/>
            <w:gridSpan w:val="3"/>
          </w:tcPr>
          <w:p>
            <w:pPr>
              <w:spacing w:after="0"/>
              <w:rPr>
                <w:sz w:val="20"/>
                <w:szCs w:val="20"/>
                <w:color w:val="auto"/>
              </w:rPr>
            </w:pPr>
            <w:r>
              <w:rPr>
                <w:rFonts w:ascii="Arial" w:cs="Arial" w:eastAsia="Arial" w:hAnsi="Arial"/>
                <w:sz w:val="18"/>
                <w:szCs w:val="18"/>
                <w:color w:val="auto"/>
                <w:w w:val="98"/>
              </w:rPr>
              <w:t>Securities registered pursuant to Section 12(b) of the Act:</w:t>
            </w:r>
          </w:p>
        </w:tc>
        <w:tc>
          <w:tcPr>
            <w:tcW w:w="2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9"/>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2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jc w:val="center"/>
              <w:ind w:right="610"/>
              <w:spacing w:after="0"/>
              <w:rPr>
                <w:sz w:val="20"/>
                <w:szCs w:val="20"/>
                <w:color w:val="auto"/>
              </w:rPr>
            </w:pPr>
            <w:r>
              <w:rPr>
                <w:rFonts w:ascii="Arial" w:cs="Arial" w:eastAsia="Arial" w:hAnsi="Arial"/>
                <w:sz w:val="18"/>
                <w:szCs w:val="18"/>
                <w:b w:val="1"/>
                <w:bCs w:val="1"/>
                <w:color w:val="auto"/>
                <w:w w:val="91"/>
              </w:rPr>
              <w:t>Trading Symbol(s)</w:t>
            </w:r>
          </w:p>
        </w:tc>
        <w:tc>
          <w:tcPr>
            <w:tcW w:w="200" w:type="dxa"/>
            <w:vAlign w:val="bottom"/>
          </w:tcPr>
          <w:p>
            <w:pPr>
              <w:spacing w:after="0"/>
              <w:rPr>
                <w:sz w:val="24"/>
                <w:szCs w:val="24"/>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4540" w:type="dxa"/>
            <w:vAlign w:val="bottom"/>
            <w:gridSpan w:val="3"/>
            <w:shd w:val="clear" w:color="auto" w:fill="CCEEFF"/>
          </w:tcPr>
          <w:p>
            <w:pPr>
              <w:jc w:val="center"/>
              <w:ind w:right="920"/>
              <w:spacing w:after="0"/>
              <w:rPr>
                <w:sz w:val="20"/>
                <w:szCs w:val="20"/>
                <w:color w:val="auto"/>
              </w:rPr>
            </w:pPr>
            <w:r>
              <w:rPr>
                <w:rFonts w:ascii="Arial" w:cs="Arial" w:eastAsia="Arial" w:hAnsi="Arial"/>
                <w:sz w:val="18"/>
                <w:szCs w:val="18"/>
                <w:color w:val="auto"/>
                <w:w w:val="89"/>
              </w:rPr>
              <w:t>Common Stock, par value $0.01 per share</w:t>
            </w:r>
          </w:p>
        </w:tc>
        <w:tc>
          <w:tcPr>
            <w:tcW w:w="2900" w:type="dxa"/>
            <w:vAlign w:val="bottom"/>
            <w:shd w:val="clear" w:color="auto" w:fill="CCEEFF"/>
          </w:tcPr>
          <w:p>
            <w:pPr>
              <w:jc w:val="center"/>
              <w:ind w:right="610"/>
              <w:spacing w:after="0"/>
              <w:rPr>
                <w:sz w:val="20"/>
                <w:szCs w:val="20"/>
                <w:color w:val="auto"/>
              </w:rPr>
            </w:pPr>
            <w:r>
              <w:rPr>
                <w:rFonts w:ascii="Arial" w:cs="Arial" w:eastAsia="Arial" w:hAnsi="Arial"/>
                <w:sz w:val="18"/>
                <w:szCs w:val="18"/>
                <w:color w:val="auto"/>
                <w:w w:val="95"/>
              </w:rPr>
              <w:t>CREX</w:t>
            </w:r>
          </w:p>
        </w:tc>
        <w:tc>
          <w:tcPr>
            <w:tcW w:w="200" w:type="dxa"/>
            <w:vAlign w:val="bottom"/>
            <w:shd w:val="clear" w:color="auto" w:fill="CCEEFF"/>
          </w:tcPr>
          <w:p>
            <w:pPr>
              <w:spacing w:after="0"/>
              <w:rPr>
                <w:sz w:val="18"/>
                <w:szCs w:val="18"/>
                <w:color w:val="auto"/>
              </w:rPr>
            </w:pPr>
          </w:p>
        </w:tc>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30"/>
        </w:trPr>
        <w:tc>
          <w:tcPr>
            <w:tcW w:w="4540" w:type="dxa"/>
            <w:vAlign w:val="bottom"/>
            <w:gridSpan w:val="3"/>
          </w:tcPr>
          <w:p>
            <w:pPr>
              <w:jc w:val="center"/>
              <w:ind w:right="920"/>
              <w:spacing w:after="0"/>
              <w:rPr>
                <w:sz w:val="20"/>
                <w:szCs w:val="20"/>
                <w:color w:val="auto"/>
              </w:rPr>
            </w:pPr>
            <w:r>
              <w:rPr>
                <w:rFonts w:ascii="Arial" w:cs="Arial" w:eastAsia="Arial" w:hAnsi="Arial"/>
                <w:sz w:val="18"/>
                <w:szCs w:val="18"/>
                <w:color w:val="auto"/>
                <w:w w:val="89"/>
              </w:rPr>
              <w:t>Warrants to purchase Common Stock</w:t>
            </w:r>
          </w:p>
        </w:tc>
        <w:tc>
          <w:tcPr>
            <w:tcW w:w="2900" w:type="dxa"/>
            <w:vAlign w:val="bottom"/>
          </w:tcPr>
          <w:p>
            <w:pPr>
              <w:jc w:val="center"/>
              <w:ind w:right="610"/>
              <w:spacing w:after="0"/>
              <w:rPr>
                <w:sz w:val="20"/>
                <w:szCs w:val="20"/>
                <w:color w:val="auto"/>
              </w:rPr>
            </w:pPr>
            <w:r>
              <w:rPr>
                <w:rFonts w:ascii="Arial" w:cs="Arial" w:eastAsia="Arial" w:hAnsi="Arial"/>
                <w:sz w:val="18"/>
                <w:szCs w:val="18"/>
                <w:color w:val="auto"/>
                <w:w w:val="95"/>
              </w:rPr>
              <w:t>CREXW</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187"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660" w:type="dxa"/>
        <w:tblCellMar>
          <w:top w:w="0" w:type="dxa"/>
          <w:left w:w="0" w:type="dxa"/>
          <w:bottom w:w="0" w:type="dxa"/>
          <w:right w:w="0" w:type="dxa"/>
        </w:tblCellMar>
      </w:tblP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26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4080" w:type="dxa"/>
            <w:vAlign w:val="bottom"/>
          </w:tcPr>
          <w:p>
            <w:pPr>
              <w:ind w:left="1760"/>
              <w:spacing w:after="0"/>
              <w:rPr>
                <w:sz w:val="20"/>
                <w:szCs w:val="20"/>
                <w:color w:val="auto"/>
              </w:rPr>
            </w:pPr>
            <w:r>
              <w:rPr>
                <w:rFonts w:ascii="Arial" w:cs="Arial" w:eastAsia="Arial" w:hAnsi="Arial"/>
                <w:sz w:val="18"/>
                <w:szCs w:val="18"/>
                <w:color w:val="auto"/>
              </w:rPr>
              <w:t>Accelerated filer</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Non-accelerated filer</w:t>
            </w:r>
          </w:p>
        </w:tc>
        <w:tc>
          <w:tcPr>
            <w:tcW w:w="226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4080" w:type="dxa"/>
            <w:vAlign w:val="bottom"/>
          </w:tcPr>
          <w:p>
            <w:pPr>
              <w:ind w:left="1760"/>
              <w:spacing w:after="0"/>
              <w:rPr>
                <w:sz w:val="20"/>
                <w:szCs w:val="20"/>
                <w:color w:val="auto"/>
              </w:rPr>
            </w:pPr>
            <w:r>
              <w:rPr>
                <w:rFonts w:ascii="Arial" w:cs="Arial" w:eastAsia="Arial" w:hAnsi="Arial"/>
                <w:sz w:val="18"/>
                <w:szCs w:val="18"/>
                <w:color w:val="auto"/>
              </w:rPr>
              <w:t>Smaller reporting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080" w:type="dxa"/>
            <w:vAlign w:val="bottom"/>
          </w:tcPr>
          <w:p>
            <w:pPr>
              <w:ind w:left="1760"/>
              <w:spacing w:after="0"/>
              <w:rPr>
                <w:sz w:val="20"/>
                <w:szCs w:val="20"/>
                <w:color w:val="auto"/>
              </w:rPr>
            </w:pPr>
            <w:r>
              <w:rPr>
                <w:rFonts w:ascii="Arial" w:cs="Arial" w:eastAsia="Arial" w:hAnsi="Arial"/>
                <w:sz w:val="18"/>
                <w:szCs w:val="18"/>
                <w:color w:val="auto"/>
              </w:rPr>
              <w:t>Emerging growth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left="3740"/>
        <w:spacing w:after="0"/>
        <w:rPr>
          <w:sz w:val="20"/>
          <w:szCs w:val="20"/>
          <w:color w:val="auto"/>
        </w:rPr>
      </w:pPr>
      <w:r>
        <w:rPr>
          <w:rFonts w:ascii="Arial" w:cs="Arial" w:eastAsia="Arial" w:hAnsi="Arial"/>
          <w:sz w:val="18"/>
          <w:szCs w:val="18"/>
          <w:color w:val="auto"/>
        </w:rPr>
        <w:t>APPLICABLE ONLY TO CORPORATE ISSUERS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As of August 15, 2022, the registrant had 21,751,539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606425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767"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8680" w:type="dxa"/>
            <w:vAlign w:val="bottom"/>
          </w:tcPr>
          <w:p>
            <w:pPr>
              <w:jc w:val="center"/>
              <w:ind w:left="2510"/>
              <w:spacing w:after="0"/>
              <w:rPr>
                <w:sz w:val="20"/>
                <w:szCs w:val="20"/>
                <w:color w:val="auto"/>
              </w:rPr>
            </w:pPr>
            <w:r>
              <w:rPr>
                <w:rFonts w:ascii="Arial" w:cs="Arial" w:eastAsia="Arial" w:hAnsi="Arial"/>
                <w:sz w:val="18"/>
                <w:szCs w:val="18"/>
                <w:b w:val="1"/>
                <w:bCs w:val="1"/>
                <w:color w:val="auto"/>
              </w:rPr>
              <w:t>PART 1. FINANCIAL INFORMATION</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680" w:type="dxa"/>
            <w:vAlign w:val="bottom"/>
          </w:tcPr>
          <w:p>
            <w:pPr>
              <w:jc w:val="center"/>
              <w:ind w:left="2510"/>
              <w:spacing w:after="0"/>
              <w:rPr>
                <w:sz w:val="20"/>
                <w:szCs w:val="20"/>
                <w:color w:val="auto"/>
              </w:rPr>
            </w:pPr>
            <w:r>
              <w:rPr>
                <w:rFonts w:ascii="Arial" w:cs="Arial" w:eastAsia="Arial" w:hAnsi="Arial"/>
                <w:sz w:val="18"/>
                <w:szCs w:val="18"/>
                <w:b w:val="1"/>
                <w:bCs w:val="1"/>
                <w:color w:val="auto"/>
              </w:rPr>
              <w:t>CREATIVE REALITIES, INC.</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Pr>
          <w:p>
            <w:pPr>
              <w:jc w:val="center"/>
              <w:ind w:left="251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jc w:val="center"/>
              <w:ind w:left="2510"/>
              <w:spacing w:after="0"/>
              <w:rPr>
                <w:sz w:val="20"/>
                <w:szCs w:val="20"/>
                <w:color w:val="auto"/>
              </w:rPr>
            </w:pPr>
            <w:r>
              <w:rPr>
                <w:rFonts w:ascii="Arial" w:cs="Arial" w:eastAsia="Arial" w:hAnsi="Arial"/>
                <w:sz w:val="18"/>
                <w:szCs w:val="18"/>
                <w:b w:val="1"/>
                <w:bCs w:val="1"/>
                <w:color w:val="auto"/>
                <w:w w:val="88"/>
              </w:rPr>
              <w:t>(In thousands, except per share amounts)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w w:val="91"/>
              </w:rPr>
              <w:t>(Unaudited)</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June 30,</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680" w:type="dxa"/>
            <w:vAlign w:val="bottom"/>
            <w:vMerge w:val="restart"/>
          </w:tcPr>
          <w:p>
            <w:pPr>
              <w:ind w:left="3940"/>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color w:val="auto"/>
                <w:w w:val="92"/>
              </w:rPr>
              <w:t>(unaudited)</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8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2,840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Accounts receivable, net of allowance of $806 and $620, respectively</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8,194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3,006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Unbilled receivables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Work-in-process and inventories, net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2,638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1,880</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3,111</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1,634</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17,193</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9,772</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right-of-use assets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140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Intangibles, net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23,227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26,094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7,525</w:t>
            </w: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68,517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22,881</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2400"/>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Short-term seller note payable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2,089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5,047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2,517</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2,672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2,110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Customer deposits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3,177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1,525</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maturities of operating leases</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696</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16,544</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6,859</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Related Party Acquisition Term Loan, net of $1,836 and $0 discount, respectively</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8,164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Long-term Related Party Consolidation Term Loan, net of $1,960 and $143 discount, respectively</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5,225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4,624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related party convertible loans payable, at fair value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Contingent acquisition consideration, at fair value</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10,936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obligations under operating leases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42,080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14,152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Arial" w:cs="Arial" w:eastAsia="Arial" w:hAnsi="Arial"/>
                <w:sz w:val="18"/>
                <w:szCs w:val="18"/>
                <w:color w:val="auto"/>
              </w:rPr>
              <w:t>SHAREHOLDERS’ EQUITY</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Common stock, $0.01 par value, 200,000 shares authorized; 21,744 and 12,009 shares issued and outstanding,</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respectively</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74,741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60,863</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(48,521)</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(52,254)</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Total shareholders’ equity</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26,437</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8,729</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68,517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22,881</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CREATIVE REALITIES,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3"/>
          </w:tcPr>
          <w:p>
            <w:pPr>
              <w:jc w:val="right"/>
              <w:ind w:right="67"/>
              <w:spacing w:after="0"/>
              <w:rPr>
                <w:sz w:val="20"/>
                <w:szCs w:val="20"/>
                <w:color w:val="auto"/>
              </w:rPr>
            </w:pPr>
            <w:r>
              <w:rPr>
                <w:rFonts w:ascii="Arial" w:cs="Arial" w:eastAsia="Arial" w:hAnsi="Arial"/>
                <w:sz w:val="18"/>
                <w:szCs w:val="18"/>
                <w:b w:val="1"/>
                <w:bCs w:val="1"/>
                <w:color w:val="auto"/>
              </w:rPr>
              <w:t>For the</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3"/>
          </w:tcPr>
          <w:p>
            <w:pPr>
              <w:jc w:val="center"/>
              <w:ind w:left="450"/>
              <w:spacing w:after="0"/>
              <w:rPr>
                <w:sz w:val="20"/>
                <w:szCs w:val="20"/>
                <w:color w:val="auto"/>
              </w:rPr>
            </w:pPr>
            <w:r>
              <w:rPr>
                <w:rFonts w:ascii="Arial" w:cs="Arial" w:eastAsia="Arial" w:hAnsi="Arial"/>
                <w:sz w:val="18"/>
                <w:szCs w:val="18"/>
                <w:b w:val="1"/>
                <w:bCs w:val="1"/>
                <w:color w:val="auto"/>
                <w:w w:val="91"/>
              </w:rPr>
              <w:t>For the</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8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9"/>
                <w:szCs w:val="19"/>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0"/>
              </w:rPr>
              <w:t>Six Months Ended</w:t>
            </w: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left="490"/>
              <w:spacing w:after="0"/>
              <w:rPr>
                <w:sz w:val="20"/>
                <w:szCs w:val="20"/>
                <w:color w:val="auto"/>
              </w:rPr>
            </w:pPr>
            <w:r>
              <w:rPr>
                <w:rFonts w:ascii="Arial" w:cs="Arial" w:eastAsia="Arial" w:hAnsi="Arial"/>
                <w:sz w:val="18"/>
                <w:szCs w:val="18"/>
                <w:b w:val="1"/>
                <w:bCs w:val="1"/>
                <w:color w:val="auto"/>
                <w:w w:val="88"/>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Sales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Hardware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5,667</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12,126</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4,112</w:t>
            </w:r>
          </w:p>
        </w:tc>
        <w:tc>
          <w:tcPr>
            <w:tcW w:w="0" w:type="dxa"/>
            <w:vAlign w:val="bottom"/>
          </w:tcPr>
          <w:p>
            <w:pPr>
              <w:spacing w:after="0"/>
              <w:rPr>
                <w:sz w:val="1"/>
                <w:szCs w:val="1"/>
                <w:color w:val="auto"/>
              </w:rPr>
            </w:pPr>
          </w:p>
        </w:tc>
      </w:tr>
      <w:tr>
        <w:trPr>
          <w:trHeight w:val="237"/>
        </w:trPr>
        <w:tc>
          <w:tcPr>
            <w:tcW w:w="5980" w:type="dxa"/>
            <w:vAlign w:val="bottom"/>
          </w:tcPr>
          <w:p>
            <w:pPr>
              <w:ind w:left="180"/>
              <w:spacing w:after="0"/>
              <w:rPr>
                <w:sz w:val="20"/>
                <w:szCs w:val="20"/>
                <w:color w:val="auto"/>
              </w:rPr>
            </w:pPr>
            <w:r>
              <w:rPr>
                <w:rFonts w:ascii="Arial" w:cs="Arial" w:eastAsia="Arial" w:hAnsi="Arial"/>
                <w:sz w:val="18"/>
                <w:szCs w:val="18"/>
                <w:color w:val="auto"/>
              </w:rPr>
              <w:t>Services and other</w:t>
            </w:r>
          </w:p>
        </w:tc>
        <w:tc>
          <w:tcPr>
            <w:tcW w:w="2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5,256</w:t>
            </w:r>
          </w:p>
        </w:tc>
        <w:tc>
          <w:tcPr>
            <w:tcW w:w="2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1,981</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9,554</w:t>
            </w:r>
          </w:p>
        </w:tc>
        <w:tc>
          <w:tcPr>
            <w:tcW w:w="3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4,169</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sales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10,923</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3,277</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21,680</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Hardware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4,610</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9,992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2,784</w:t>
            </w:r>
          </w:p>
        </w:tc>
        <w:tc>
          <w:tcPr>
            <w:tcW w:w="0" w:type="dxa"/>
            <w:vAlign w:val="bottom"/>
          </w:tcPr>
          <w:p>
            <w:pPr>
              <w:spacing w:after="0"/>
              <w:rPr>
                <w:sz w:val="1"/>
                <w:szCs w:val="1"/>
                <w:color w:val="auto"/>
              </w:rPr>
            </w:pPr>
          </w:p>
        </w:tc>
      </w:tr>
      <w:tr>
        <w:trPr>
          <w:trHeight w:val="237"/>
        </w:trPr>
        <w:tc>
          <w:tcPr>
            <w:tcW w:w="5980" w:type="dxa"/>
            <w:vAlign w:val="bottom"/>
          </w:tcPr>
          <w:p>
            <w:pPr>
              <w:ind w:left="180"/>
              <w:spacing w:after="0"/>
              <w:rPr>
                <w:sz w:val="20"/>
                <w:szCs w:val="20"/>
                <w:color w:val="auto"/>
              </w:rPr>
            </w:pPr>
            <w:r>
              <w:rPr>
                <w:rFonts w:ascii="Arial" w:cs="Arial" w:eastAsia="Arial" w:hAnsi="Arial"/>
                <w:sz w:val="18"/>
                <w:szCs w:val="18"/>
                <w:color w:val="auto"/>
              </w:rPr>
              <w:t>Services and other</w:t>
            </w:r>
          </w:p>
        </w:tc>
        <w:tc>
          <w:tcPr>
            <w:tcW w:w="2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1,651</w:t>
            </w:r>
          </w:p>
        </w:tc>
        <w:tc>
          <w:tcPr>
            <w:tcW w:w="2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532</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3,134</w:t>
            </w:r>
          </w:p>
        </w:tc>
        <w:tc>
          <w:tcPr>
            <w:tcW w:w="3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1,388</w:t>
            </w:r>
          </w:p>
        </w:tc>
        <w:tc>
          <w:tcPr>
            <w:tcW w:w="0" w:type="dxa"/>
            <w:vAlign w:val="bottom"/>
          </w:tcPr>
          <w:p>
            <w:pPr>
              <w:spacing w:after="0"/>
              <w:rPr>
                <w:sz w:val="1"/>
                <w:szCs w:val="1"/>
                <w:color w:val="auto"/>
              </w:rPr>
            </w:pPr>
          </w:p>
        </w:tc>
      </w:tr>
      <w:tr>
        <w:trPr>
          <w:trHeight w:val="236"/>
        </w:trPr>
        <w:tc>
          <w:tcPr>
            <w:tcW w:w="59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cost of sales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6,261</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980" w:type="dxa"/>
            <w:vAlign w:val="bottom"/>
          </w:tcPr>
          <w:p>
            <w:pPr>
              <w:ind w:left="340"/>
              <w:spacing w:after="0" w:line="203" w:lineRule="exact"/>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4,662</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1,875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8,554</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4,109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Sales and marketing expenses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1,147</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169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1,854</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 expenses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418</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2,562</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1,666</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5,316</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3,775</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Bad debt (recovery) / expense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Depreciation and amortization expense</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468</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344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1,175</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49"/>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Deal and transaction expense</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w:t>
            </w:r>
          </w:p>
        </w:tc>
        <w:tc>
          <w:tcPr>
            <w:tcW w:w="2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428</w:t>
            </w:r>
          </w:p>
        </w:tc>
        <w:tc>
          <w:tcPr>
            <w:tcW w:w="3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4,632</w:t>
            </w:r>
          </w:p>
        </w:tc>
        <w:tc>
          <w:tcPr>
            <w:tcW w:w="26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2,286</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9,538</w:t>
            </w:r>
          </w:p>
        </w:tc>
        <w:tc>
          <w:tcPr>
            <w:tcW w:w="22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4,733</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income/(loss)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(750)</w:t>
            </w: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(182)</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(1,199)</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2,433</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7,902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Change in fair value of Equity Guarantee</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(73)</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(73)</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on debt waiver consent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ind w:left="220"/>
              <w:spacing w:after="0"/>
              <w:rPr>
                <w:sz w:val="20"/>
                <w:szCs w:val="20"/>
                <w:color w:val="auto"/>
              </w:rPr>
            </w:pPr>
            <w:r>
              <w:rPr>
                <w:rFonts w:ascii="Arial" w:cs="Arial" w:eastAsia="Arial" w:hAnsi="Arial"/>
                <w:sz w:val="18"/>
                <w:szCs w:val="18"/>
                <w:color w:val="auto"/>
              </w:rPr>
              <w:t>(Loss) on warrant amendment</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(345)</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(345)</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Gain/(loss) on settlement of obligations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3,193</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Change in fair value of Convertible Loan</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49"/>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expense</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3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other income</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1,285</w:t>
            </w:r>
          </w:p>
        </w:tc>
        <w:tc>
          <w:tcPr>
            <w:tcW w:w="26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1,443</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4,804</w:t>
            </w:r>
          </w:p>
        </w:tc>
        <w:tc>
          <w:tcPr>
            <w:tcW w:w="22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2,929</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Income/(loss) before income taxes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Benefit/(provision) for income taxes</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(53)</w:t>
            </w: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(56)</w:t>
            </w:r>
          </w:p>
        </w:tc>
        <w:tc>
          <w:tcPr>
            <w:tcW w:w="3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1,262</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3,764</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2,297</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Basic earnings per common share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5980" w:type="dxa"/>
            <w:vAlign w:val="bottom"/>
            <w:tcBorders>
              <w:bottom w:val="single" w:sz="8" w:color="CCEEFF"/>
            </w:tcBorders>
            <w:vMerge w:val="continue"/>
          </w:tcPr>
          <w:p>
            <w:pPr>
              <w:spacing w:after="0"/>
              <w:rPr>
                <w:sz w:val="22"/>
                <w:szCs w:val="22"/>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2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0.09</w:t>
            </w:r>
          </w:p>
        </w:tc>
        <w:tc>
          <w:tcPr>
            <w:tcW w:w="2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2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ind w:left="180"/>
              <w:spacing w:after="0" w:line="190" w:lineRule="exact"/>
              <w:rPr>
                <w:sz w:val="20"/>
                <w:szCs w:val="20"/>
                <w:color w:val="auto"/>
              </w:rPr>
            </w:pPr>
            <w:r>
              <w:rPr>
                <w:rFonts w:ascii="Arial" w:cs="Arial" w:eastAsia="Arial" w:hAnsi="Arial"/>
                <w:sz w:val="18"/>
                <w:szCs w:val="18"/>
                <w:color w:val="auto"/>
              </w:rPr>
              <w:t>Diluted earnings/(loss) per common share</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2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 - basic</w:t>
            </w:r>
          </w:p>
        </w:tc>
        <w:tc>
          <w:tcPr>
            <w:tcW w:w="2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5980" w:type="dxa"/>
            <w:vAlign w:val="bottom"/>
            <w:tcBorders>
              <w:bottom w:val="single" w:sz="8" w:color="CCEEFF"/>
            </w:tcBorders>
            <w:vMerge w:val="continue"/>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21,702</w:t>
            </w:r>
          </w:p>
        </w:tc>
        <w:tc>
          <w:tcPr>
            <w:tcW w:w="2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11,854</w:t>
            </w:r>
          </w:p>
        </w:tc>
        <w:tc>
          <w:tcPr>
            <w:tcW w:w="2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18,180</w:t>
            </w:r>
          </w:p>
        </w:tc>
        <w:tc>
          <w:tcPr>
            <w:tcW w:w="2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11,588</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shares outstanding - diluted</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21,702</w:t>
            </w:r>
          </w:p>
        </w:tc>
        <w:tc>
          <w:tcPr>
            <w:tcW w:w="2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11,862</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18,180</w:t>
            </w:r>
          </w:p>
        </w:tc>
        <w:tc>
          <w:tcPr>
            <w:tcW w:w="2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CREATIVE REALITIES,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2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3,764</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Adjustments to reconcile net income to net cash used in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1,175</w:t>
            </w:r>
          </w:p>
        </w:tc>
        <w:tc>
          <w:tcPr>
            <w:tcW w:w="3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Amortization of debt discount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541</w:t>
            </w:r>
          </w:p>
        </w:tc>
        <w:tc>
          <w:tcPr>
            <w:tcW w:w="30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949</w:t>
            </w:r>
          </w:p>
        </w:tc>
        <w:tc>
          <w:tcPr>
            <w:tcW w:w="3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Shares issued for services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65</w:t>
            </w:r>
          </w:p>
        </w:tc>
        <w:tc>
          <w:tcPr>
            <w:tcW w:w="3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on forgiveness of Paycheck Protection Program</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Gain on settlement of Seller Note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(1,538)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Convertible Loan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Deferred tax provision</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Allowance for doubtful accounts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106</w:t>
            </w:r>
          </w:p>
        </w:tc>
        <w:tc>
          <w:tcPr>
            <w:tcW w:w="3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Increase in notes due to in-kind interest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debt waiver consent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1,212</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Loss on warrant amendment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345</w:t>
            </w:r>
          </w:p>
        </w:tc>
        <w:tc>
          <w:tcPr>
            <w:tcW w:w="3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on change in fair value of contingent consideration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73</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Gain on change in fair value of warrants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(7,902)</w:t>
            </w:r>
          </w:p>
        </w:tc>
        <w:tc>
          <w:tcPr>
            <w:tcW w:w="3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(Gain)/loss on settlement of obligations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274</w:t>
            </w:r>
          </w:p>
        </w:tc>
        <w:tc>
          <w:tcPr>
            <w:tcW w:w="3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Changes to operating assets and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 and unbilled receivables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(4,035)</w:t>
            </w:r>
          </w:p>
        </w:tc>
        <w:tc>
          <w:tcPr>
            <w:tcW w:w="3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(562)</w:t>
            </w:r>
          </w:p>
        </w:tc>
        <w:tc>
          <w:tcPr>
            <w:tcW w:w="30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184</w:t>
            </w:r>
          </w:p>
        </w:tc>
        <w:tc>
          <w:tcPr>
            <w:tcW w:w="3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(1,128)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Vendor deposits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(995)</w:t>
            </w:r>
          </w:p>
        </w:tc>
        <w:tc>
          <w:tcPr>
            <w:tcW w:w="3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right-of-use assets,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(699)</w:t>
            </w:r>
          </w:p>
        </w:tc>
        <w:tc>
          <w:tcPr>
            <w:tcW w:w="3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Other operating assets and liabilities, net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2,487</w:t>
            </w:r>
          </w:p>
        </w:tc>
        <w:tc>
          <w:tcPr>
            <w:tcW w:w="3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1,178</w:t>
            </w:r>
          </w:p>
        </w:tc>
        <w:tc>
          <w:tcPr>
            <w:tcW w:w="30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229</w:t>
            </w:r>
          </w:p>
        </w:tc>
        <w:tc>
          <w:tcPr>
            <w:tcW w:w="3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Deposits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809</w:t>
            </w:r>
          </w:p>
        </w:tc>
        <w:tc>
          <w:tcPr>
            <w:tcW w:w="30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liabilities, non-current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718</w:t>
            </w:r>
          </w:p>
        </w:tc>
        <w:tc>
          <w:tcPr>
            <w:tcW w:w="300" w:type="dxa"/>
            <w:vAlign w:val="bottom"/>
            <w:shd w:val="clear" w:color="auto" w:fill="CCEEFF"/>
          </w:tcPr>
          <w:p>
            <w:pPr>
              <w:spacing w:after="0"/>
              <w:rPr>
                <w:sz w:val="21"/>
                <w:szCs w:val="21"/>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60"/>
              <w:spacing w:after="0" w:line="203" w:lineRule="exact"/>
              <w:rPr>
                <w:sz w:val="20"/>
                <w:szCs w:val="20"/>
                <w:color w:val="auto"/>
              </w:rPr>
            </w:pPr>
            <w:r>
              <w:rPr>
                <w:rFonts w:ascii="Arial" w:cs="Arial" w:eastAsia="Arial" w:hAnsi="Arial"/>
                <w:sz w:val="18"/>
                <w:szCs w:val="18"/>
                <w:color w:val="auto"/>
              </w:rPr>
              <w:t>Net cash used in operating activities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(63</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(363</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(32)</w:t>
            </w:r>
          </w:p>
        </w:tc>
        <w:tc>
          <w:tcPr>
            <w:tcW w:w="30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Capitalization of internal and third-party labor for software development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(2,328)</w:t>
            </w:r>
          </w:p>
        </w:tc>
        <w:tc>
          <w:tcPr>
            <w:tcW w:w="3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Arial" w:cs="Arial" w:eastAsia="Arial" w:hAnsi="Arial"/>
                <w:sz w:val="18"/>
                <w:szCs w:val="18"/>
                <w:color w:val="auto"/>
              </w:rPr>
              <w:t>Acquisition of business, net of cash acquired</w:t>
            </w:r>
          </w:p>
        </w:tc>
        <w:tc>
          <w:tcPr>
            <w:tcW w:w="240" w:type="dxa"/>
            <w:vAlign w:val="bottom"/>
          </w:tcPr>
          <w:p>
            <w:pPr>
              <w:spacing w:after="0"/>
              <w:rPr>
                <w:sz w:val="20"/>
                <w:szCs w:val="20"/>
                <w:color w:val="auto"/>
              </w:rPr>
            </w:pPr>
          </w:p>
        </w:tc>
        <w:tc>
          <w:tcPr>
            <w:tcW w:w="1100" w:type="dxa"/>
            <w:vAlign w:val="bottom"/>
            <w:gridSpan w:val="2"/>
          </w:tcPr>
          <w:p>
            <w:pPr>
              <w:jc w:val="right"/>
              <w:ind w:right="81"/>
              <w:spacing w:after="0"/>
              <w:rPr>
                <w:sz w:val="20"/>
                <w:szCs w:val="20"/>
                <w:color w:val="auto"/>
              </w:rPr>
            </w:pPr>
            <w:r>
              <w:rPr>
                <w:rFonts w:ascii="Arial" w:cs="Arial" w:eastAsia="Arial" w:hAnsi="Arial"/>
                <w:sz w:val="18"/>
                <w:szCs w:val="18"/>
                <w:color w:val="auto"/>
              </w:rPr>
              <w:t>(17,186)</w:t>
            </w:r>
          </w:p>
        </w:tc>
        <w:tc>
          <w:tcPr>
            <w:tcW w:w="3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(19,546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Arial" w:cs="Arial" w:eastAsia="Arial" w:hAnsi="Arial"/>
                <w:sz w:val="18"/>
                <w:szCs w:val="18"/>
                <w:b w:val="1"/>
                <w:bCs w:val="1"/>
                <w:color w:val="auto"/>
              </w:rPr>
              <w:t>Financing activities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Principal payments on finance leases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Proceeds from sale of common stock in PIPE, net of offering expenses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1,814</w:t>
            </w:r>
          </w:p>
        </w:tc>
        <w:tc>
          <w:tcPr>
            <w:tcW w:w="3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 &amp; exercise of pre-funded warrants in PIPE, net of offering expenses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8,295</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Proceeds from Acquisition Loan, net of offering expenses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9,868</w:t>
            </w:r>
          </w:p>
        </w:tc>
        <w:tc>
          <w:tcPr>
            <w:tcW w:w="3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 of Seller Note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(411)</w:t>
            </w:r>
          </w:p>
        </w:tc>
        <w:tc>
          <w:tcPr>
            <w:tcW w:w="3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Arial" w:cs="Arial" w:eastAsia="Arial" w:hAnsi="Arial"/>
                <w:sz w:val="18"/>
                <w:szCs w:val="18"/>
                <w:color w:val="auto"/>
              </w:rPr>
              <w:t>Proceeds from sale of shares via registered direct offering, net</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1,849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19,566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1,745</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Arial" w:cs="Arial" w:eastAsia="Arial" w:hAnsi="Arial"/>
                <w:sz w:val="18"/>
                <w:szCs w:val="18"/>
                <w:b w:val="1"/>
                <w:bCs w:val="1"/>
                <w:color w:val="auto"/>
              </w:rPr>
              <w:t>Increase/(decrease) in Cash and Cash Equivalents</w:t>
            </w: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(43)</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1,178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2,883</w:t>
            </w:r>
          </w:p>
        </w:tc>
        <w:tc>
          <w:tcPr>
            <w:tcW w:w="3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2,840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3,004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CREATIVE REALITIES,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Additional</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4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760" w:type="dxa"/>
            <w:vAlign w:val="bottom"/>
            <w:gridSpan w:val="5"/>
          </w:tcPr>
          <w:p>
            <w:pPr>
              <w:ind w:left="66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2"/>
                <w:szCs w:val="22"/>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paid in</w:t>
            </w:r>
          </w:p>
        </w:tc>
        <w:tc>
          <w:tcPr>
            <w:tcW w:w="1320" w:type="dxa"/>
            <w:vAlign w:val="bottom"/>
            <w:gridSpan w:val="3"/>
          </w:tcPr>
          <w:p>
            <w:pPr>
              <w:jc w:val="right"/>
              <w:ind w:right="181"/>
              <w:spacing w:after="0"/>
              <w:rPr>
                <w:sz w:val="20"/>
                <w:szCs w:val="20"/>
                <w:color w:val="auto"/>
              </w:rPr>
            </w:pPr>
            <w:r>
              <w:rPr>
                <w:rFonts w:ascii="Arial" w:cs="Arial" w:eastAsia="Arial" w:hAnsi="Arial"/>
                <w:sz w:val="18"/>
                <w:szCs w:val="18"/>
                <w:b w:val="1"/>
                <w:bCs w:val="1"/>
                <w:color w:val="auto"/>
                <w:w w:val="91"/>
              </w:rPr>
              <w:t>Accumulated</w:t>
            </w: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620" w:type="dxa"/>
            <w:vAlign w:val="bottom"/>
            <w:gridSpan w:val="2"/>
          </w:tcPr>
          <w:p>
            <w:pPr>
              <w:spacing w:after="0"/>
              <w:rPr>
                <w:sz w:val="20"/>
                <w:szCs w:val="20"/>
                <w:color w:val="auto"/>
              </w:rPr>
            </w:pPr>
            <w:r>
              <w:rPr>
                <w:rFonts w:ascii="Arial" w:cs="Arial" w:eastAsia="Arial" w:hAnsi="Arial"/>
                <w:sz w:val="18"/>
                <w:szCs w:val="18"/>
                <w:i w:val="1"/>
                <w:iCs w:val="1"/>
                <w:color w:val="auto"/>
              </w:rPr>
              <w:t>Three months ended June 30, 2022</w:t>
            </w:r>
          </w:p>
        </w:tc>
        <w:tc>
          <w:tcPr>
            <w:tcW w:w="1380" w:type="dxa"/>
            <w:vAlign w:val="bottom"/>
            <w:tcBorders>
              <w:top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Shares</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Amount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capital</w:t>
            </w:r>
          </w:p>
        </w:tc>
        <w:tc>
          <w:tcPr>
            <w:tcW w:w="160" w:type="dxa"/>
            <w:vAlign w:val="bottom"/>
          </w:tcPr>
          <w:p>
            <w:pPr>
              <w:spacing w:after="0"/>
              <w:rPr>
                <w:sz w:val="20"/>
                <w:szCs w:val="20"/>
                <w:color w:val="auto"/>
              </w:rPr>
            </w:pPr>
          </w:p>
        </w:tc>
        <w:tc>
          <w:tcPr>
            <w:tcW w:w="1160" w:type="dxa"/>
            <w:vAlign w:val="bottom"/>
            <w:gridSpan w:val="2"/>
          </w:tcPr>
          <w:p>
            <w:pPr>
              <w:jc w:val="right"/>
              <w:ind w:right="361"/>
              <w:spacing w:after="0"/>
              <w:rPr>
                <w:sz w:val="20"/>
                <w:szCs w:val="20"/>
                <w:color w:val="auto"/>
              </w:rPr>
            </w:pPr>
            <w:r>
              <w:rPr>
                <w:rFonts w:ascii="Arial" w:cs="Arial" w:eastAsia="Arial" w:hAnsi="Arial"/>
                <w:sz w:val="18"/>
                <w:szCs w:val="18"/>
                <w:b w:val="1"/>
                <w:bCs w:val="1"/>
                <w:color w:val="auto"/>
              </w:rPr>
              <w:t>(Deficit)</w:t>
            </w:r>
          </w:p>
        </w:tc>
        <w:tc>
          <w:tcPr>
            <w:tcW w:w="220" w:type="dxa"/>
            <w:vAlign w:val="bottom"/>
          </w:tcPr>
          <w:p>
            <w:pPr>
              <w:spacing w:after="0"/>
              <w:rPr>
                <w:sz w:val="20"/>
                <w:szCs w:val="20"/>
                <w:color w:val="auto"/>
              </w:rPr>
            </w:pPr>
          </w:p>
        </w:tc>
        <w:tc>
          <w:tcPr>
            <w:tcW w:w="1000" w:type="dxa"/>
            <w:vAlign w:val="bottom"/>
            <w:gridSpan w:val="3"/>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March 31, 2022</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21,675,025</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68,626</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(49,783)</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19,060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341</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 issued to vendors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68,827</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Warrant amendment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5,709</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5,709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1,262</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8"/>
                <w:szCs w:val="18"/>
                <w:color w:val="auto"/>
              </w:rPr>
              <w:t>Balance as of June 30, 2022</w:t>
            </w: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20" w:type="dxa"/>
            <w:vAlign w:val="bottom"/>
            <w:gridSpan w:val="2"/>
            <w:vMerge w:val="continue"/>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21,743,852</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217</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74,741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(48,521</w:t>
            </w:r>
          </w:p>
        </w:tc>
        <w:tc>
          <w:tcPr>
            <w:tcW w:w="220" w:type="dxa"/>
            <w:vAlign w:val="bottom"/>
            <w:vMerge w:val="continue"/>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26,437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Additional</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4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760" w:type="dxa"/>
            <w:vAlign w:val="bottom"/>
            <w:gridSpan w:val="5"/>
          </w:tcPr>
          <w:p>
            <w:pPr>
              <w:ind w:left="66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2"/>
                <w:szCs w:val="22"/>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paid in</w:t>
            </w:r>
          </w:p>
        </w:tc>
        <w:tc>
          <w:tcPr>
            <w:tcW w:w="1320" w:type="dxa"/>
            <w:vAlign w:val="bottom"/>
            <w:gridSpan w:val="3"/>
          </w:tcPr>
          <w:p>
            <w:pPr>
              <w:jc w:val="right"/>
              <w:ind w:right="181"/>
              <w:spacing w:after="0"/>
              <w:rPr>
                <w:sz w:val="20"/>
                <w:szCs w:val="20"/>
                <w:color w:val="auto"/>
              </w:rPr>
            </w:pPr>
            <w:r>
              <w:rPr>
                <w:rFonts w:ascii="Arial" w:cs="Arial" w:eastAsia="Arial" w:hAnsi="Arial"/>
                <w:sz w:val="18"/>
                <w:szCs w:val="18"/>
                <w:b w:val="1"/>
                <w:bCs w:val="1"/>
                <w:color w:val="auto"/>
                <w:w w:val="91"/>
              </w:rPr>
              <w:t>Accumulated</w:t>
            </w: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620" w:type="dxa"/>
            <w:vAlign w:val="bottom"/>
            <w:gridSpan w:val="2"/>
          </w:tcPr>
          <w:p>
            <w:pPr>
              <w:spacing w:after="0"/>
              <w:rPr>
                <w:sz w:val="20"/>
                <w:szCs w:val="20"/>
                <w:color w:val="auto"/>
              </w:rPr>
            </w:pPr>
            <w:r>
              <w:rPr>
                <w:rFonts w:ascii="Arial" w:cs="Arial" w:eastAsia="Arial" w:hAnsi="Arial"/>
                <w:sz w:val="18"/>
                <w:szCs w:val="18"/>
                <w:i w:val="1"/>
                <w:iCs w:val="1"/>
                <w:color w:val="auto"/>
              </w:rPr>
              <w:t>Six months ended June 30, 2022</w:t>
            </w:r>
          </w:p>
        </w:tc>
        <w:tc>
          <w:tcPr>
            <w:tcW w:w="1380" w:type="dxa"/>
            <w:vAlign w:val="bottom"/>
            <w:tcBorders>
              <w:top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Shares</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Amount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capital</w:t>
            </w:r>
          </w:p>
        </w:tc>
        <w:tc>
          <w:tcPr>
            <w:tcW w:w="160" w:type="dxa"/>
            <w:vAlign w:val="bottom"/>
          </w:tcPr>
          <w:p>
            <w:pPr>
              <w:spacing w:after="0"/>
              <w:rPr>
                <w:sz w:val="20"/>
                <w:szCs w:val="20"/>
                <w:color w:val="auto"/>
              </w:rPr>
            </w:pPr>
          </w:p>
        </w:tc>
        <w:tc>
          <w:tcPr>
            <w:tcW w:w="1160" w:type="dxa"/>
            <w:vAlign w:val="bottom"/>
            <w:gridSpan w:val="2"/>
          </w:tcPr>
          <w:p>
            <w:pPr>
              <w:jc w:val="right"/>
              <w:ind w:right="361"/>
              <w:spacing w:after="0"/>
              <w:rPr>
                <w:sz w:val="20"/>
                <w:szCs w:val="20"/>
                <w:color w:val="auto"/>
              </w:rPr>
            </w:pPr>
            <w:r>
              <w:rPr>
                <w:rFonts w:ascii="Arial" w:cs="Arial" w:eastAsia="Arial" w:hAnsi="Arial"/>
                <w:sz w:val="18"/>
                <w:szCs w:val="18"/>
                <w:b w:val="1"/>
                <w:bCs w:val="1"/>
                <w:color w:val="auto"/>
              </w:rPr>
              <w:t>(Deficit)</w:t>
            </w: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December 31, 2021</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12,008,519</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60,863</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(52,254)</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892</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892</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 issued to vendors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68,827</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2"/>
        </w:trPr>
        <w:tc>
          <w:tcPr>
            <w:tcW w:w="4620" w:type="dxa"/>
            <w:vAlign w:val="bottom"/>
            <w:gridSpan w:val="2"/>
          </w:tcPr>
          <w:p>
            <w:pPr>
              <w:spacing w:after="0" w:line="201" w:lineRule="exact"/>
              <w:rPr>
                <w:sz w:val="20"/>
                <w:szCs w:val="20"/>
                <w:color w:val="auto"/>
              </w:rPr>
            </w:pPr>
            <w:r>
              <w:rPr>
                <w:rFonts w:ascii="Arial" w:cs="Arial" w:eastAsia="Arial" w:hAnsi="Arial"/>
                <w:sz w:val="18"/>
                <w:szCs w:val="18"/>
                <w:color w:val="auto"/>
                <w:w w:val="93"/>
              </w:rPr>
              <w:t>Shares issued and warrants exercised in private investment in</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public entity (“PIPE”)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7,166,505</w:t>
            </w:r>
          </w:p>
        </w:tc>
        <w:tc>
          <w:tcPr>
            <w:tcW w:w="18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2,206</w:t>
            </w:r>
          </w:p>
        </w:tc>
        <w:tc>
          <w:tcPr>
            <w:tcW w:w="16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2,278</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issued in Reflect Systems, Inc. Merger</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2,500,001</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4,975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Warrant repricing events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 amendment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5,709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5,709</w:t>
            </w:r>
          </w:p>
        </w:tc>
        <w:tc>
          <w:tcPr>
            <w:tcW w:w="0" w:type="dxa"/>
            <w:vAlign w:val="bottom"/>
          </w:tcPr>
          <w:p>
            <w:pPr>
              <w:spacing w:after="0"/>
              <w:rPr>
                <w:sz w:val="1"/>
                <w:szCs w:val="1"/>
                <w:color w:val="auto"/>
              </w:rPr>
            </w:pPr>
          </w:p>
        </w:tc>
      </w:tr>
      <w:tr>
        <w:trPr>
          <w:trHeight w:val="230"/>
        </w:trPr>
        <w:tc>
          <w:tcPr>
            <w:tcW w:w="46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3,764</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3,764</w:t>
            </w:r>
          </w:p>
        </w:tc>
        <w:tc>
          <w:tcPr>
            <w:tcW w:w="0" w:type="dxa"/>
            <w:vAlign w:val="bottom"/>
          </w:tcPr>
          <w:p>
            <w:pPr>
              <w:spacing w:after="0"/>
              <w:rPr>
                <w:sz w:val="1"/>
                <w:szCs w:val="1"/>
                <w:color w:val="auto"/>
              </w:rPr>
            </w:pPr>
          </w:p>
        </w:tc>
      </w:tr>
      <w:tr>
        <w:trPr>
          <w:trHeight w:val="27"/>
        </w:trPr>
        <w:tc>
          <w:tcPr>
            <w:tcW w:w="46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Balance as of June 30, 2022</w:t>
            </w: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gridSpan w:val="2"/>
            <w:vMerge w:val="continue"/>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21,743,852</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74,741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(48,521</w:t>
            </w:r>
          </w:p>
        </w:tc>
        <w:tc>
          <w:tcPr>
            <w:tcW w:w="22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26,437</w:t>
            </w:r>
          </w:p>
        </w:tc>
        <w:tc>
          <w:tcPr>
            <w:tcW w:w="0" w:type="dxa"/>
            <w:vAlign w:val="bottom"/>
          </w:tcPr>
          <w:p>
            <w:pPr>
              <w:spacing w:after="0"/>
              <w:rPr>
                <w:sz w:val="1"/>
                <w:szCs w:val="1"/>
                <w:color w:val="auto"/>
              </w:rPr>
            </w:pPr>
          </w:p>
        </w:tc>
      </w:tr>
      <w:tr>
        <w:trPr>
          <w:trHeight w:val="21"/>
        </w:trPr>
        <w:tc>
          <w:tcPr>
            <w:tcW w:w="4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60" w:type="dxa"/>
            <w:vAlign w:val="bottom"/>
            <w:gridSpan w:val="5"/>
            <w:vMerge w:val="restart"/>
          </w:tcPr>
          <w:p>
            <w:pPr>
              <w:ind w:left="66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Additional</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60" w:type="dxa"/>
            <w:vAlign w:val="bottom"/>
            <w:gridSpan w:val="5"/>
            <w:vMerge w:val="continue"/>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paid in</w:t>
            </w:r>
          </w:p>
        </w:tc>
        <w:tc>
          <w:tcPr>
            <w:tcW w:w="1320" w:type="dxa"/>
            <w:vAlign w:val="bottom"/>
            <w:gridSpan w:val="3"/>
          </w:tcPr>
          <w:p>
            <w:pPr>
              <w:jc w:val="right"/>
              <w:ind w:right="181"/>
              <w:spacing w:after="0"/>
              <w:rPr>
                <w:sz w:val="20"/>
                <w:szCs w:val="20"/>
                <w:color w:val="auto"/>
              </w:rPr>
            </w:pPr>
            <w:r>
              <w:rPr>
                <w:rFonts w:ascii="Arial" w:cs="Arial" w:eastAsia="Arial" w:hAnsi="Arial"/>
                <w:sz w:val="18"/>
                <w:szCs w:val="18"/>
                <w:b w:val="1"/>
                <w:bCs w:val="1"/>
                <w:color w:val="auto"/>
                <w:w w:val="91"/>
              </w:rPr>
              <w:t>Accumulated</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620" w:type="dxa"/>
            <w:vAlign w:val="bottom"/>
            <w:gridSpan w:val="2"/>
          </w:tcPr>
          <w:p>
            <w:pPr>
              <w:spacing w:after="0"/>
              <w:rPr>
                <w:sz w:val="20"/>
                <w:szCs w:val="20"/>
                <w:color w:val="auto"/>
              </w:rPr>
            </w:pPr>
            <w:r>
              <w:rPr>
                <w:rFonts w:ascii="Arial" w:cs="Arial" w:eastAsia="Arial" w:hAnsi="Arial"/>
                <w:sz w:val="18"/>
                <w:szCs w:val="18"/>
                <w:i w:val="1"/>
                <w:iCs w:val="1"/>
                <w:color w:val="auto"/>
              </w:rPr>
              <w:t>Three months ended June 30, 2021</w:t>
            </w:r>
          </w:p>
        </w:tc>
        <w:tc>
          <w:tcPr>
            <w:tcW w:w="1380" w:type="dxa"/>
            <w:vAlign w:val="bottom"/>
            <w:tcBorders>
              <w:top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Shares</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Amount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capital</w:t>
            </w:r>
          </w:p>
        </w:tc>
        <w:tc>
          <w:tcPr>
            <w:tcW w:w="160" w:type="dxa"/>
            <w:vAlign w:val="bottom"/>
          </w:tcPr>
          <w:p>
            <w:pPr>
              <w:spacing w:after="0"/>
              <w:rPr>
                <w:sz w:val="20"/>
                <w:szCs w:val="20"/>
                <w:color w:val="auto"/>
              </w:rPr>
            </w:pPr>
          </w:p>
        </w:tc>
        <w:tc>
          <w:tcPr>
            <w:tcW w:w="1160" w:type="dxa"/>
            <w:vAlign w:val="bottom"/>
            <w:gridSpan w:val="2"/>
          </w:tcPr>
          <w:p>
            <w:pPr>
              <w:jc w:val="right"/>
              <w:ind w:right="361"/>
              <w:spacing w:after="0"/>
              <w:rPr>
                <w:sz w:val="20"/>
                <w:szCs w:val="20"/>
                <w:color w:val="auto"/>
              </w:rPr>
            </w:pPr>
            <w:r>
              <w:rPr>
                <w:rFonts w:ascii="Arial" w:cs="Arial" w:eastAsia="Arial" w:hAnsi="Arial"/>
                <w:sz w:val="18"/>
                <w:szCs w:val="18"/>
                <w:b w:val="1"/>
                <w:bCs w:val="1"/>
                <w:color w:val="auto"/>
              </w:rPr>
              <w:t>(Deficit)</w:t>
            </w:r>
          </w:p>
        </w:tc>
        <w:tc>
          <w:tcPr>
            <w:tcW w:w="220" w:type="dxa"/>
            <w:vAlign w:val="bottom"/>
          </w:tcPr>
          <w:p>
            <w:pPr>
              <w:spacing w:after="0"/>
              <w:rPr>
                <w:sz w:val="20"/>
                <w:szCs w:val="20"/>
                <w:color w:val="auto"/>
              </w:rPr>
            </w:pPr>
          </w:p>
        </w:tc>
        <w:tc>
          <w:tcPr>
            <w:tcW w:w="1000" w:type="dxa"/>
            <w:vAlign w:val="bottom"/>
            <w:gridSpan w:val="3"/>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March 31, 2021</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11,840,811</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59,381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(51,214)</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Shares issued for services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22,204</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issued to directors as compensation</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13,664</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331</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30"/>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1,025</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8"/>
                <w:szCs w:val="18"/>
                <w:color w:val="auto"/>
              </w:rPr>
              <w:t>Balance as of June 30, 2021</w:t>
            </w: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20" w:type="dxa"/>
            <w:vAlign w:val="bottom"/>
            <w:gridSpan w:val="2"/>
            <w:vMerge w:val="continue"/>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11,876,679</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118</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59,777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(50,189</w:t>
            </w:r>
          </w:p>
        </w:tc>
        <w:tc>
          <w:tcPr>
            <w:tcW w:w="220" w:type="dxa"/>
            <w:vAlign w:val="bottom"/>
            <w:vMerge w:val="continue"/>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9,706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60" w:type="dxa"/>
            <w:vAlign w:val="bottom"/>
            <w:gridSpan w:val="5"/>
            <w:vMerge w:val="restart"/>
          </w:tcPr>
          <w:p>
            <w:pPr>
              <w:ind w:left="66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Additional</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60" w:type="dxa"/>
            <w:vAlign w:val="bottom"/>
            <w:gridSpan w:val="5"/>
            <w:vMerge w:val="continue"/>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paid in</w:t>
            </w:r>
          </w:p>
        </w:tc>
        <w:tc>
          <w:tcPr>
            <w:tcW w:w="1320" w:type="dxa"/>
            <w:vAlign w:val="bottom"/>
            <w:gridSpan w:val="3"/>
          </w:tcPr>
          <w:p>
            <w:pPr>
              <w:jc w:val="right"/>
              <w:ind w:right="181"/>
              <w:spacing w:after="0"/>
              <w:rPr>
                <w:sz w:val="20"/>
                <w:szCs w:val="20"/>
                <w:color w:val="auto"/>
              </w:rPr>
            </w:pPr>
            <w:r>
              <w:rPr>
                <w:rFonts w:ascii="Arial" w:cs="Arial" w:eastAsia="Arial" w:hAnsi="Arial"/>
                <w:sz w:val="18"/>
                <w:szCs w:val="18"/>
                <w:b w:val="1"/>
                <w:bCs w:val="1"/>
                <w:color w:val="auto"/>
                <w:w w:val="91"/>
              </w:rPr>
              <w:t>Accumulated</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620" w:type="dxa"/>
            <w:vAlign w:val="bottom"/>
            <w:gridSpan w:val="2"/>
          </w:tcPr>
          <w:p>
            <w:pPr>
              <w:spacing w:after="0"/>
              <w:rPr>
                <w:sz w:val="20"/>
                <w:szCs w:val="20"/>
                <w:color w:val="auto"/>
              </w:rPr>
            </w:pPr>
            <w:r>
              <w:rPr>
                <w:rFonts w:ascii="Arial" w:cs="Arial" w:eastAsia="Arial" w:hAnsi="Arial"/>
                <w:sz w:val="18"/>
                <w:szCs w:val="18"/>
                <w:i w:val="1"/>
                <w:iCs w:val="1"/>
                <w:color w:val="auto"/>
              </w:rPr>
              <w:t>Six months ended June 30, 2021</w:t>
            </w:r>
          </w:p>
        </w:tc>
        <w:tc>
          <w:tcPr>
            <w:tcW w:w="1380" w:type="dxa"/>
            <w:vAlign w:val="bottom"/>
            <w:tcBorders>
              <w:top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Shares</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Amount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capital</w:t>
            </w:r>
          </w:p>
        </w:tc>
        <w:tc>
          <w:tcPr>
            <w:tcW w:w="160" w:type="dxa"/>
            <w:vAlign w:val="bottom"/>
          </w:tcPr>
          <w:p>
            <w:pPr>
              <w:spacing w:after="0"/>
              <w:rPr>
                <w:sz w:val="20"/>
                <w:szCs w:val="20"/>
                <w:color w:val="auto"/>
              </w:rPr>
            </w:pPr>
          </w:p>
        </w:tc>
        <w:tc>
          <w:tcPr>
            <w:tcW w:w="1160" w:type="dxa"/>
            <w:vAlign w:val="bottom"/>
            <w:gridSpan w:val="2"/>
          </w:tcPr>
          <w:p>
            <w:pPr>
              <w:jc w:val="right"/>
              <w:ind w:right="361"/>
              <w:spacing w:after="0"/>
              <w:rPr>
                <w:sz w:val="20"/>
                <w:szCs w:val="20"/>
                <w:color w:val="auto"/>
              </w:rPr>
            </w:pPr>
            <w:r>
              <w:rPr>
                <w:rFonts w:ascii="Arial" w:cs="Arial" w:eastAsia="Arial" w:hAnsi="Arial"/>
                <w:sz w:val="18"/>
                <w:szCs w:val="18"/>
                <w:b w:val="1"/>
                <w:bCs w:val="1"/>
                <w:color w:val="auto"/>
              </w:rPr>
              <w:t>(Deficit)</w:t>
            </w: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6"/>
        </w:trPr>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as of December 31, 2020</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10,924,287</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56,712</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(52,486)</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Shares issued for services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22,204</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issued to directors as compensation</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33,044</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845</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Conversion of Disbursed Escrow Loan</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97,144</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Gain on Extinguishment of Special Loan</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2"/>
        </w:trPr>
        <w:tc>
          <w:tcPr>
            <w:tcW w:w="4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6"/>
              </w:rPr>
              <w:t>Sales of Shares via registered direct offering, net of offering</w:t>
            </w: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cost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800,000</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1,841</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1,849</w:t>
            </w:r>
          </w:p>
        </w:tc>
        <w:tc>
          <w:tcPr>
            <w:tcW w:w="0" w:type="dxa"/>
            <w:vAlign w:val="bottom"/>
          </w:tcPr>
          <w:p>
            <w:pPr>
              <w:spacing w:after="0"/>
              <w:rPr>
                <w:sz w:val="1"/>
                <w:szCs w:val="1"/>
                <w:color w:val="auto"/>
              </w:rPr>
            </w:pPr>
          </w:p>
        </w:tc>
      </w:tr>
      <w:tr>
        <w:trPr>
          <w:trHeight w:val="230"/>
        </w:trPr>
        <w:tc>
          <w:tcPr>
            <w:tcW w:w="46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141"/>
              <w:spacing w:after="0"/>
              <w:rPr>
                <w:sz w:val="20"/>
                <w:szCs w:val="20"/>
                <w:color w:val="auto"/>
              </w:rPr>
            </w:pPr>
            <w:r>
              <w:rPr>
                <w:rFonts w:ascii="Arial" w:cs="Arial" w:eastAsia="Arial" w:hAnsi="Arial"/>
                <w:sz w:val="18"/>
                <w:szCs w:val="18"/>
                <w:color w:val="auto"/>
              </w:rPr>
              <w:t>2,297</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2,297</w:t>
            </w:r>
          </w:p>
        </w:tc>
        <w:tc>
          <w:tcPr>
            <w:tcW w:w="0" w:type="dxa"/>
            <w:vAlign w:val="bottom"/>
          </w:tcPr>
          <w:p>
            <w:pPr>
              <w:spacing w:after="0"/>
              <w:rPr>
                <w:sz w:val="1"/>
                <w:szCs w:val="1"/>
                <w:color w:val="auto"/>
              </w:rPr>
            </w:pPr>
          </w:p>
        </w:tc>
      </w:tr>
      <w:tr>
        <w:trPr>
          <w:trHeight w:val="27"/>
        </w:trPr>
        <w:tc>
          <w:tcPr>
            <w:tcW w:w="46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Balance as of June 30, 2021</w:t>
            </w: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gridSpan w:val="2"/>
            <w:vMerge w:val="continue"/>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11,876,679</w:t>
            </w:r>
          </w:p>
        </w:tc>
        <w:tc>
          <w:tcPr>
            <w:tcW w:w="2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59,777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(50,189</w:t>
            </w:r>
          </w:p>
        </w:tc>
        <w:tc>
          <w:tcPr>
            <w:tcW w:w="22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9,706</w:t>
            </w:r>
          </w:p>
        </w:tc>
        <w:tc>
          <w:tcPr>
            <w:tcW w:w="0" w:type="dxa"/>
            <w:vAlign w:val="bottom"/>
          </w:tcPr>
          <w:p>
            <w:pPr>
              <w:spacing w:after="0"/>
              <w:rPr>
                <w:sz w:val="1"/>
                <w:szCs w:val="1"/>
                <w:color w:val="auto"/>
              </w:rPr>
            </w:pPr>
          </w:p>
        </w:tc>
      </w:tr>
      <w:tr>
        <w:trPr>
          <w:trHeight w:val="21"/>
        </w:trPr>
        <w:tc>
          <w:tcPr>
            <w:tcW w:w="4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CREATIVE REALITIES,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(all currency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NATURE OF ORGANIZATION AND OPERATIONS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Unless the context otherwise indicates, references in these Notes to the accompanying Consolidated Financial Statements to “we,” “us,” “our” and “the Company” refer to Creative Realities, Inc. and its subsidiaries.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Nature of the Company’s Business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Creative Realities, Inc. is a Minnesota corporation that provides innovative digital marketing technology and solutions to retail companies, individual retail brands, enterprises and organizations throughout the United States and in certain international markets. The Company has expertise in a broad range of existing and emerging digital marketing technologies, as well as the related media management and distribution software platforms and networks, device management, product management, customized software service layers, systems, experiences, workflows, and integrated solutions. Our technology and solutions include: digital merchandising systems and omni-channel customer engagement systems, interactive digital shopping assistants, advisors and kiosks, and other interactive marketing technologies such as mobile, social media, point-of-sale transactions, beaconing and web-based media that enable our customers to transform how they engage with consumers. We have expertise in a broad range of existing and emerging digital marketing technologies, as well as the following related aspects of our business: content, network management, and connected device software and firmware platforms; customized software service layers; hardware platforms; digital media workflows; and proprietary processes and automation tools.</w:t>
      </w:r>
    </w:p>
    <w:p>
      <w:pPr>
        <w:spacing w:after="0" w:line="16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Our main operations are conducted directly through Creative Realities, Inc., and under our wholly owned subsidiaries Allure Global Solutions, Inc., a Georgia corporation, Creative Realities Canada, Inc., a Canadian corporation, and Reflect Systems, Inc., a Delaware corporation.</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Acquisition of Reflect</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On November 12, 2021, the Company and Reflect Systems, Inc., or “Reflect,” entered into an Agreement and Plan of Merger (as amended on as amended on February 8, 2022, the “Merger Agreement”) pursuant to which a direct, wholly owned subsidiary of Creative Realities, CRI Acquisition Corporation, or “Merger Sub,” would merge with and into Reflect, with Reflect surviving as a wholly owned subsidiary of Creative Realities, and the surviving company of the merger, which transaction is referred to herein as the “Merger.” On February 17, 2022, the parties consummated the Merger.</w:t>
      </w:r>
    </w:p>
    <w:p>
      <w:pPr>
        <w:spacing w:after="0" w:line="15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Reflect provides digital signage solutions, including software, strategic and media services to a wide range of companies across the retail, financial, hospitality and entertainment, healthcare, and employee communications industries in North America. Reflect offers digital signage platforms, including ReflectView, a platform used by companies to power hundreds of thousands of active digital displays. Through its strategic services, Reflect assists its customers with designing, deploying and optimizing their digital signage networks, and through its media services, Reflect assists customers with monetizing their digital advertising networks.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 w:name="page7"/>
    <w:bookmarkEnd w:id="6"/>
    <w:p>
      <w:pPr>
        <w:jc w:val="both"/>
        <w:ind w:firstLine="648"/>
        <w:spacing w:after="0" w:line="290" w:lineRule="auto"/>
        <w:rPr>
          <w:sz w:val="20"/>
          <w:szCs w:val="20"/>
          <w:color w:val="auto"/>
        </w:rPr>
      </w:pPr>
      <w:r>
        <w:rPr>
          <w:rFonts w:ascii="Arial" w:cs="Arial" w:eastAsia="Arial" w:hAnsi="Arial"/>
          <w:sz w:val="16"/>
          <w:szCs w:val="16"/>
          <w:color w:val="auto"/>
        </w:rPr>
        <w:t>Subject to the terms and conditions of the Merger Agreement, upon the closing of the Merger, Reflect stockholders as of the effective time of the Merger collectively received from the Company, in the aggregate, the following Merger consideration: (i) $16,166 in cash, (ii) 2,333,334 shares of common stock of Creative Realities (valued based on an issuance price of $2 per share) (the “CREX Shares”), (iii) the Secured Promissory Note (as described below), and (iv) supplemental cash payments (the “Guaranteed Consideration”), if any, payable on or after the three-year anniversary of the effective time of the Merger (subject to the Extension Option described below, the “Guarantee Date”), in an amount by which the value of the CREX Shares on such anniversary is less than $6.40 per share, or if certain customers of Reflect collectively achieve over 85,000 billable devices online at any time on or before December 31, 2022, is less than $7.20 per share (such applicable amount, the “Guaranteed Price”), multiplied by the amount of CREX Shares held by the Reflect stockholders on the Guarantee Date (subject to the Extension Option described below), subject to the terms of the Merger Agreement.</w:t>
      </w:r>
    </w:p>
    <w:p>
      <w:pPr>
        <w:spacing w:after="0" w:line="16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Creative Realities may exercise an extension option (the “Extension Option”) to extend the Guarantee Date from the three-year anniversary of the Closing Date to six (6) months thereafter if (i) the Extension Threshold Price is greater than or equal to 70% of the Guaranteed Price described above, and</w:t>
      </w:r>
    </w:p>
    <w:p>
      <w:pPr>
        <w:jc w:val="both"/>
        <w:ind w:firstLine="8"/>
        <w:spacing w:after="0" w:line="295" w:lineRule="auto"/>
        <w:tabs>
          <w:tab w:leader="none" w:pos="267" w:val="left"/>
        </w:tabs>
        <w:numPr>
          <w:ilvl w:val="0"/>
          <w:numId w:val="2"/>
        </w:numPr>
        <w:rPr>
          <w:rFonts w:ascii="Arial" w:cs="Arial" w:eastAsia="Arial" w:hAnsi="Arial"/>
          <w:sz w:val="16"/>
          <w:szCs w:val="16"/>
          <w:color w:val="auto"/>
        </w:rPr>
      </w:pPr>
      <w:r>
        <w:rPr>
          <w:rFonts w:ascii="Arial" w:cs="Arial" w:eastAsia="Arial" w:hAnsi="Arial"/>
          <w:sz w:val="16"/>
          <w:szCs w:val="16"/>
          <w:color w:val="auto"/>
        </w:rPr>
        <w:t>Creative Realities provides written notice of its election to exercise the Extension Option at least ten (10) days prior to the three-year anniversary of the Closing. The “Extension Threshold Price” means the average closing price per share of Creative Realities Shares as reported on the Nasdaq Capital Market (or NYSE) in the fifteen (15) consecutive trading day period ending fifteen (15) calendar days prior to the three-year anniversary of the Closing Date. If the Extension Threshold Price is less than 80% of the Guaranteed Price, then the Guaranteed Price will be increased by $1.00 per share.</w:t>
      </w:r>
    </w:p>
    <w:p>
      <w:pPr>
        <w:spacing w:after="0" w:line="16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connection with the Merger, the Company adopted a Retention Bonus Plan and raised capital to, among other things, pay the cash portion of the Merger consideration. The Retention Bonus Plan and financings are described below.</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Retention Bonus Plan</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February 17, 2022, in connection with the closing of the Merger (the “Closing”), the Company adopted a Retention Bonus Plan, pursuant to which the Company is required to pay to key members of Reflect’s management team an aggregate of $1,333 in cash, which was paid 50% at the Closing, and subject to continuous employment with Reflect or Creative Realities, 25% on the one-year anniversary of Closing and 25% on the two-year anniversary of the Closing. The future cash payments due on the one-year and two-year anniversaries of the Closing have been deposited into an escrow agreement. The Retention Bonus Plan also requires the Company to issue Common Stock having an aggregate value of $667 to the plan participants as follows: 50% of the value of such shares were issued at the Closing, and subject to continuous employment with Reflect or Creative Realities, 25% of the value of such shares will be issued on the one-year anniversary of Closing and the remaining 25% of the value of such shares will be issued on the two-year anniversary of the Closing. The shares issued on the Closing were valued at $2.00 per share, and the shares to be issued after the Closing will be determined based on dividing the value of shares issuable on such date divided by the trailing 10-day volume weighted average price (VWAP) of the shares as of such date as reported on the Nasdaq Capital Market.</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Upon the resignation of a participant’s employment for “good reason,” or termination of the employment of a participant without “cause,” each as defined in the Retention Bonus Plan, the participant will be fully vested and will receive all cash and shares allocated to such participant under the Retention Bonus Plan. Any amounts unpaid by reason of a lapse in continuous employment or otherwise will be reallocated among the remaining Retention Bonus Plan participants.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7" w:name="page8"/>
    <w:bookmarkEnd w:id="7"/>
    <w:p>
      <w:pPr>
        <w:ind w:left="340"/>
        <w:spacing w:after="0"/>
        <w:rPr>
          <w:sz w:val="20"/>
          <w:szCs w:val="20"/>
          <w:color w:val="auto"/>
        </w:rPr>
      </w:pPr>
      <w:r>
        <w:rPr>
          <w:rFonts w:ascii="Arial" w:cs="Arial" w:eastAsia="Arial" w:hAnsi="Arial"/>
          <w:sz w:val="18"/>
          <w:szCs w:val="18"/>
          <w:i w:val="1"/>
          <w:iCs w:val="1"/>
          <w:color w:val="auto"/>
        </w:rPr>
        <w:t>Equity Financing</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On February 3, 2022, the Company entered into a securities purchase agreement (the “Securities Purchase Agreement”) with a purchaser (the “Purchaser”), pursuant to which the Company agreed to issue and sell to the Purchaser, in a private placement priced at-the-market under Nasdaq rules, (i) 1,315,000 shares (the “Shares”) of the Company’s common stock, par value $0.01 per share (the “Common Stock”) and accompanying warrants to purchase an aggregate of 1,315,000 shares of Common Stock, and (ii) pre-funded warrants to purchase up to an aggregate of 5,851,505 shares of Common Stock (the “Pre-Funded Warrants”) and accompanying warrants to purchase an aggregate of 5,851,505 shares of Common Stock (collectively, the “Private Placement”). The accompanying warrants to purchase Common Stock are referred to herein collectively as the “Common Stock Warrants.” Under the Securities Purchase Agreement, each Share and accompanying warrants to purchase Common Stock were sold together at a combined price of $1.535, and each Pre-Funded Warrant and accompanying warrants to purchase Common Stock were sold together at a combined price of $1.5349, for gross proceeds of approximately $11,000 before deducting placement agent fees and offering expenses payable by the Company. Net proceeds to the Company were $10,160. The remaining exercise price for the Pre-Funded Warrant was $0.0001. Collectively, we refer to this transaction throughout this filing as the “Equity Financing”. The net proceeds from the Private Placement were used to fund, in part, payment of the closing cash consideration in the Merger.</w:t>
      </w:r>
    </w:p>
    <w:p>
      <w:pPr>
        <w:spacing w:after="0" w:line="17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Effective June 30, 2022, the Company amended the terms of Common Stock Warrants to remove the holder’s option to exercise such warrants on a cashless basis utilizing the volume weighted average price (“VWAP”) of the Company’s common stock on the trading day immediately preceding the date of a notice of cashless exercise in certain circumstances, and removes the condition to exercising such warrants that the Company’s shareholders approve the exercise thereof (which has already been obtained). The amendments to the Common Stock Warrants also extend the term of such warrants for an additional one year, The foregoing amendments to the warrants are intended to cause such warrants to be accounted for as equity instruments on the Company’s financial statements.</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Debt Financing</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February 17, 2022, the Company and its subsidiaries (collectively, the “Borrowers”) refinanced their current debt facilities with Slipstream Communications, LLC (“Slipstream”), pursuant to a Second Amended and Restated Credit and Security Agreement (the “Credit Agreement”), and raised $10,000 in gross proceeds with a maturity date of February 1, 2025. The Credit Agreement also provides that the Company’s outstanding loans from Slipstream, consisting of its pre-existing $4,767 senior secured term loan and $2,418 secured convertible loan, with an aggregate of $7,185 in outstanding principal and accrued and unpaid interest under such loans, were consolidated into a Consolidation Term Loan with a maturity date of February 1, 2025. Collectively, we refer to this transaction throughout this filing as the “Debt Financing”. The net proceeds from the Credit Agreement were used to fund, in part, payment of the closing cash consideration in the Merger, and the cash payable under the terms of the Retention Bonus Plan at the Closing.</w:t>
      </w:r>
    </w:p>
    <w:p>
      <w:pPr>
        <w:spacing w:after="0" w:line="16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On February 17, 2022, in connection with the closing of the acquisition of Reflect, the Company issued to the representative of Reflect stockholders, RSI Exit Corporation (“Stockholders’ Representative”), a $2,500 Note and Security Agreement (the “Secured Promissory Note”). The Secured Promissory Note accrues interest at 0.59% (the applicable federal rate) and requires the Company and Reflect to pay equal monthly principal installments of $104 on the fifteenth (15th) day of each month, commencing on March 15, 2022, Any remaining or unpaid principal is due and payable on February 17, 2023. The Secured Promissory Note represents consideration in the Merger and is included as part of the purchase price.</w:t>
      </w:r>
    </w:p>
    <w:p>
      <w:pPr>
        <w:spacing w:after="0" w:line="16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See Note 9 </w:t>
      </w:r>
      <w:r>
        <w:rPr>
          <w:rFonts w:ascii="Arial" w:cs="Arial" w:eastAsia="Arial" w:hAnsi="Arial"/>
          <w:sz w:val="18"/>
          <w:szCs w:val="18"/>
          <w:i w:val="1"/>
          <w:iCs w:val="1"/>
          <w:color w:val="auto"/>
        </w:rPr>
        <w:t>Loans Payable</w:t>
      </w:r>
      <w:r>
        <w:rPr>
          <w:rFonts w:ascii="Arial" w:cs="Arial" w:eastAsia="Arial" w:hAnsi="Arial"/>
          <w:sz w:val="18"/>
          <w:szCs w:val="18"/>
          <w:color w:val="auto"/>
        </w:rPr>
        <w:t xml:space="preserve"> to the Consolidated Financial Statements for an additional discussion of the Company’s debt obligations and further discussion of the Company’s refinancing activities subsequent to December 31, 2021.</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Liquidity and Financial Condition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accompanying Condensed Consolidated Financial Statements have been prepared on the basis of the realization of assets and the satisfaction of liabilities and commitments in the normal course of business and do not include any adjustments to the recoverability and classifications of recorded assets and liabilities as a result of uncertainties.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three months ended June 30, 2022 and 2021 we have recognized net income of $1,262 and $1,025, respectively. For the six months ended June 30, 2022 and 2021, we recognized net income of $3,764 and $2,297, respectively. As of June 30, 2022, we had cash and cash equivalents of $2,840 and a working capital surplus of $649.</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Management believes that, based on (i) the refinancing of our debt as part of the Debt Financing, including extension of the maturity date on our term loans, and (ii) our operational forecast through 2022 and 2023 following completion of the Merger, that we can continue as a going concern through at least August 15, 2023. However, given our historical net losses and cash used in operating activities, we obtained a continued support letter from Slipstream through August 15, 2023. We can provide no assurance that our ongoing operational efforts will be successful which could have a material adverse effect on our results of operations and cash flows.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auto"/>
        </w:rPr>
        <w:t>NOTE 2: SUMMARY OF SIGNIFICANT ACCOUNTING POLICIES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 summary of the significant accounting policies consistently applied in the preparation of the accompanying Condensed Consolidated Financial Statements follows: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 Basis of Presentation</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the applicable instructions to Form 10-Q and Regulation S-X and include all of the information and disclosures required by generally accepted accounting principles in the United States of America (“GAAP”) for interim financial reporting. These unaudited Condensed Consolidated Financial Statements should be read in conjunction with the Consolidated Financial Statements of the Company and related footnotes for the year ended December 31, 2021, included in the Company’s Annual Report on Form 10-K filed with the Securities and Exchange Commission on March 22, 2022.</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results of operations for the interim periods are not necessarily indicative of results of operations for a full year. Management believes the accompanying unaudited Condensed Consolidated Financial Statements reflect all adjustments, including normal recurring items, considered necessary for a fair statement of results for the interim periods presented.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 Revenue Recognition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We recognize revenue in accordance with Financial Accounting Standards Board (“FASB”) Accounting Standards Codification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applying the five-step model.</w:t>
      </w:r>
    </w:p>
    <w:p>
      <w:pPr>
        <w:spacing w:after="0" w:line="17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If an arrangement involves multiple performance obligations, the items are analyzed to determine the separate units of accounting, whether the items have value on a standalone basis and whether there is objective and reliable evidence of their standalone selling price. The total contract transaction price is allocated to the identified performance obligations based upon the relative standalone selling prices of the performance obligations. The standalone selling price is based on an observable price for services sold to other comparable customers, when available, or an estimated selling price using a cost plus margin approach. See Note 4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for additional detail and discussion of the Company’s performance obligations.</w:t>
      </w:r>
    </w:p>
    <w:p>
      <w:pPr>
        <w:spacing w:after="0" w:line="16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estimates the amount of total contract consideration it expects to receive for variable arrangements by determining the most likely amount it expects to earn from the arrangement based on the expected quantities of services it expects to provide and the contractual pricing based on those quantities. The Company only includes some or a portion of variable consideration in the transaction price when it is probable that a significant reversal in the amount of cumulative revenue recognized will not occur when the uncertainty associated with the variable consideration is subsequently resolved. The Company considers the sensitivity of the estimate, its relationship and experience with the client and variable services being performed, the range of possible revenue amounts and the magnitude of the variable consideration to the overall arrangement. The Company receives variable consideration in very few instances.</w:t>
      </w:r>
    </w:p>
    <w:p>
      <w:pPr>
        <w:spacing w:after="0" w:line="19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Revenue is recognized when a customer obtains control of promised goods or services under the terms of a contract and is measured as the amount of consideration the Company expects to receive in exchange for transferring goods or providing services. The Company does not have any material extended payment terms as payment is due at or shortly after the time of the sale, ranging between thirty and ninety days. Observable prices are used to determine the standalone selling price of separate performance obligations or a cost plus margin approach when one is not available. Sales, value-added and other taxes collected concurrently with revenue producing activities are excluded from revenue.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 w:name="page10"/>
    <w:bookmarkEnd w:id="9"/>
    <w:p>
      <w:pPr>
        <w:jc w:val="both"/>
        <w:ind w:firstLine="648"/>
        <w:spacing w:after="0" w:line="286" w:lineRule="auto"/>
        <w:rPr>
          <w:sz w:val="20"/>
          <w:szCs w:val="20"/>
          <w:color w:val="auto"/>
        </w:rPr>
      </w:pPr>
      <w:r>
        <w:rPr>
          <w:rFonts w:ascii="Arial" w:cs="Arial" w:eastAsia="Arial" w:hAnsi="Arial"/>
          <w:sz w:val="17"/>
          <w:szCs w:val="17"/>
          <w:color w:val="auto"/>
        </w:rPr>
        <w:t>The Company recognizes contract assets or unbilled receivables related to revenue recognized for services completed but not yet invoiced to the clients. A contract liability is recognized as deferred revenue when the Company invoices clients in advance of performing the related services under the terms of a contract. Deferred revenue is recognized as revenue when the Company has satisfied the related performance obligation.</w:t>
      </w:r>
    </w:p>
    <w:p>
      <w:pPr>
        <w:spacing w:after="0" w:line="16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Company uses the practical expedient for recording an immediate expense for incremental costs of obtaining contracts, including certain design/engineering services, commissions, incentives and payroll taxes, as these incremental and recoverable costs have terms that do not exceed one year.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 Inventories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Inventories are stated at the net realizable value, determined by the first-in, first-out (FIFO) method, and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June 30,</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41"/>
        </w:trPr>
        <w:tc>
          <w:tcPr>
            <w:tcW w:w="86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Raw materials, including those on consignment, net of reserve of $770 and $502, respectively</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Arial" w:cs="Arial" w:eastAsia="Arial" w:hAnsi="Arial"/>
                <w:sz w:val="18"/>
                <w:szCs w:val="18"/>
                <w:color w:val="auto"/>
              </w:rPr>
              <w:t>Work-in-process</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503</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inventories</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2,638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 Impairment of Long-Lived Assets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We review the carrying value of all long-lived assets, including property and equipment, for impairment in accordance with ASC 360, </w:t>
      </w:r>
      <w:r>
        <w:rPr>
          <w:rFonts w:ascii="Arial" w:cs="Arial" w:eastAsia="Arial" w:hAnsi="Arial"/>
          <w:sz w:val="18"/>
          <w:szCs w:val="18"/>
          <w:i w:val="1"/>
          <w:iCs w:val="1"/>
          <w:color w:val="auto"/>
        </w:rPr>
        <w:t>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for the Impairment or Disposal of Long-Lived Assets</w:t>
      </w:r>
      <w:r>
        <w:rPr>
          <w:rFonts w:ascii="Arial" w:cs="Arial" w:eastAsia="Arial" w:hAnsi="Arial"/>
          <w:sz w:val="18"/>
          <w:szCs w:val="18"/>
          <w:color w:val="auto"/>
        </w:rPr>
        <w:t>. Under ASC 360, impairment losses are recorded whenever events or changes in circumstances</w:t>
      </w:r>
      <w:r>
        <w:rPr>
          <w:rFonts w:ascii="Arial" w:cs="Arial" w:eastAsia="Arial" w:hAnsi="Arial"/>
          <w:sz w:val="18"/>
          <w:szCs w:val="18"/>
          <w:i w:val="1"/>
          <w:iCs w:val="1"/>
          <w:color w:val="auto"/>
        </w:rPr>
        <w:t xml:space="preserve"> </w:t>
      </w:r>
      <w:r>
        <w:rPr>
          <w:rFonts w:ascii="Arial" w:cs="Arial" w:eastAsia="Arial" w:hAnsi="Arial"/>
          <w:sz w:val="18"/>
          <w:szCs w:val="18"/>
          <w:color w:val="auto"/>
        </w:rPr>
        <w:t>indicate the carrying value of an asset may not be recoverable. We evaluated whether there were any triggering events for consideration of impairment of long-lived assets as of June 30, 2022 and concluded there were none.</w:t>
      </w:r>
    </w:p>
    <w:p>
      <w:pPr>
        <w:spacing w:after="0" w:line="18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If the impairment tests indicate that the carrying value of the asset is greater than the expected undiscounted cash flows to be generated by such asset, an impairment loss would be recognized. The impairment loss is determined as the amount by which the carrying value of such asset exceeds its fair value. We generally measure fair value by considering sale prices for similar assets or by discounting estimated future cash flows from such assets using an appropriate discount rate. Assets to be disposed of are carried at the lower of their carrying value or fair value less costs to sell. Considerable management judgment is necessary to estimate the fair value of assets, and accordingly, actual results could vary significantly from such estimates.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 Basic and Diluted Income/(Loss) per Common Share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Basic and diluted income/(loss) per common share for all periods presented is computed using the weighted average number of common shares outstanding. Basic weighted average shares outstanding includes only outstanding common shares. Diluted weighted average shares outstanding includes outstanding common shares and potential dilutive common shares outstanding in accordance with the treasury stock method. Shares reserved for outstanding stock options, including stock options with performance restricted vesting, and warrants totaling approximately 22,472,886 at June 30, 2022 were excluded from the computation of income per share as the strike price on the options and warrants were higher than the Company’s market price and therefore anti-dilutive.</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Shares reserved for outstanding stock options, including stock options with performance restricted vesting, and warrants totaling approximately 6,964,517 at June 30, 2021 were excluded from the computation of income per share as the strike price on the options and warrants were higher than the Company’s market price and therefore anti-dilutive. Diluted weighted average shares outstanding for the three and six-months ended June 30, 2021 included 8,333 options which were both exercisable and in-the-money as of June 30, 2021. Those options were included in the calculation of diluted earnings per share as of the beginning of the calculation period.</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In calculating diluted earnings per share for the three and six months ended June 30, 2021, in accordance with ASC 260 </w:t>
      </w:r>
      <w:r>
        <w:rPr>
          <w:rFonts w:ascii="Arial" w:cs="Arial" w:eastAsia="Arial" w:hAnsi="Arial"/>
          <w:sz w:val="18"/>
          <w:szCs w:val="18"/>
          <w:i w:val="1"/>
          <w:iCs w:val="1"/>
          <w:color w:val="auto"/>
        </w:rPr>
        <w:t>Earnings per share</w:t>
      </w:r>
      <w:r>
        <w:rPr>
          <w:rFonts w:ascii="Arial" w:cs="Arial" w:eastAsia="Arial" w:hAnsi="Arial"/>
          <w:sz w:val="18"/>
          <w:szCs w:val="18"/>
          <w:color w:val="auto"/>
        </w:rPr>
        <w:t>, we excluded the dilutive effect of the potential issuance of common stock upon an assumed conversion of the Convertible Loan as we had the intent and ability to settle the debt in cash.</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6. Income Taxes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Deferred income taxes are recognized in the financial statements for the tax consequences in future years of differences between the tax basis of assets and liabilities and their financial reporting amounts based on enacted tax laws and statutory tax rates. Temporary differences arise from net operating losses, differences in basis of intangibles, stock-based compensation, reserves for uncollectible accounts receivable and inventory, differences in depreciation methods, and accrued expenses. Valuation allowances are established when necessary to reduce deferred tax assets to the amount expected to be realized. The Company accounts for uncertain tax positions utilizing an established recognition threshold and measurement attributes for the financial statement recognition and measurement of a tax position taken or expected to be taken in a tax return. We had no uncertain tax positions as of June 30, 2022 and December 31, 2021.</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7. Goodwill</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We follow the provisions of ASC 350, Goodwill and Other Intangible Assets. Pursuant to ASC 350, goodwill acquired in a purchase business combination is not amortized, but instead tested for impairment at least annually. The Company uses an annual measurement date of September 30 (see Note 7 </w:t>
      </w:r>
      <w:r>
        <w:rPr>
          <w:rFonts w:ascii="Arial" w:cs="Arial" w:eastAsia="Arial" w:hAnsi="Arial"/>
          <w:sz w:val="18"/>
          <w:szCs w:val="18"/>
          <w:i w:val="1"/>
          <w:iCs w:val="1"/>
          <w:color w:val="auto"/>
        </w:rPr>
        <w:t>Intangible Assets and Goodwill</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Definite-lived intangible assets are amortized straight-line in accordance with their identified useful lives. Pursuant to ASC 350, these intangible assets are evaluated for impairment at least annually, or as indicators of impairment are identified.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8. Use of Estimates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Our significant estimates include: warrant liability valuation, contingent purchase consideration valuation, the allowance for doubtful accounts, valuation allowances related to deferred taxes, the fair value of acquired assets and liabilities, the fair value of liabilities reliant upon the appraised fair value of the Company, valuation of stock-based compensation awards and other assumptions and estimates used to evaluate the recoverability of long-lived assets, goodwill and other intangible assets and the related amortization methods and periods. Actual results could differ from those estimates.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9. Leases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We account for leases in accordance with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(Topic 842), as amended.</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determine if an arrangement is a lease at inception. Right of use (“ROU”) assets and liabilities are recognized at commencement date based on the present value of remaining lease payments over the lease term. For this purpose, we consider only payments that are fixed and determinable at the time of commencement. As most of our leases do not provide an implicit rate, we use our incremental borrowing rate based on the information available at commencement date in determining the present value of lease payments. Our incremental borrowing rate is a hypothetical rate based on our understanding of what our credit rating would be. The ROU asset also includes any lease payments made prior to commencement and is recorded net of any lease incentives received. Our lease terms may include options to extend or terminate the lease when it is reasonably certain that we will exercise such options.</w:t>
      </w:r>
    </w:p>
    <w:p>
      <w:pPr>
        <w:spacing w:after="0" w:line="16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Operating leases are included in operating lease right-of-use assets, current maturities of operating leases, and long-term obligations under operating leases on our condensed consolidated balance sheets.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10. Business Combinations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Accounting for acquisitions requires us to recognize separately from goodwill the assets acquired and the liabilities assumed at their acquisition date fair values. Goodwill as of the acquisition date is measured as the excess of consideration transferred over the net acquisition date fair values of the assets acquired and the liabilities assumed. While we use our best estimates and assumptions to accurately value assets acquired and liabilities assumed at the acquisition date as well as contingent consideration, where applicable, our estimates are inherently uncertain and subject to refinement. As a result, during the measurement period, which may be up to one year from the acquisition date, we may record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to our consolidated statements of operations. Refer to Note 5, </w:t>
      </w:r>
      <w:r>
        <w:rPr>
          <w:rFonts w:ascii="Arial" w:cs="Arial" w:eastAsia="Arial" w:hAnsi="Arial"/>
          <w:sz w:val="17"/>
          <w:szCs w:val="17"/>
          <w:i w:val="1"/>
          <w:iCs w:val="1"/>
          <w:color w:val="auto"/>
        </w:rPr>
        <w:t xml:space="preserve">Business Combination </w:t>
      </w:r>
      <w:r>
        <w:rPr>
          <w:rFonts w:ascii="Arial" w:cs="Arial" w:eastAsia="Arial" w:hAnsi="Arial"/>
          <w:sz w:val="17"/>
          <w:szCs w:val="17"/>
          <w:color w:val="auto"/>
        </w:rPr>
        <w:t>for a discussion of the accounting for the Merger.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11. Contingent Consideration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has contingent consideration arrangements related to certain acquisitions to potentially pay additional cash amounts in future periods based on the lack of achievement of certain share price performance goals of our common stock. Such contingent consideration arrangements are recorded at fair value and are classified as liabilities on the acquisition date and are remeasured at each reporting period in accordance with ASC 805-30-35-1 using a Monte Carlo simulation model.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auto"/>
        </w:rPr>
        <w:t>NOTE 3: RECENTLY ISSUED ACCOUNTING PRONOUNCEMENTS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Recently adopted</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On January 1, 2022, we adopted early Accounting Standards Update (“ASU”) No. 2021-08, </w:t>
      </w:r>
      <w:r>
        <w:rPr>
          <w:rFonts w:ascii="Arial" w:cs="Arial" w:eastAsia="Arial" w:hAnsi="Arial"/>
          <w:sz w:val="18"/>
          <w:szCs w:val="18"/>
          <w:i w:val="1"/>
          <w:iCs w:val="1"/>
          <w:color w:val="auto"/>
        </w:rPr>
        <w:t>Business Combinations (Topic 805): 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Contract Assets and Contract Liabilities from Contracts with Customers </w:t>
      </w:r>
      <w:r>
        <w:rPr>
          <w:rFonts w:ascii="Arial" w:cs="Arial" w:eastAsia="Arial" w:hAnsi="Arial"/>
          <w:sz w:val="18"/>
          <w:szCs w:val="18"/>
          <w:color w:val="auto"/>
        </w:rPr>
        <w:t>(ASU 2021-08), which clarifies that an acquirer of a business should recognize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measure contract assets and contract liabilities in a business combination in accordance with Accounting Standards Codification (ASC) Topic 606,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The adoption of this new standard did not have a material impact on our condensed 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Not yet adopted</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In August 2020, the FASB issued Accounting Standards Update No. 2020-06, </w:t>
      </w:r>
      <w:r>
        <w:rPr>
          <w:rFonts w:ascii="Arial" w:cs="Arial" w:eastAsia="Arial" w:hAnsi="Arial"/>
          <w:sz w:val="16"/>
          <w:szCs w:val="16"/>
          <w:i w:val="1"/>
          <w:iCs w:val="1"/>
          <w:color w:val="auto"/>
        </w:rPr>
        <w:t>Debt—Debt with Conversion and Other Options (Subtopic 470-20)</w:t>
      </w:r>
      <w:r>
        <w:rPr>
          <w:rFonts w:ascii="Arial" w:cs="Arial" w:eastAsia="Arial" w:hAnsi="Arial"/>
          <w:sz w:val="16"/>
          <w:szCs w:val="16"/>
          <w:color w:val="auto"/>
        </w:rPr>
        <w:t xml:space="preserve"> </w:t>
      </w:r>
      <w:r>
        <w:rPr>
          <w:rFonts w:ascii="Arial" w:cs="Arial" w:eastAsia="Arial" w:hAnsi="Arial"/>
          <w:sz w:val="16"/>
          <w:szCs w:val="16"/>
          <w:i w:val="1"/>
          <w:iCs w:val="1"/>
          <w:color w:val="auto"/>
        </w:rPr>
        <w:t>and Derivatives and Hedging—Contracts in Entity’s Own Equity (Subtopic 815-40): Accounting for Convertible Instruments and Contracts in an Entity’s Own Equity (ASU 2020-06)</w:t>
      </w:r>
      <w:r>
        <w:rPr>
          <w:rFonts w:ascii="Arial" w:cs="Arial" w:eastAsia="Arial" w:hAnsi="Arial"/>
          <w:sz w:val="16"/>
          <w:szCs w:val="16"/>
          <w:color w:val="auto"/>
        </w:rPr>
        <w:t>, which simplifies the accounting for convertible instruments by reducing the number of accounting models available for</w:t>
      </w:r>
      <w:r>
        <w:rPr>
          <w:rFonts w:ascii="Arial" w:cs="Arial" w:eastAsia="Arial" w:hAnsi="Arial"/>
          <w:sz w:val="16"/>
          <w:szCs w:val="16"/>
          <w:i w:val="1"/>
          <w:iCs w:val="1"/>
          <w:color w:val="auto"/>
        </w:rPr>
        <w:t xml:space="preserve"> </w:t>
      </w:r>
      <w:r>
        <w:rPr>
          <w:rFonts w:ascii="Arial" w:cs="Arial" w:eastAsia="Arial" w:hAnsi="Arial"/>
          <w:sz w:val="16"/>
          <w:szCs w:val="16"/>
          <w:color w:val="auto"/>
        </w:rPr>
        <w:t>convertible debt instruments. This guidance also eliminates the treasury stock method to calculate diluted earnings per share for convertible instruments and requires the use of the if-converted method. This guidance will be effective for us in the first quarter of 2024 on a full or modified retrospective basis, with early adoption permitted. We are currently evaluating the disclosure requirements and potential impact on our consolidated financial statements.</w:t>
      </w:r>
    </w:p>
    <w:p>
      <w:pPr>
        <w:spacing w:after="0" w:line="16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Instruments—Credit Losses</w:t>
      </w:r>
      <w:r>
        <w:rPr>
          <w:rFonts w:ascii="Arial" w:cs="Arial" w:eastAsia="Arial" w:hAnsi="Arial"/>
          <w:sz w:val="18"/>
          <w:szCs w:val="18"/>
          <w:color w:val="auto"/>
        </w:rPr>
        <w:t>. The main objective is to provide financial statement users with more decision-useful information about the expected credit losses on financial instruments and other commitments to extend credit held by a reporting entity at each reporting date. The amendments in this update replace the incurred loss methodology with a methodology that reflects expected credit losses and requires consideration of a broader range of reasonable and supportable information to calculate credit loss estimates. For trade receivables and loans, entities will be required to estimate lifetime expected credit losses. The amendments are effective for public business entities that qualify as smaller reporting companies for fiscal years and interim periods beginning after December 15, 2022. We are currently evaluating the disclosure requirements related to adopting this guidance.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4: REVENUE RECOGNITION</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applies ASC 606 for revenue recognition. The following table disaggregates the Company’s revenue by major source for the three and six months ended June 30, 2022 and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1"/>
              </w:rPr>
              <w:t>Three Months</w:t>
            </w: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Three Months</w:t>
            </w:r>
          </w:p>
        </w:tc>
        <w:tc>
          <w:tcPr>
            <w:tcW w:w="10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Six Months</w:t>
            </w:r>
          </w:p>
        </w:tc>
        <w:tc>
          <w:tcPr>
            <w:tcW w:w="100" w:type="dxa"/>
            <w:vAlign w:val="bottom"/>
          </w:tcPr>
          <w:p>
            <w:pPr>
              <w:spacing w:after="0"/>
              <w:rPr>
                <w:sz w:val="18"/>
                <w:szCs w:val="18"/>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1"/>
              </w:rPr>
              <w:t>Six Months</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0"/>
              </w:rPr>
              <w:t>Ended</w:t>
            </w:r>
          </w:p>
        </w:tc>
        <w:tc>
          <w:tcPr>
            <w:tcW w:w="16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18"/>
                <w:szCs w:val="18"/>
                <w:color w:val="auto"/>
              </w:rPr>
            </w:pPr>
          </w:p>
        </w:tc>
        <w:tc>
          <w:tcPr>
            <w:tcW w:w="11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0"/>
              </w:rPr>
              <w:t>Ended</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June 30,</w:t>
            </w: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June 30,</w:t>
            </w:r>
          </w:p>
        </w:tc>
      </w:tr>
      <w:tr>
        <w:trPr>
          <w:trHeight w:val="241"/>
        </w:trPr>
        <w:tc>
          <w:tcPr>
            <w:tcW w:w="59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60" w:type="dxa"/>
            <w:vAlign w:val="bottom"/>
          </w:tcPr>
          <w:p>
            <w:pPr>
              <w:spacing w:after="0"/>
              <w:rPr>
                <w:sz w:val="20"/>
                <w:szCs w:val="20"/>
                <w:color w:val="auto"/>
              </w:rPr>
            </w:pPr>
          </w:p>
        </w:tc>
        <w:tc>
          <w:tcPr>
            <w:tcW w:w="96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2022</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9"/>
              </w:rPr>
              <w:t>2022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Hardware</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5,667</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12,126</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4,112</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Installation Services</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903</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2,242</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1,072</w:t>
            </w:r>
          </w:p>
        </w:tc>
        <w:tc>
          <w:tcPr>
            <w:tcW w:w="8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 Development Services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109</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367</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Media Services</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412</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50"/>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Managed Services</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3,832</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1,391</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6,535</w:t>
            </w:r>
          </w:p>
        </w:tc>
        <w:tc>
          <w:tcPr>
            <w:tcW w:w="1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2,730</w:t>
            </w:r>
          </w:p>
        </w:tc>
        <w:tc>
          <w:tcPr>
            <w:tcW w:w="80" w:type="dxa"/>
            <w:vAlign w:val="bottom"/>
            <w:shd w:val="clear" w:color="auto" w:fill="CCEEFF"/>
          </w:tcPr>
          <w:p>
            <w:pPr>
              <w:spacing w:after="0"/>
              <w:rPr>
                <w:sz w:val="21"/>
                <w:szCs w:val="21"/>
                <w:color w:val="auto"/>
              </w:rPr>
            </w:pPr>
          </w:p>
        </w:tc>
      </w:tr>
      <w:tr>
        <w:trPr>
          <w:trHeight w:val="210"/>
        </w:trPr>
        <w:tc>
          <w:tcPr>
            <w:tcW w:w="5980" w:type="dxa"/>
            <w:vAlign w:val="bottom"/>
            <w:tcBorders>
              <w:top w:val="single" w:sz="8" w:color="CCEEFF"/>
              <w:bottom w:val="single" w:sz="8" w:color="CCEEFF"/>
            </w:tcBorders>
            <w:gridSpan w:val="2"/>
          </w:tcPr>
          <w:p>
            <w:pPr>
              <w:spacing w:after="0" w:line="203" w:lineRule="exact"/>
              <w:rPr>
                <w:sz w:val="20"/>
                <w:szCs w:val="20"/>
                <w:color w:val="auto"/>
              </w:rPr>
            </w:pPr>
            <w:r>
              <w:rPr>
                <w:rFonts w:ascii="Arial" w:cs="Arial" w:eastAsia="Arial" w:hAnsi="Arial"/>
                <w:sz w:val="18"/>
                <w:szCs w:val="18"/>
                <w:color w:val="auto"/>
              </w:rPr>
              <w:t>Total Services</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5,256</w:t>
            </w:r>
          </w:p>
        </w:tc>
        <w:tc>
          <w:tcPr>
            <w:tcW w:w="26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1,981</w:t>
            </w:r>
          </w:p>
        </w:tc>
        <w:tc>
          <w:tcPr>
            <w:tcW w:w="2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9,554</w:t>
            </w:r>
          </w:p>
        </w:tc>
        <w:tc>
          <w:tcPr>
            <w:tcW w:w="2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4,169</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5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63"/>
        </w:trPr>
        <w:tc>
          <w:tcPr>
            <w:tcW w:w="5980" w:type="dxa"/>
            <w:vAlign w:val="bottom"/>
            <w:gridSpan w:val="2"/>
          </w:tcPr>
          <w:p>
            <w:pPr>
              <w:spacing w:after="0"/>
              <w:rPr>
                <w:sz w:val="20"/>
                <w:szCs w:val="20"/>
                <w:color w:val="auto"/>
              </w:rPr>
            </w:pPr>
            <w:r>
              <w:rPr>
                <w:rFonts w:ascii="Arial" w:cs="Arial" w:eastAsia="Arial" w:hAnsi="Arial"/>
                <w:sz w:val="18"/>
                <w:szCs w:val="18"/>
                <w:color w:val="auto"/>
              </w:rPr>
              <w:t>Total Hardware and Services</w:t>
            </w: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10,923</w:t>
            </w: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3,277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21,680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8,281</w:t>
            </w:r>
          </w:p>
        </w:tc>
        <w:tc>
          <w:tcPr>
            <w:tcW w:w="80" w:type="dxa"/>
            <w:vAlign w:val="bottom"/>
          </w:tcPr>
          <w:p>
            <w:pPr>
              <w:spacing w:after="0"/>
              <w:rPr>
                <w:sz w:val="22"/>
                <w:szCs w:val="22"/>
                <w:color w:val="auto"/>
              </w:rPr>
            </w:pPr>
          </w:p>
        </w:tc>
      </w:tr>
      <w:tr>
        <w:trPr>
          <w:trHeight w:val="21"/>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italicized headers within this footnote represent separate performance obligations the Company may sell. When a contract includes more than one such element, the Company bifurcates these performance obligations according to our accounting policy and separately accounts for each.</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System hardware sales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System hardware revenue is recognized generally upon shipment of the product or customer acceptance depending upon contractual arrangements with the customer. When hardware revenue is an element in a multiple-element performance obligation, including those sales in which the Company has bundled installation services, the recognition of system hardware revenue is recognized at completion of the installation services. Shipping charges billed to customers are included in hardware sales and the related shipping costs are included in hardware cost of sales. The cost of freight and shipping to the customer is recognized in cost of sales at the time of transfer of control to the customer. System hardware revenues are classified as “Hardware” within our disaggregated revenue.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 w:name="page13"/>
    <w:bookmarkEnd w:id="12"/>
    <w:p>
      <w:pPr>
        <w:ind w:left="340"/>
        <w:spacing w:after="0"/>
        <w:rPr>
          <w:sz w:val="20"/>
          <w:szCs w:val="20"/>
          <w:color w:val="auto"/>
        </w:rPr>
      </w:pPr>
      <w:r>
        <w:rPr>
          <w:rFonts w:ascii="Arial" w:cs="Arial" w:eastAsia="Arial" w:hAnsi="Arial"/>
          <w:sz w:val="18"/>
          <w:szCs w:val="18"/>
          <w:i w:val="1"/>
          <w:iCs w:val="1"/>
          <w:color w:val="auto"/>
        </w:rPr>
        <w:t>Installation services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performs outsourced installation services for customers and recognizes revenue upon completion of the installations. Installation services also includes engineering services performed as part of an installation project.</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When system hardware sales include installation services to be performed by the Company, the goods and services in the contract are not distinct, so the arrangement is accounted for as a single performance obligation. Our customers control the work-in-process and can make changes to the design specifications over the contract term. Revenues are recognized over time as the installation services are completed based on the relative portion of labor hours completed as a percentage of the budgeted hours for the installation. Installation services revenues are classified as “Installation Services” within our disaggregated revenue.</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aggregate amount of the transaction price allocated to installation service performance obligations that are partially unsatisfied as of June 30, 2022 and 2021 were $0 and $0, respectively.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Software design and development services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Software and software license sales are recognized as revenue when a fixed fee order has been received and delivery has occurred to the customer. Revenue is recognized generally upon customer acceptance (point-in-time) of the software product and verification that it meets the required specifications. Software is delivered to customers electronically. Software design and development revenues are classified as “Software Development Services” within our disaggregated revenue.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Software as a service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Software as a service includes revenue from software licensing and delivery in which software is licensed on a subscription basis and is centrally hosted. These services often include software updates which provide customers with rights to unspecified software product upgrades and maintenance releases and patches released during the term of the support period. Contracts for these services are 12-36 months in length. We account for revenue from these services in accordance with ASC 985-20-15-5 and recognize revenue ratably over the performance period. Software as a service revenues are classified as “Managed Services” within our disaggregated revenue.</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Maintenance and support services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sells maintenance and support services, which include access to technical support personnel for software and hardware troubleshooting and monitoring of the health of a customer’s network, access to a sophisticated web-portal for managing the end-to-end hardware and software digital ecosystem, and hosting support services through our network operations center, or NOC. These services provide either physical or automated remote monitoring which support customer networks 7 days a week, 24 hours a day.</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These contracts are generally 12-36 months in length and generally automatically renew for additional 12-month periods unless cancelled by the customer. Rates for maintenance and support contracts are typically established based upon a fee per location or fee per device structure, with total fees subject to the number of services selected. Revenue is recognized ratably and evenly over the term of the agreement. Maintenance and Support revenues are classified as “Managed Services” within our disaggregated revenue.</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also performs time and materials-based maintenance and repair work for customers. Revenue is recognized at a point in time when the performance obligation has been fully satisfied.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Media Sales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Through the Company’s acquisition of Reflect as a result of the Merger, the Company has the capability to assist its customers with designing, deploying and monetizing, through media services their digital advertising networks. This is executed through both subscription agreements to programmatic advertising content and through direct sales media agreements in which the Company sells ads on behalf of its clients to be deployed on those client networks. The Company and its clients operate these agreements on a revenue share basis. Media sales activities are classified as Services revenues.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auto"/>
        </w:rPr>
        <w:t>NOTE 5: BUSINESS COMBINATION</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November 12, 2021, the Company and Reflect entered into an Agreement and Plan of Merger (as amended on as amended on February 8, 2022, the “Merger Agreement”) pursuant to which a direct, wholly owned subsidiary of Creative Realities, CRI Acquisition Corporation, or “Merger Sub,” would merge with and into Reflect, with Reflect surviving as a wholly owned subsidiary of Creative Realities, and the surviving company of the merger, which transaction is referred to herein as the “Merger.” On February 17, 2022, the parties consummated the Merger.</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Reflect provides digital signage solutions, including software, strategic and media services to a wide range of companies across the retail, financial, hospitality and entertainment, healthcare, and employee communications industries in North America. Reflect offers digital signage platforms, including ReflectView, a platform used by companies to power hundreds of thousands of active digital displays. Through its strategic services, Reflect assists its customers with designing, deploying and optimizing their digital signage networks, and through its media services, Reflect assists customers with monetizing their digital advertising networks.</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Subject to the terms and conditions of the Merger Agreement, upon the closing of the Merger, Reflect stockholders as of the effective time of the Merger collectively received from the Company, in the aggregate, the following Merger consideration: (i) $16,166 payable in cash, (ii) 2,333,334 shares of common stock of Creative Realities (valued based on an issuance price of $2 per share) (the “CREX Shares”), (iii) the Secured Promissory Note (as described below), and (iv) supplemental cash payments (the “Guaranteed Consideration”), if any, payable on or after the three-year anniversary of the effective time of the Merger (subject to the Extension Option described below, the “Guarantee Date”), in an amount by which the value of the CREX Shares on such anniversary is less than $6.40 per share, or if certain customers of Reflect collectively achieve over 85,000 billable devices online at any time on or before December 31, 2022, is less than $7.20 per share (such applicable amount, the “Guaranteed Price”), multiplied by the amount of CREX Shares held by the Reflect stockholders on the Guarantee Date (subject to the Extension Option described below), subject to the terms of the Merger Agreement.</w:t>
      </w:r>
    </w:p>
    <w:p>
      <w:pPr>
        <w:spacing w:after="0" w:line="19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Creative Realities may exercise an extension option (the “Extension Option”) to extend the Guarantee Date from the three-year anniversary of the Closing Date to six (6) months thereafter if (i) the Extension Threshold Price is greater than or equal to 70% of the Guaranteed Price described above, and</w:t>
      </w:r>
    </w:p>
    <w:p>
      <w:pPr>
        <w:jc w:val="both"/>
        <w:ind w:firstLine="8"/>
        <w:spacing w:after="0" w:line="273" w:lineRule="auto"/>
        <w:tabs>
          <w:tab w:leader="none" w:pos="267" w:val="left"/>
        </w:tabs>
        <w:numPr>
          <w:ilvl w:val="0"/>
          <w:numId w:val="3"/>
        </w:numPr>
        <w:rPr>
          <w:rFonts w:ascii="Arial" w:cs="Arial" w:eastAsia="Arial" w:hAnsi="Arial"/>
          <w:sz w:val="17"/>
          <w:szCs w:val="17"/>
          <w:color w:val="auto"/>
        </w:rPr>
      </w:pPr>
      <w:r>
        <w:rPr>
          <w:rFonts w:ascii="Arial" w:cs="Arial" w:eastAsia="Arial" w:hAnsi="Arial"/>
          <w:sz w:val="17"/>
          <w:szCs w:val="17"/>
          <w:color w:val="auto"/>
        </w:rPr>
        <w:t>Creative Realities provides written notice of its election to exercise the Extension Option at least ten (10) days prior to the three-year anniversary of the Closing. The “Extension Threshold Price” means the average closing price per share of Creative Realities Shares as reported on the Nasdaq Capital Market (or NYSE) in the fifteen (15) consecutive trading day period ending fifteen (15) days prior to the three-year anniversary of the Closing Date. If the Extension Threshold Price is less than 80% of the Guaranteed Price, then the Guaranteed Price will be increased by $1.00 per share.</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Retention Bonus Plan</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February 17, 2022, in connection with the closing of the Merger, the Company adopted a Retention Bonus Plan, pursuant to which the Company is required to pay to key members of Reflect’s management team an aggregate of $1,333 in cash, which was paid 50% at the closing of the Merger (the “Closing”), and subject to continuous employment with Reflect or Creative Realities, 25% on the one-year anniversary of Closing and 25% on the two-year anniversary of the Closing. The future cash payments due on the one-year and two-year anniversaries of the Closing have been deposited into an escrow agreement. The Retention Bonus Plan also requires the Company to issue Common Stock having an aggregate value of $667 to the plan participants as follows: 50% of the value of such shares were issued at the Closing, and subject to continuous employment with Reflect or Creative Realities, 25% of the value of such shares will be issued on the one-year anniversary of Closing and the remaining 25% of the value of such shares will be issued on the two-year anniversary of the Closing. The shares issued on the Closing were valued at $2.00 per share, and the shares to be issued after the Closing will be determined based on dividing the value of shares issuable on such date divided by the trailing 10-day volume weighted average price (VWAP) of the shares as of such date as reported on the Nasdaq Capital Market.</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Upon the resignation of a participant’s employment for “good reason,” or termination of the employment of a participant without “cause,” each as defined in the Retention Bonus Plan, the participant will be fully vested and will receive all cash and shares allocated to such participant under the Retention Bonus Plan. Any amounts unpaid by reason of a lapse in continuous employment or otherwise will be reallocated among the remaining Retention Bonus Plan participants.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 w:name="page15"/>
    <w:bookmarkEnd w:id="14"/>
    <w:p>
      <w:pPr>
        <w:ind w:left="340"/>
        <w:spacing w:after="0"/>
        <w:rPr>
          <w:sz w:val="20"/>
          <w:szCs w:val="20"/>
          <w:color w:val="auto"/>
        </w:rPr>
      </w:pPr>
      <w:r>
        <w:rPr>
          <w:rFonts w:ascii="Arial" w:cs="Arial" w:eastAsia="Arial" w:hAnsi="Arial"/>
          <w:sz w:val="18"/>
          <w:szCs w:val="18"/>
          <w:i w:val="1"/>
          <w:iCs w:val="1"/>
          <w:color w:val="auto"/>
        </w:rPr>
        <w:t>Secured Promissory Note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February 17, 2022, pursuant to the terms of the Merger, the Company issued to Stockholders’ Representative a $2,500 Note and Security Agreement (the “Secured Promissory Note”).</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Secured Promissory Note accrues interest at 0.59% (the applicable federal rate) and requires the Company and Reflect to pay equal monthly principal installments of $104 on the fifteenth (15th) day of each month, commencing on March 15, 2022. Any remaining or unpaid principal shall be due and payable on February 17, 2023. All payments under the Secured Promissory Note will be paid to the escrow agent in the Merger Agreement to be placed into the escrow account to secure the Reflect stockholders’ indemnification obligations until released on the one-year anniversary of the closing of the Merger, at which time any remaining proceeds not subject to a pending indemnification claim will be paid to the exchange agent for payment to the Reflect Stockholders. The obligations of the Company and Reflect set forth in the Secured Promissory Note are secured by a first-lien security interest in various contracts of Reflect, together with all accounts arising under such contracts, supporting obligations related to the accounts arising under such contracts, all related books and records, and products and proceeds of the foregoing. Slipstream subordinated its security interest in such collateral, and the recourse for any breach of the Secured Promissory Note by the Company or Reflect will be against such collateral.</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80" w:type="dxa"/>
            <w:vAlign w:val="bottom"/>
            <w:gridSpan w:val="2"/>
          </w:tcPr>
          <w:p>
            <w:pPr>
              <w:ind w:left="660"/>
              <w:spacing w:after="0"/>
              <w:rPr>
                <w:sz w:val="20"/>
                <w:szCs w:val="20"/>
                <w:color w:val="auto"/>
              </w:rPr>
            </w:pPr>
            <w:r>
              <w:rPr>
                <w:rFonts w:ascii="Arial" w:cs="Arial" w:eastAsia="Arial" w:hAnsi="Arial"/>
                <w:sz w:val="18"/>
                <w:szCs w:val="18"/>
                <w:color w:val="auto"/>
              </w:rPr>
              <w:t>The preliminary purchase price of Reflect consisted of the following items:</w:t>
            </w: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52"/>
        </w:trPr>
        <w:tc>
          <w:tcPr>
            <w:tcW w:w="98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360" w:type="dxa"/>
            <w:vAlign w:val="bottom"/>
            <w:gridSpan w:val="4"/>
          </w:tcPr>
          <w:p>
            <w:pPr>
              <w:ind w:left="20"/>
              <w:spacing w:after="0"/>
              <w:rPr>
                <w:sz w:val="20"/>
                <w:szCs w:val="20"/>
                <w:color w:val="auto"/>
              </w:rPr>
            </w:pPr>
            <w:r>
              <w:rPr>
                <w:rFonts w:ascii="Arial" w:cs="Arial" w:eastAsia="Arial" w:hAnsi="Arial"/>
                <w:sz w:val="18"/>
                <w:szCs w:val="18"/>
                <w:b w:val="1"/>
                <w:bCs w:val="1"/>
                <w:color w:val="auto"/>
              </w:rPr>
              <w:t>Consideration</w:t>
            </w:r>
          </w:p>
        </w:tc>
      </w:tr>
      <w:tr>
        <w:trPr>
          <w:trHeight w:val="15"/>
        </w:trPr>
        <w:tc>
          <w:tcPr>
            <w:tcW w:w="9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
                <w:szCs w:val="1"/>
                <w:color w:val="auto"/>
              </w:rPr>
              <w:t>Cash consideration for Reflect stock</w:t>
            </w: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
                <w:sz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
                <w:szCs w:val="1"/>
                <w:color w:val="auto"/>
              </w:rPr>
              <w:t>16,664</w:t>
            </w: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201"/>
        </w:trPr>
        <w:tc>
          <w:tcPr>
            <w:tcW w:w="9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(1)</w:t>
            </w:r>
          </w:p>
        </w:tc>
      </w:tr>
      <w:tr>
        <w:trPr>
          <w:trHeight w:val="216"/>
        </w:trPr>
        <w:tc>
          <w:tcPr>
            <w:tcW w:w="9880" w:type="dxa"/>
            <w:vAlign w:val="bottom"/>
            <w:gridSpan w:val="2"/>
          </w:tcPr>
          <w:p>
            <w:pPr>
              <w:spacing w:after="0"/>
              <w:rPr>
                <w:sz w:val="20"/>
                <w:szCs w:val="20"/>
                <w:color w:val="auto"/>
              </w:rPr>
            </w:pPr>
            <w:r>
              <w:rPr>
                <w:rFonts w:ascii="Arial" w:cs="Arial" w:eastAsia="Arial" w:hAnsi="Arial"/>
                <w:sz w:val="18"/>
                <w:szCs w:val="18"/>
                <w:color w:val="auto"/>
              </w:rPr>
              <w:t>Cash consideration for Retention Bonus Plan</w:t>
            </w:r>
          </w:p>
        </w:tc>
        <w:tc>
          <w:tcPr>
            <w:tcW w:w="360" w:type="dxa"/>
            <w:vAlign w:val="bottom"/>
          </w:tcPr>
          <w:p>
            <w:pPr>
              <w:spacing w:after="0"/>
              <w:rPr>
                <w:sz w:val="18"/>
                <w:szCs w:val="18"/>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1,334</w:t>
            </w:r>
            <w:r>
              <w:rPr>
                <w:rFonts w:ascii="Arial" w:cs="Arial" w:eastAsia="Arial" w:hAnsi="Arial"/>
                <w:sz w:val="14"/>
                <w:szCs w:val="14"/>
                <w:color w:val="auto"/>
              </w:rPr>
              <w:t>(2)</w:t>
            </w:r>
          </w:p>
        </w:tc>
      </w:tr>
      <w:tr>
        <w:trPr>
          <w:trHeight w:val="216"/>
        </w:trPr>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issued to Reflect shareholders</w:t>
            </w:r>
          </w:p>
        </w:tc>
        <w:tc>
          <w:tcPr>
            <w:tcW w:w="3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4,667</w:t>
            </w:r>
            <w:r>
              <w:rPr>
                <w:rFonts w:ascii="Arial" w:cs="Arial" w:eastAsia="Arial" w:hAnsi="Arial"/>
                <w:sz w:val="14"/>
                <w:szCs w:val="14"/>
                <w:color w:val="auto"/>
              </w:rPr>
              <w:t>(3)</w:t>
            </w:r>
          </w:p>
        </w:tc>
      </w:tr>
      <w:tr>
        <w:trPr>
          <w:trHeight w:val="15"/>
        </w:trPr>
        <w:tc>
          <w:tcPr>
            <w:tcW w:w="9880" w:type="dxa"/>
            <w:vAlign w:val="bottom"/>
            <w:gridSpan w:val="2"/>
          </w:tcPr>
          <w:p>
            <w:pPr>
              <w:spacing w:after="0"/>
              <w:rPr>
                <w:sz w:val="20"/>
                <w:szCs w:val="20"/>
                <w:color w:val="auto"/>
              </w:rPr>
            </w:pPr>
            <w:r>
              <w:rPr>
                <w:rFonts w:ascii="Arial" w:cs="Arial" w:eastAsia="Arial" w:hAnsi="Arial"/>
                <w:sz w:val="1"/>
                <w:szCs w:val="1"/>
                <w:color w:val="auto"/>
              </w:rPr>
              <w:t>Common stock issued to Retention Bonus Plan</w:t>
            </w:r>
          </w:p>
        </w:tc>
        <w:tc>
          <w:tcPr>
            <w:tcW w:w="360" w:type="dxa"/>
            <w:vAlign w:val="bottom"/>
          </w:tcPr>
          <w:p>
            <w:pPr>
              <w:spacing w:after="0" w:line="20" w:lineRule="exact"/>
              <w:rPr>
                <w:sz w:val="1"/>
                <w:szCs w:val="1"/>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
                <w:szCs w:val="1"/>
                <w:color w:val="auto"/>
              </w:rPr>
              <w:t>333</w:t>
            </w:r>
          </w:p>
        </w:tc>
        <w:tc>
          <w:tcPr>
            <w:tcW w:w="220" w:type="dxa"/>
            <w:vAlign w:val="bottom"/>
          </w:tcPr>
          <w:p>
            <w:pPr>
              <w:spacing w:after="0" w:line="20" w:lineRule="exact"/>
              <w:rPr>
                <w:sz w:val="1"/>
                <w:szCs w:val="1"/>
                <w:color w:val="auto"/>
              </w:rPr>
            </w:pPr>
          </w:p>
        </w:tc>
      </w:tr>
      <w:tr>
        <w:trPr>
          <w:trHeight w:val="195"/>
        </w:trPr>
        <w:tc>
          <w:tcPr>
            <w:tcW w:w="9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5"/>
                <w:szCs w:val="15"/>
                <w:color w:val="auto"/>
              </w:rPr>
              <w:t>(4)</w:t>
            </w:r>
          </w:p>
        </w:tc>
      </w:tr>
      <w:tr>
        <w:trPr>
          <w:trHeight w:val="222"/>
        </w:trPr>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Secured Promissory Note</w:t>
            </w:r>
          </w:p>
        </w:tc>
        <w:tc>
          <w:tcPr>
            <w:tcW w:w="36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2,500</w:t>
            </w:r>
            <w:r>
              <w:rPr>
                <w:rFonts w:ascii="Arial" w:cs="Arial" w:eastAsia="Arial" w:hAnsi="Arial"/>
                <w:sz w:val="14"/>
                <w:szCs w:val="14"/>
                <w:color w:val="auto"/>
              </w:rPr>
              <w:t>(5)</w:t>
            </w:r>
          </w:p>
        </w:tc>
      </w:tr>
      <w:tr>
        <w:trPr>
          <w:trHeight w:val="237"/>
        </w:trPr>
        <w:tc>
          <w:tcPr>
            <w:tcW w:w="9880" w:type="dxa"/>
            <w:vAlign w:val="bottom"/>
            <w:gridSpan w:val="2"/>
          </w:tcPr>
          <w:p>
            <w:pPr>
              <w:spacing w:after="0"/>
              <w:rPr>
                <w:sz w:val="20"/>
                <w:szCs w:val="20"/>
                <w:color w:val="auto"/>
              </w:rPr>
            </w:pPr>
            <w:r>
              <w:rPr>
                <w:rFonts w:ascii="Arial" w:cs="Arial" w:eastAsia="Arial" w:hAnsi="Arial"/>
                <w:sz w:val="18"/>
                <w:szCs w:val="18"/>
                <w:color w:val="auto"/>
              </w:rPr>
              <w:t>Earnout liability</w:t>
            </w:r>
          </w:p>
        </w:tc>
        <w:tc>
          <w:tcPr>
            <w:tcW w:w="360" w:type="dxa"/>
            <w:vAlign w:val="bottom"/>
          </w:tcPr>
          <w:p>
            <w:pPr>
              <w:spacing w:after="0"/>
              <w:rPr>
                <w:sz w:val="20"/>
                <w:szCs w:val="20"/>
                <w:color w:val="auto"/>
              </w:rPr>
            </w:pPr>
          </w:p>
        </w:tc>
        <w:tc>
          <w:tcPr>
            <w:tcW w:w="1000" w:type="dxa"/>
            <w:vAlign w:val="bottom"/>
            <w:gridSpan w:val="3"/>
          </w:tcPr>
          <w:p>
            <w:pPr>
              <w:jc w:val="right"/>
              <w:ind w:right="60"/>
              <w:spacing w:after="0" w:line="230" w:lineRule="exact"/>
              <w:rPr>
                <w:sz w:val="20"/>
                <w:szCs w:val="20"/>
                <w:color w:val="auto"/>
              </w:rPr>
            </w:pPr>
            <w:r>
              <w:rPr>
                <w:rFonts w:ascii="Arial" w:cs="Arial" w:eastAsia="Arial" w:hAnsi="Arial"/>
                <w:sz w:val="16"/>
                <w:szCs w:val="16"/>
                <w:color w:val="auto"/>
              </w:rPr>
              <w:t>10,862</w:t>
            </w:r>
            <w:r>
              <w:rPr>
                <w:rFonts w:ascii="Arial" w:cs="Arial" w:eastAsia="Arial" w:hAnsi="Arial"/>
                <w:sz w:val="26"/>
                <w:szCs w:val="26"/>
                <w:color w:val="auto"/>
                <w:vertAlign w:val="superscript"/>
              </w:rPr>
              <w:t>(6)</w:t>
            </w:r>
          </w:p>
        </w:tc>
      </w:tr>
      <w:tr>
        <w:trPr>
          <w:trHeight w:val="216"/>
        </w:trPr>
        <w:tc>
          <w:tcPr>
            <w:tcW w:w="98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consideration</w:t>
            </w: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36,360</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r>
      <w:tr>
        <w:trPr>
          <w:trHeight w:val="257"/>
        </w:trPr>
        <w:tc>
          <w:tcPr>
            <w:tcW w:w="9880" w:type="dxa"/>
            <w:vAlign w:val="bottom"/>
            <w:gridSpan w:val="2"/>
          </w:tcPr>
          <w:p>
            <w:pPr>
              <w:spacing w:after="0"/>
              <w:rPr>
                <w:sz w:val="20"/>
                <w:szCs w:val="20"/>
                <w:color w:val="auto"/>
              </w:rPr>
            </w:pPr>
            <w:r>
              <w:rPr>
                <w:rFonts w:ascii="Arial" w:cs="Arial" w:eastAsia="Arial" w:hAnsi="Arial"/>
                <w:sz w:val="18"/>
                <w:szCs w:val="18"/>
                <w:color w:val="auto"/>
              </w:rPr>
              <w:t>Vendor deposit with the Company</w:t>
            </w:r>
          </w:p>
        </w:tc>
        <w:tc>
          <w:tcPr>
            <w:tcW w:w="360" w:type="dxa"/>
            <w:vAlign w:val="bottom"/>
          </w:tcPr>
          <w:p>
            <w:pPr>
              <w:spacing w:after="0"/>
              <w:rPr>
                <w:sz w:val="22"/>
                <w:szCs w:val="22"/>
                <w:color w:val="auto"/>
              </w:rPr>
            </w:pPr>
          </w:p>
        </w:tc>
        <w:tc>
          <w:tcPr>
            <w:tcW w:w="1000" w:type="dxa"/>
            <w:vAlign w:val="bottom"/>
            <w:gridSpan w:val="3"/>
          </w:tcPr>
          <w:p>
            <w:pPr>
              <w:jc w:val="right"/>
              <w:spacing w:after="0" w:line="256" w:lineRule="exact"/>
              <w:rPr>
                <w:sz w:val="20"/>
                <w:szCs w:val="20"/>
                <w:color w:val="auto"/>
              </w:rPr>
            </w:pPr>
            <w:r>
              <w:rPr>
                <w:rFonts w:ascii="Arial" w:cs="Arial" w:eastAsia="Arial" w:hAnsi="Arial"/>
                <w:sz w:val="18"/>
                <w:szCs w:val="18"/>
                <w:color w:val="auto"/>
              </w:rPr>
              <w:t>(818)</w:t>
            </w:r>
            <w:r>
              <w:rPr>
                <w:rFonts w:ascii="Arial" w:cs="Arial" w:eastAsia="Arial" w:hAnsi="Arial"/>
                <w:sz w:val="29"/>
                <w:szCs w:val="29"/>
                <w:color w:val="auto"/>
                <w:vertAlign w:val="superscript"/>
              </w:rPr>
              <w:t>(7)</w:t>
            </w:r>
          </w:p>
        </w:tc>
      </w:tr>
      <w:tr>
        <w:trPr>
          <w:trHeight w:val="290"/>
        </w:trPr>
        <w:tc>
          <w:tcPr>
            <w:tcW w:w="9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acquired</w:t>
            </w:r>
          </w:p>
        </w:tc>
        <w:tc>
          <w:tcPr>
            <w:tcW w:w="360" w:type="dxa"/>
            <w:vAlign w:val="bottom"/>
            <w:shd w:val="clear" w:color="auto" w:fill="CCEEFF"/>
          </w:tcPr>
          <w:p>
            <w:pPr>
              <w:spacing w:after="0"/>
              <w:rPr>
                <w:sz w:val="24"/>
                <w:szCs w:val="24"/>
                <w:color w:val="auto"/>
              </w:rPr>
            </w:pPr>
          </w:p>
        </w:tc>
        <w:tc>
          <w:tcPr>
            <w:tcW w:w="1000" w:type="dxa"/>
            <w:vAlign w:val="bottom"/>
            <w:gridSpan w:val="3"/>
            <w:shd w:val="clear" w:color="auto" w:fill="CCEEFF"/>
          </w:tcPr>
          <w:p>
            <w:pPr>
              <w:jc w:val="right"/>
              <w:spacing w:after="0" w:line="270" w:lineRule="exact"/>
              <w:rPr>
                <w:sz w:val="20"/>
                <w:szCs w:val="20"/>
                <w:color w:val="auto"/>
              </w:rPr>
            </w:pPr>
            <w:r>
              <w:rPr>
                <w:rFonts w:ascii="Arial" w:cs="Arial" w:eastAsia="Arial" w:hAnsi="Arial"/>
                <w:sz w:val="18"/>
                <w:szCs w:val="18"/>
                <w:color w:val="auto"/>
              </w:rPr>
              <w:t>(812)</w:t>
            </w:r>
            <w:r>
              <w:rPr>
                <w:rFonts w:ascii="Arial" w:cs="Arial" w:eastAsia="Arial" w:hAnsi="Arial"/>
                <w:sz w:val="29"/>
                <w:szCs w:val="29"/>
                <w:color w:val="auto"/>
                <w:vertAlign w:val="superscript"/>
              </w:rPr>
              <w:t>(8)</w:t>
            </w:r>
          </w:p>
        </w:tc>
      </w:tr>
      <w:tr>
        <w:trPr>
          <w:trHeight w:val="237"/>
        </w:trPr>
        <w:tc>
          <w:tcPr>
            <w:tcW w:w="98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Net consideration transferred</w:t>
            </w: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34,730</w:t>
            </w:r>
          </w:p>
        </w:tc>
        <w:tc>
          <w:tcPr>
            <w:tcW w:w="20" w:type="dxa"/>
            <w:vAlign w:val="bottom"/>
            <w:tcBorders>
              <w:top w:val="single" w:sz="8" w:color="CCEEFF"/>
              <w:bottom w:val="single" w:sz="8" w:color="auto"/>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r>
      <w:tr>
        <w:trPr>
          <w:trHeight w:val="20"/>
        </w:trPr>
        <w:tc>
          <w:tcPr>
            <w:tcW w:w="9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Cash consideration for outstanding shares of Reflect capital stock per Merger Agreement.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Cash consideration utilized to fund the Retention Bonus Plan per Merger Agreement.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Company common stock issued in exchange for outstanding shares of Reflect capital stock per Merger Agreement.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Company common stock issued to fund the Retention Bonus Plan per Merger Agreement.</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Secured Promissory Note accrues interest at 0.59% (the applicable federal rate) and requires the Company and Reflect to pay equal monthly principal installments of $104 on the fifteenth (15th) day of each month, commencing on March 15, 2022. Any remaining or unpaid principal shall be due and payable on February 17, 2023.</w:t>
      </w:r>
    </w:p>
    <w:p>
      <w:pPr>
        <w:spacing w:after="0" w:line="183" w:lineRule="exact"/>
        <w:rPr>
          <w:rFonts w:ascii="Arial" w:cs="Arial" w:eastAsia="Arial" w:hAnsi="Arial"/>
          <w:sz w:val="18"/>
          <w:szCs w:val="18"/>
          <w:color w:val="auto"/>
        </w:rPr>
      </w:pPr>
    </w:p>
    <w:p>
      <w:pPr>
        <w:jc w:val="both"/>
        <w:ind w:left="340" w:hanging="332"/>
        <w:spacing w:after="0" w:line="291"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an estimate of the fair value of the Guaranteed Consideration as of the Merger, which, if any, is payable on or after the three-year anniversary of the effective time of the Merger (subject to the Extension Option), in an amount by which the value of the CREX Shares on such anniversary is less than $6.40 per share, or if certain customers of Reflect collectively achieve over 85,000 billable devices online at any time on or before December 31, 2022, is less than $7.20 per share (such applicable amount, the “Guaranteed Price”), multiplied by the amount of CREX Shares held by the Reflect stockholders on the Guarantee Date (subject to the Extension Option), subject to the terms of the Merger Agreement. During the three months ended June 30, 2022, the Company’s third party specialist completed valuation of this contingent liability as of the opening balance sheet date, resulting in a measurement period adjustment recorded to increase goodwill and the contingent liability as of February 17, 2022 by $5,262.</w:t>
      </w:r>
    </w:p>
    <w:p>
      <w:pPr>
        <w:spacing w:after="0" w:line="166"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Prior to the Merger, Reflect had engaged the Company on a project and paid the Company a deposit of $818. These amounts reduced consideration paid by the Company in accordance with ASC 805.</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the Reflect cash balance acquired at Closing.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5" w:name="page16"/>
    <w:bookmarkEnd w:id="15"/>
    <w:p>
      <w:pPr>
        <w:jc w:val="both"/>
        <w:ind w:right="20" w:firstLine="648"/>
        <w:spacing w:after="0" w:line="277" w:lineRule="auto"/>
        <w:rPr>
          <w:sz w:val="20"/>
          <w:szCs w:val="20"/>
          <w:color w:val="auto"/>
        </w:rPr>
      </w:pPr>
      <w:r>
        <w:rPr>
          <w:rFonts w:ascii="Arial" w:cs="Arial" w:eastAsia="Arial" w:hAnsi="Arial"/>
          <w:sz w:val="18"/>
          <w:szCs w:val="18"/>
          <w:color w:val="auto"/>
        </w:rPr>
        <w:t>The Company incurred $37 and $428 of direct transaction costs for the three and six months ended June 30, 2022, respectively. These costs are included in deal and transaction expense in the accompanying Condensed Consolidated Statement of Operations.</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Company accounted for the Merger using the acquisition method of accounting. The preliminary allocation of the purchase price is based on estimates of the fair value of assets acquired and liabilities assumed as of February 17, 2022. The Company is continuing to obtain information to determine the acquired assets and liabilities, including tax assets, liabilities and other attributes. The components of the preliminary purchase price allocation, inclusive of measurement period adjustments recorded by the Company during the six months ended June 30, 2022,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0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220" w:type="dxa"/>
            <w:vAlign w:val="bottom"/>
          </w:tcPr>
          <w:p>
            <w:pPr>
              <w:spacing w:after="0"/>
              <w:rPr>
                <w:sz w:val="20"/>
                <w:szCs w:val="20"/>
                <w:color w:val="auto"/>
              </w:rPr>
            </w:pPr>
          </w:p>
        </w:tc>
        <w:tc>
          <w:tcPr>
            <w:tcW w:w="100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216"/>
        </w:trPr>
        <w:tc>
          <w:tcPr>
            <w:tcW w:w="9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Inventory</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196</w:t>
            </w:r>
          </w:p>
        </w:tc>
        <w:tc>
          <w:tcPr>
            <w:tcW w:w="8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&amp; other current assets</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666</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Property and equipment</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right of use assets</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493</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Deferred tax assets, net of valuation allowance</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Identified intangible assets: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Definite-lived trade names</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960</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gridSpan w:val="2"/>
          </w:tcPr>
          <w:p>
            <w:pPr>
              <w:ind w:left="180"/>
              <w:spacing w:after="0"/>
              <w:rPr>
                <w:sz w:val="20"/>
                <w:szCs w:val="20"/>
                <w:color w:val="auto"/>
              </w:rPr>
            </w:pPr>
            <w:r>
              <w:rPr>
                <w:rFonts w:ascii="Arial" w:cs="Arial" w:eastAsia="Arial" w:hAnsi="Arial"/>
                <w:sz w:val="18"/>
                <w:szCs w:val="18"/>
                <w:color w:val="auto"/>
              </w:rPr>
              <w:t>Definite-lived Developed technology</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5,130</w:t>
            </w:r>
          </w:p>
        </w:tc>
        <w:tc>
          <w:tcPr>
            <w:tcW w:w="8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Definite-lived Customer relationships</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11,040</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gridSpan w:val="2"/>
          </w:tcPr>
          <w:p>
            <w:pPr>
              <w:ind w:left="180"/>
              <w:spacing w:after="0"/>
              <w:rPr>
                <w:sz w:val="20"/>
                <w:szCs w:val="20"/>
                <w:color w:val="auto"/>
              </w:rPr>
            </w:pPr>
            <w:r>
              <w:rPr>
                <w:rFonts w:ascii="Arial" w:cs="Arial" w:eastAsia="Arial" w:hAnsi="Arial"/>
                <w:sz w:val="18"/>
                <w:szCs w:val="18"/>
                <w:color w:val="auto"/>
              </w:rPr>
              <w:t>Definite-lived Noncompete agreements</w:t>
            </w: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8"/>
                <w:szCs w:val="18"/>
                <w:color w:val="auto"/>
              </w:rPr>
            </w:pP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18,569</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(96)</w:t>
            </w: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(277)</w:t>
            </w: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Customer deposits</w:t>
            </w:r>
          </w:p>
        </w:tc>
        <w:tc>
          <w:tcPr>
            <w:tcW w:w="22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(1,661)</w:t>
            </w:r>
          </w:p>
        </w:tc>
      </w:tr>
      <w:tr>
        <w:trPr>
          <w:trHeight w:val="216"/>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revenues</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(1,259)</w:t>
            </w: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Current maturities of operating leases</w:t>
            </w:r>
          </w:p>
        </w:tc>
        <w:tc>
          <w:tcPr>
            <w:tcW w:w="22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(277)</w:t>
            </w:r>
          </w:p>
        </w:tc>
      </w:tr>
      <w:tr>
        <w:trPr>
          <w:trHeight w:val="250"/>
        </w:trPr>
        <w:tc>
          <w:tcPr>
            <w:tcW w:w="10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obligations under operating leases</w:t>
            </w:r>
          </w:p>
        </w:tc>
        <w:tc>
          <w:tcPr>
            <w:tcW w:w="22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(216)</w:t>
            </w:r>
          </w:p>
        </w:tc>
      </w:tr>
      <w:tr>
        <w:trPr>
          <w:trHeight w:val="237"/>
        </w:trPr>
        <w:tc>
          <w:tcPr>
            <w:tcW w:w="1002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Net consideration transferred</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34,730</w:t>
            </w:r>
          </w:p>
        </w:tc>
        <w:tc>
          <w:tcPr>
            <w:tcW w:w="20" w:type="dxa"/>
            <w:vAlign w:val="bottom"/>
            <w:tcBorders>
              <w:top w:val="single" w:sz="8" w:color="CCEEFF"/>
              <w:bottom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r>
      <w:tr>
        <w:trPr>
          <w:trHeight w:val="20"/>
        </w:trPr>
        <w:tc>
          <w:tcPr>
            <w:tcW w:w="9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Company engaged a third party valuation specialist to assist in the identification and calculation of the fair value of those separately identifiable intangible assets. Based on an initial draft valuation report, a measurement period adjustment reducing the value of these intangible assets by $4,340 as of the opening balance sheet date, with a corresponding increase in goodwill, was recorded in the three months ended June 30, 2022. A related adjustment to reduce amortization expense by $180 for the three months ended March 31, 2022 was recorded as a period expense in the three months ended June 30, 2022. The Company remains in process of reviewing the valuation report and finalizing its opening balance sheet accounting.</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completed its valuation procedures by asset utilizing the following approaches:</w:t>
      </w:r>
    </w:p>
    <w:p>
      <w:pPr>
        <w:spacing w:after="0" w:line="225" w:lineRule="exact"/>
        <w:rPr>
          <w:sz w:val="20"/>
          <w:szCs w:val="20"/>
          <w:color w:val="auto"/>
        </w:rPr>
      </w:pPr>
    </w:p>
    <w:p>
      <w:pPr>
        <w:jc w:val="both"/>
        <w:ind w:left="980" w:hanging="324"/>
        <w:spacing w:after="0" w:line="263"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Customer relationship asset was estimated using the income approach through a discounted cash flow analysis wherein the cash flows will be based on estimates used to price the Merger. Discount rates were benchmarked with reference to the implied rate of return from the Company’s pricing model and the weighted average cost of capital.</w:t>
      </w:r>
    </w:p>
    <w:p>
      <w:pPr>
        <w:spacing w:after="0" w:line="183"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Trade name asset represents the “Reflect” brand name as marketed primarily as a full services digital software solution, marketed in numerous verticals with the exception of food service. The Company applied the income approach through an excess earnings analysis to determine the fair value of the trade name asset. The Company applied the income approach through a relief-from-royalty analysis to determine the fair value of this asset.</w:t>
      </w:r>
    </w:p>
    <w:p>
      <w:pPr>
        <w:spacing w:after="0" w:line="186"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developed technology assets are primarily comprised of know-how and functionality embedded in Reflect’s proprietary content management applications, which drive currently marketed products and services. The Company applied the income approach through a relief-from-royalty analysis to determine the preliminary fair value of this asset.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6" w:name="page17"/>
    <w:bookmarkEnd w:id="16"/>
    <w:p>
      <w:pPr>
        <w:ind w:right="20" w:firstLine="648"/>
        <w:spacing w:after="0" w:line="277" w:lineRule="auto"/>
        <w:rPr>
          <w:sz w:val="20"/>
          <w:szCs w:val="20"/>
          <w:color w:val="auto"/>
        </w:rPr>
      </w:pPr>
      <w:r>
        <w:rPr>
          <w:rFonts w:ascii="Arial" w:cs="Arial" w:eastAsia="Arial" w:hAnsi="Arial"/>
          <w:sz w:val="18"/>
          <w:szCs w:val="18"/>
          <w:color w:val="auto"/>
        </w:rPr>
        <w:t>The Company is amortizing the identifiable intangible assets on a straight-line basis over the weighted average lives ranging from 2 to 10 years as outlined below.</w:t>
      </w:r>
    </w:p>
    <w:p>
      <w:pPr>
        <w:sectPr>
          <w:pgSz w:w="11900" w:h="16838" w:orient="portrait"/>
          <w:cols w:equalWidth="0" w:num="1">
            <w:col w:w="11240"/>
          </w:cols>
          <w:pgMar w:left="320" w:top="881" w:right="339" w:bottom="1440" w:gutter="0" w:footer="0" w:header="0"/>
        </w:sectPr>
      </w:pP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table below sets forth the preliminary valuation and amortization period of identifiable intangible assets: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42607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4260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Identifiable definite-lived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Trade names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Developed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Noncompete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Customer relationships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797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8" w:lineRule="exact"/>
        <w:rPr>
          <w:sz w:val="20"/>
          <w:szCs w:val="20"/>
          <w:color w:val="auto"/>
        </w:rPr>
      </w:pPr>
    </w:p>
    <w:p>
      <w:pPr>
        <w:spacing w:after="0" w:line="1" w:lineRule="exact"/>
        <w:rPr>
          <w:sz w:val="1"/>
          <w:szCs w:val="1"/>
          <w:color w:val="auto"/>
        </w:rPr>
      </w:pPr>
    </w:p>
    <w:tbl>
      <w:tblPr>
        <w:tblLayout w:type="fixed"/>
        <w:tblInd w:w="5"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rPr>
              <w:t>Preliminary</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4"/>
              </w:rPr>
              <w:t>Amortization</w:t>
            </w:r>
          </w:p>
        </w:tc>
      </w:tr>
      <w:tr>
        <w:trPr>
          <w:trHeight w:val="241"/>
        </w:trPr>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Valuation</w:t>
            </w:r>
          </w:p>
        </w:tc>
        <w:tc>
          <w:tcPr>
            <w:tcW w:w="220" w:type="dxa"/>
            <w:vAlign w:val="bottom"/>
            <w:gridSpan w:val="2"/>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Period</w:t>
            </w:r>
          </w:p>
        </w:tc>
      </w:tr>
      <w:tr>
        <w:trPr>
          <w:trHeight w:val="418"/>
        </w:trPr>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960</w:t>
            </w:r>
          </w:p>
        </w:tc>
        <w:tc>
          <w:tcPr>
            <w:tcW w:w="1120" w:type="dxa"/>
            <w:vAlign w:val="bottom"/>
          </w:tcPr>
          <w:p>
            <w:pPr>
              <w:jc w:val="center"/>
              <w:ind w:left="10"/>
              <w:spacing w:after="0"/>
              <w:rPr>
                <w:sz w:val="20"/>
                <w:szCs w:val="20"/>
                <w:color w:val="auto"/>
              </w:rPr>
            </w:pPr>
            <w:r>
              <w:rPr>
                <w:rFonts w:ascii="Arial" w:cs="Arial" w:eastAsia="Arial" w:hAnsi="Arial"/>
                <w:sz w:val="18"/>
                <w:szCs w:val="18"/>
                <w:color w:val="auto"/>
                <w:w w:val="84"/>
              </w:rPr>
              <w:t>5 years</w:t>
            </w:r>
          </w:p>
        </w:tc>
      </w:tr>
      <w:tr>
        <w:trPr>
          <w:trHeight w:val="216"/>
        </w:trPr>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5,130</w:t>
            </w:r>
          </w:p>
        </w:tc>
        <w:tc>
          <w:tcPr>
            <w:tcW w:w="200" w:type="dxa"/>
            <w:vAlign w:val="bottom"/>
          </w:tcPr>
          <w:p>
            <w:pPr>
              <w:spacing w:after="0"/>
              <w:rPr>
                <w:sz w:val="18"/>
                <w:szCs w:val="18"/>
                <w:color w:val="auto"/>
              </w:rPr>
            </w:pPr>
          </w:p>
        </w:tc>
        <w:tc>
          <w:tcPr>
            <w:tcW w:w="1120" w:type="dxa"/>
            <w:vAlign w:val="bottom"/>
          </w:tcPr>
          <w:p>
            <w:pPr>
              <w:jc w:val="center"/>
              <w:ind w:left="30"/>
              <w:spacing w:after="0"/>
              <w:rPr>
                <w:sz w:val="20"/>
                <w:szCs w:val="20"/>
                <w:color w:val="auto"/>
              </w:rPr>
            </w:pPr>
            <w:r>
              <w:rPr>
                <w:rFonts w:ascii="Arial" w:cs="Arial" w:eastAsia="Arial" w:hAnsi="Arial"/>
                <w:sz w:val="18"/>
                <w:szCs w:val="18"/>
                <w:color w:val="auto"/>
                <w:w w:val="86"/>
              </w:rPr>
              <w:t>10 years</w:t>
            </w:r>
          </w:p>
        </w:tc>
      </w:tr>
      <w:tr>
        <w:trPr>
          <w:trHeight w:val="216"/>
        </w:trPr>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8"/>
                <w:szCs w:val="18"/>
                <w:color w:val="auto"/>
              </w:rPr>
            </w:pPr>
          </w:p>
        </w:tc>
        <w:tc>
          <w:tcPr>
            <w:tcW w:w="1120" w:type="dxa"/>
            <w:vAlign w:val="bottom"/>
          </w:tcPr>
          <w:p>
            <w:pPr>
              <w:jc w:val="center"/>
              <w:ind w:left="10"/>
              <w:spacing w:after="0"/>
              <w:rPr>
                <w:sz w:val="20"/>
                <w:szCs w:val="20"/>
                <w:color w:val="auto"/>
              </w:rPr>
            </w:pPr>
            <w:r>
              <w:rPr>
                <w:rFonts w:ascii="Arial" w:cs="Arial" w:eastAsia="Arial" w:hAnsi="Arial"/>
                <w:sz w:val="18"/>
                <w:szCs w:val="18"/>
                <w:color w:val="auto"/>
                <w:w w:val="84"/>
              </w:rPr>
              <w:t>2 years</w:t>
            </w:r>
          </w:p>
        </w:tc>
      </w:tr>
      <w:tr>
        <w:trPr>
          <w:trHeight w:val="251"/>
        </w:trPr>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11,040</w:t>
            </w:r>
          </w:p>
        </w:tc>
        <w:tc>
          <w:tcPr>
            <w:tcW w:w="200" w:type="dxa"/>
            <w:vAlign w:val="bottom"/>
          </w:tcPr>
          <w:p>
            <w:pPr>
              <w:spacing w:after="0"/>
              <w:rPr>
                <w:sz w:val="21"/>
                <w:szCs w:val="21"/>
                <w:color w:val="auto"/>
              </w:rPr>
            </w:pPr>
          </w:p>
        </w:tc>
        <w:tc>
          <w:tcPr>
            <w:tcW w:w="1120" w:type="dxa"/>
            <w:vAlign w:val="bottom"/>
          </w:tcPr>
          <w:p>
            <w:pPr>
              <w:jc w:val="center"/>
              <w:ind w:left="30"/>
              <w:spacing w:after="0"/>
              <w:rPr>
                <w:sz w:val="20"/>
                <w:szCs w:val="20"/>
                <w:color w:val="auto"/>
              </w:rPr>
            </w:pPr>
            <w:r>
              <w:rPr>
                <w:rFonts w:ascii="Arial" w:cs="Arial" w:eastAsia="Arial" w:hAnsi="Arial"/>
                <w:sz w:val="18"/>
                <w:szCs w:val="18"/>
                <w:color w:val="auto"/>
                <w:w w:val="86"/>
              </w:rPr>
              <w:t>10 years</w:t>
            </w:r>
          </w:p>
        </w:tc>
      </w:tr>
    </w:tbl>
    <w:p>
      <w:pPr>
        <w:spacing w:after="0" w:line="13" w:lineRule="exact"/>
        <w:rPr>
          <w:sz w:val="20"/>
          <w:szCs w:val="20"/>
          <w:color w:val="auto"/>
        </w:rPr>
      </w:pPr>
    </w:p>
    <w:p>
      <w:pPr>
        <w:ind w:left="645" w:hanging="645"/>
        <w:spacing w:after="0"/>
        <w:tabs>
          <w:tab w:leader="none" w:pos="645" w:val="left"/>
        </w:tabs>
        <w:numPr>
          <w:ilvl w:val="0"/>
          <w:numId w:val="6"/>
        </w:numPr>
        <w:rPr>
          <w:rFonts w:ascii="Arial" w:cs="Arial" w:eastAsia="Arial" w:hAnsi="Arial"/>
          <w:sz w:val="18"/>
          <w:szCs w:val="18"/>
          <w:color w:val="auto"/>
        </w:rPr>
      </w:pPr>
      <w:r>
        <w:rPr>
          <w:rFonts w:ascii="Arial" w:cs="Arial" w:eastAsia="Arial" w:hAnsi="Arial"/>
          <w:sz w:val="18"/>
          <w:szCs w:val="18"/>
          <w:color w:val="auto"/>
        </w:rPr>
        <w:t>17,160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200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00" w:space="175"/>
            <w:col w:w="2565"/>
          </w:cols>
          <w:pgMar w:left="320" w:top="881" w:right="339" w:bottom="1440" w:gutter="0" w:footer="0" w:header="0"/>
          <w:type w:val="continuous"/>
        </w:sectPr>
      </w:pPr>
    </w:p>
    <w:p>
      <w:pPr>
        <w:spacing w:after="0" w:line="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estimated the preliminary fair value of the acquired property, plant and equipment using a combination of the cost and market approaches, depending on the component. The preliminary fair value of such property, plant and equipment is $96.</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excess of the purchase price over the preliminary estimated fair value of the tangible net assets and identifiable intangible assets acquired was recorded as goodwill and is subject to change upon final valuation. The factors contributing to the recognition of the amount of goodwill are based on several strategic and synergistic benefits that are expected to be realized from the Merger. These benefits include a comprehensive portfolio of iconic customer brands, complementary product offerings, enhanced national footprint, and attractive synergy opportunities and value creation. None of the goodwill is expected to be deductible for income tax purposes.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unaudited pro forma information presents the combined financial results for the Company and Reflect as if the Merger had been completed at the beginning of the Company’s prior year, January 1, 2021.</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i w:val="1"/>
                <w:iCs w:val="1"/>
                <w:color w:val="auto"/>
              </w:rPr>
              <w:t>(in thousands, except earnings per common share)</w:t>
            </w: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Borders>
              <w:bottom w:val="single" w:sz="8" w:color="CCEEFF"/>
            </w:tcBorders>
          </w:tcPr>
          <w:p>
            <w:pPr>
              <w:spacing w:after="0"/>
              <w:rPr>
                <w:sz w:val="20"/>
                <w:szCs w:val="20"/>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30,680</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Net income/(loss)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799</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common share</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r>
      <w:tr>
        <w:trPr>
          <w:trHeight w:val="414"/>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Three Months</w:t>
            </w:r>
          </w:p>
        </w:tc>
        <w:tc>
          <w:tcPr>
            <w:tcW w:w="100" w:type="dxa"/>
            <w:vAlign w:val="bottom"/>
          </w:tcPr>
          <w:p>
            <w:pPr>
              <w:spacing w:after="0"/>
              <w:rPr>
                <w:sz w:val="24"/>
                <w:szCs w:val="2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Six Months</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Ended</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June 30,</w:t>
            </w:r>
          </w:p>
        </w:tc>
      </w:tr>
      <w:tr>
        <w:trPr>
          <w:trHeight w:val="241"/>
        </w:trPr>
        <w:tc>
          <w:tcPr>
            <w:tcW w:w="86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84"/>
              </w:rPr>
              <w:t>6,266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13,707</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680" w:type="dxa"/>
            <w:vAlign w:val="bottom"/>
            <w:gridSpan w:val="2"/>
          </w:tcPr>
          <w:p>
            <w:pPr>
              <w:spacing w:after="0"/>
              <w:rPr>
                <w:sz w:val="20"/>
                <w:szCs w:val="20"/>
                <w:color w:val="auto"/>
              </w:rPr>
            </w:pPr>
            <w:r>
              <w:rPr>
                <w:rFonts w:ascii="Arial" w:cs="Arial" w:eastAsia="Arial" w:hAnsi="Arial"/>
                <w:sz w:val="18"/>
                <w:szCs w:val="18"/>
                <w:color w:val="auto"/>
              </w:rPr>
              <w:t>Net income/(loss)</w:t>
            </w:r>
          </w:p>
        </w:tc>
        <w:tc>
          <w:tcPr>
            <w:tcW w:w="1220" w:type="dxa"/>
            <w:vAlign w:val="bottom"/>
            <w:gridSpan w:val="2"/>
          </w:tcPr>
          <w:p>
            <w:pPr>
              <w:ind w:left="720"/>
              <w:spacing w:after="0"/>
              <w:rPr>
                <w:sz w:val="20"/>
                <w:szCs w:val="20"/>
                <w:color w:val="auto"/>
              </w:rPr>
            </w:pPr>
            <w:r>
              <w:rPr>
                <w:rFonts w:ascii="Arial" w:cs="Arial" w:eastAsia="Arial" w:hAnsi="Arial"/>
                <w:sz w:val="18"/>
                <w:szCs w:val="18"/>
                <w:color w:val="auto"/>
              </w:rPr>
              <w:t>1,141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2,175</w:t>
            </w:r>
          </w:p>
        </w:tc>
      </w:tr>
    </w:tbl>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information above does not include the pro forma adjustments that would be required under Regulation S-X for pro forma financial information and does not reflect future events that may occur after December 31, 2021 or any operating efficiencies or inefficiencies that may result from the Merger and related financings. Therefore, the information is not necessarily indicative of results that would have been achieved had the businesses been combined during the periods presented or the results that the Company will experience going forward. We have not included disaggregated information for Reflect on a standalone basis in the current year for either revenue or net income as the integration activities undertaken by the Company have prevented this information from being useful to financial statement readers.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auto"/>
        </w:rPr>
        <w:t>NOTE 6: FAIR VALUE MEASUREMENT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measure certain financial assets, including cash equivalents, at fair value on a recurring basis. In accordance with ASC 820-10-30, fair value is a market-based measurement that should be determined based on the assumptions that market participants would use in pricing an asset or liability. As a basis for considering such assumptions, ASC 820-10-35 establishes a three-level hierarchy that prioritizes the inputs used in measuring fair value. The three hierarchy levels are defined as follows: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Valuations based on unadjusted quoted prices in active markets for identical assets.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Level 2 — Valuations based on observable inputs (other than Level 1 prices), such as quoted prices for similar assets at the measurement date; quoted prices in markets that are not active; or other inputs that are observable, either directly or indirectly.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Level 3 — Valuations based on inputs that are unobservable and involve management judgment and the reporting entity’s own assumptions about market participants and pricing.</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As discussed in Note 5 </w:t>
      </w:r>
      <w:r>
        <w:rPr>
          <w:rFonts w:ascii="Arial" w:cs="Arial" w:eastAsia="Arial" w:hAnsi="Arial"/>
          <w:sz w:val="17"/>
          <w:szCs w:val="17"/>
          <w:i w:val="1"/>
          <w:iCs w:val="1"/>
          <w:color w:val="auto"/>
        </w:rPr>
        <w:t>Business Combinations</w:t>
      </w:r>
      <w:r>
        <w:rPr>
          <w:rFonts w:ascii="Arial" w:cs="Arial" w:eastAsia="Arial" w:hAnsi="Arial"/>
          <w:sz w:val="17"/>
          <w:szCs w:val="17"/>
          <w:color w:val="auto"/>
        </w:rPr>
        <w:t>, the calculation of the fair value of the Guaranteed Consideration contains inputs which are unobservable and involve management judgment and are considered Level 3 estimates. Additionally, the separately identifiable intangible assets rely on a discounted cash flow model which utilizes inputs including the calculation of the weighted average cost of capital and management’s forecast of future financial performance which are unobservable and involve management judgment and are considered Level 3 estimates.</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As discussed in Note 8 </w:t>
      </w:r>
      <w:r>
        <w:rPr>
          <w:rFonts w:ascii="Arial" w:cs="Arial" w:eastAsia="Arial" w:hAnsi="Arial"/>
          <w:sz w:val="18"/>
          <w:szCs w:val="18"/>
          <w:i w:val="1"/>
          <w:iCs w:val="1"/>
          <w:color w:val="auto"/>
        </w:rPr>
        <w:t>Intangible Assets, Including Goodwill</w:t>
      </w:r>
      <w:r>
        <w:rPr>
          <w:rFonts w:ascii="Arial" w:cs="Arial" w:eastAsia="Arial" w:hAnsi="Arial"/>
          <w:sz w:val="18"/>
          <w:szCs w:val="18"/>
          <w:color w:val="auto"/>
        </w:rPr>
        <w:t>, the calculation of the weighted average cost of capital and management’s forecast of future financial performance utilized within our discounted cash flow model for the impairment of goodwill contains inputs which are unobservable and involve management judgment and are considered Level 3 estimates.</w:t>
      </w:r>
    </w:p>
    <w:p>
      <w:pPr>
        <w:spacing w:after="0" w:line="184"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 xml:space="preserve">As discussed in Note 9 </w:t>
      </w:r>
      <w:r>
        <w:rPr>
          <w:rFonts w:ascii="Arial" w:cs="Arial" w:eastAsia="Arial" w:hAnsi="Arial"/>
          <w:sz w:val="18"/>
          <w:szCs w:val="18"/>
          <w:i w:val="1"/>
          <w:iCs w:val="1"/>
          <w:color w:val="auto"/>
        </w:rPr>
        <w:t>Loans Payable</w:t>
      </w:r>
      <w:r>
        <w:rPr>
          <w:rFonts w:ascii="Arial" w:cs="Arial" w:eastAsia="Arial" w:hAnsi="Arial"/>
          <w:sz w:val="18"/>
          <w:szCs w:val="18"/>
          <w:color w:val="auto"/>
        </w:rPr>
        <w:t>, the Convertible Loan was reported at fair value. This liability is deemed to be a Level 3 valuation. Certain unobservable inputs into the calculation of the fair value of this liability include an estimate of the fair value of the Company at a future date using a discounted cash flow model, discount rate assumptions, and an estimation of the likelihood of conversion of the Convertible Loan. The Convertible Loan was refinanced into the Consolidation Term Loan in February 2022.</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As discussed in Note 12 </w:t>
      </w:r>
      <w:r>
        <w:rPr>
          <w:rFonts w:ascii="Arial" w:cs="Arial" w:eastAsia="Arial" w:hAnsi="Arial"/>
          <w:sz w:val="18"/>
          <w:szCs w:val="18"/>
          <w:i w:val="1"/>
          <w:iCs w:val="1"/>
          <w:color w:val="auto"/>
        </w:rPr>
        <w:t>Warrants</w:t>
      </w:r>
      <w:r>
        <w:rPr>
          <w:rFonts w:ascii="Arial" w:cs="Arial" w:eastAsia="Arial" w:hAnsi="Arial"/>
          <w:sz w:val="18"/>
          <w:szCs w:val="18"/>
          <w:color w:val="auto"/>
        </w:rPr>
        <w:t>, the calculation of the fair value of the warranty liability contains valuation inputs which are based on observable inputs (other than Level 1 prices) and are considered Level 2 estimates. The liability warrants were converted to equity warrants effective June 30,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SUPPLEMENTAL CASH FLOW STATEMENT INFORMATION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20" w:type="dxa"/>
            <w:vAlign w:val="bottom"/>
            <w:gridSpan w:val="5"/>
          </w:tcPr>
          <w:p>
            <w:pPr>
              <w:ind w:left="280"/>
              <w:spacing w:after="0"/>
              <w:rPr>
                <w:sz w:val="20"/>
                <w:szCs w:val="20"/>
                <w:color w:val="auto"/>
              </w:rPr>
            </w:pPr>
            <w:r>
              <w:rPr>
                <w:rFonts w:ascii="Arial" w:cs="Arial" w:eastAsia="Arial" w:hAnsi="Arial"/>
                <w:sz w:val="18"/>
                <w:szCs w:val="18"/>
                <w:b w:val="1"/>
                <w:bCs w:val="1"/>
                <w:color w:val="auto"/>
              </w:rPr>
              <w:t>Six Months Ended</w:t>
            </w:r>
          </w:p>
        </w:tc>
      </w:tr>
      <w:tr>
        <w:trPr>
          <w:trHeight w:val="241"/>
        </w:trPr>
        <w:tc>
          <w:tcPr>
            <w:tcW w:w="29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29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189"/>
        </w:trPr>
        <w:tc>
          <w:tcPr>
            <w:tcW w:w="2920" w:type="dxa"/>
            <w:vAlign w:val="bottom"/>
            <w:tcBorders>
              <w:bottom w:val="single" w:sz="8" w:color="auto"/>
            </w:tcBorders>
          </w:tcPr>
          <w:p>
            <w:pPr>
              <w:spacing w:after="0" w:line="189" w:lineRule="exact"/>
              <w:rPr>
                <w:sz w:val="20"/>
                <w:szCs w:val="20"/>
                <w:color w:val="auto"/>
              </w:rPr>
            </w:pPr>
            <w:r>
              <w:rPr>
                <w:rFonts w:ascii="Arial" w:cs="Arial" w:eastAsia="Arial" w:hAnsi="Arial"/>
                <w:sz w:val="18"/>
                <w:szCs w:val="18"/>
                <w:b w:val="1"/>
                <w:bCs w:val="1"/>
                <w:color w:val="auto"/>
                <w:w w:val="91"/>
              </w:rPr>
              <w:t>Supplemental Cash Flow Information</w:t>
            </w:r>
          </w:p>
        </w:tc>
        <w:tc>
          <w:tcPr>
            <w:tcW w:w="19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7"/>
        </w:trPr>
        <w:tc>
          <w:tcPr>
            <w:tcW w:w="4840" w:type="dxa"/>
            <w:vAlign w:val="bottom"/>
            <w:gridSpan w:val="2"/>
          </w:tcPr>
          <w:p>
            <w:pPr>
              <w:spacing w:after="0"/>
              <w:rPr>
                <w:sz w:val="20"/>
                <w:szCs w:val="20"/>
                <w:color w:val="auto"/>
              </w:rPr>
            </w:pPr>
            <w:r>
              <w:rPr>
                <w:rFonts w:ascii="Arial" w:cs="Arial" w:eastAsia="Arial" w:hAnsi="Arial"/>
                <w:sz w:val="18"/>
                <w:szCs w:val="18"/>
                <w:color w:val="auto"/>
              </w:rPr>
              <w:t>Cash paid during the period for:</w:t>
            </w:r>
          </w:p>
        </w:tc>
        <w:tc>
          <w:tcPr>
            <w:tcW w:w="3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w:t>
            </w:r>
          </w:p>
        </w:tc>
        <w:tc>
          <w:tcPr>
            <w:tcW w:w="4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656</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840" w:type="dxa"/>
            <w:vAlign w:val="bottom"/>
            <w:gridSpan w:val="2"/>
          </w:tcPr>
          <w:p>
            <w:pPr>
              <w:ind w:left="180"/>
              <w:spacing w:after="0"/>
              <w:rPr>
                <w:sz w:val="20"/>
                <w:szCs w:val="20"/>
                <w:color w:val="auto"/>
              </w:rPr>
            </w:pPr>
            <w:r>
              <w:rPr>
                <w:rFonts w:ascii="Arial" w:cs="Arial" w:eastAsia="Arial" w:hAnsi="Arial"/>
                <w:sz w:val="18"/>
                <w:szCs w:val="18"/>
                <w:color w:val="auto"/>
              </w:rPr>
              <w:t>Income taxes, net</w:t>
            </w:r>
          </w:p>
        </w:tc>
        <w:tc>
          <w:tcPr>
            <w:tcW w:w="4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44</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r>
      <w:tr>
        <w:trPr>
          <w:trHeight w:val="216"/>
        </w:trPr>
        <w:tc>
          <w:tcPr>
            <w:tcW w:w="29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40" w:type="dxa"/>
            <w:vAlign w:val="bottom"/>
            <w:gridSpan w:val="2"/>
          </w:tcPr>
          <w:p>
            <w:pPr>
              <w:spacing w:after="0"/>
              <w:rPr>
                <w:sz w:val="20"/>
                <w:szCs w:val="20"/>
                <w:color w:val="auto"/>
              </w:rPr>
            </w:pPr>
            <w:r>
              <w:rPr>
                <w:rFonts w:ascii="Arial" w:cs="Arial" w:eastAsia="Arial" w:hAnsi="Arial"/>
                <w:sz w:val="18"/>
                <w:szCs w:val="18"/>
                <w:color w:val="auto"/>
              </w:rPr>
              <w:t>Supplemental disclosure of non-cash financing activities:</w:t>
            </w:r>
          </w:p>
        </w:tc>
        <w:tc>
          <w:tcPr>
            <w:tcW w:w="3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Conversion of liability warrants to equity warrants</w:t>
            </w:r>
          </w:p>
        </w:tc>
        <w:tc>
          <w:tcPr>
            <w:tcW w:w="4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5,709</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655"/>
        </w:trPr>
        <w:tc>
          <w:tcPr>
            <w:tcW w:w="29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jc w:val="right"/>
              <w:ind w:right="2870"/>
              <w:spacing w:after="0"/>
              <w:rPr>
                <w:sz w:val="20"/>
                <w:szCs w:val="20"/>
                <w:color w:val="auto"/>
              </w:rPr>
            </w:pPr>
            <w:r>
              <w:rPr>
                <w:rFonts w:ascii="Arial" w:cs="Arial" w:eastAsia="Arial" w:hAnsi="Arial"/>
                <w:sz w:val="18"/>
                <w:szCs w:val="18"/>
                <w:color w:val="auto"/>
              </w:rPr>
              <w:t>17</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auto"/>
        </w:rPr>
        <w:t>NOTE 8: INTANGIBLE ASSETS, INCLUDING 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consisted of the following at June 30, 2022 and December 31,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80" w:type="dxa"/>
            <w:vAlign w:val="bottom"/>
            <w:gridSpan w:val="4"/>
          </w:tcPr>
          <w:p>
            <w:pPr>
              <w:jc w:val="right"/>
              <w:ind w:right="1140"/>
              <w:spacing w:after="0"/>
              <w:rPr>
                <w:sz w:val="20"/>
                <w:szCs w:val="20"/>
                <w:color w:val="auto"/>
              </w:rPr>
            </w:pPr>
            <w:r>
              <w:rPr>
                <w:rFonts w:ascii="Arial" w:cs="Arial" w:eastAsia="Arial" w:hAnsi="Arial"/>
                <w:sz w:val="18"/>
                <w:szCs w:val="18"/>
                <w:b w:val="1"/>
                <w:bCs w:val="1"/>
                <w:color w:val="auto"/>
              </w:rPr>
              <w:t>June 30,</w:t>
            </w:r>
          </w:p>
        </w:tc>
        <w:tc>
          <w:tcPr>
            <w:tcW w:w="140" w:type="dxa"/>
            <w:vAlign w:val="bottom"/>
          </w:tcPr>
          <w:p>
            <w:pPr>
              <w:spacing w:after="0"/>
              <w:rPr>
                <w:sz w:val="18"/>
                <w:szCs w:val="18"/>
                <w:color w:val="auto"/>
              </w:rPr>
            </w:pPr>
          </w:p>
        </w:tc>
        <w:tc>
          <w:tcPr>
            <w:tcW w:w="2400" w:type="dxa"/>
            <w:vAlign w:val="bottom"/>
            <w:gridSpan w:val="4"/>
          </w:tcPr>
          <w:p>
            <w:pPr>
              <w:ind w:left="54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59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3"/>
          </w:tcPr>
          <w:p>
            <w:pPr>
              <w:jc w:val="right"/>
              <w:ind w:right="9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3"/>
          </w:tcPr>
          <w:p>
            <w:pPr>
              <w:jc w:val="right"/>
              <w:ind w:right="9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198"/>
        </w:trPr>
        <w:tc>
          <w:tcPr>
            <w:tcW w:w="5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84"/>
              </w:rPr>
              <w:t>Gross</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84"/>
              </w:rPr>
              <w:t>Gross</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9"/>
        </w:trPr>
        <w:tc>
          <w:tcPr>
            <w:tcW w:w="5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7"/>
              </w:rPr>
              <w:t>Carrying</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1"/>
              </w:rPr>
              <w:t>Accumulated</w:t>
            </w:r>
          </w:p>
        </w:tc>
        <w:tc>
          <w:tcPr>
            <w:tcW w:w="140" w:type="dxa"/>
            <w:vAlign w:val="bottom"/>
          </w:tcPr>
          <w:p>
            <w:pPr>
              <w:spacing w:after="0"/>
              <w:rPr>
                <w:sz w:val="19"/>
                <w:szCs w:val="19"/>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7"/>
              </w:rPr>
              <w:t>Carrying</w:t>
            </w: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Accumulated</w:t>
            </w:r>
          </w:p>
        </w:tc>
      </w:tr>
      <w:tr>
        <w:trPr>
          <w:trHeight w:val="241"/>
        </w:trPr>
        <w:tc>
          <w:tcPr>
            <w:tcW w:w="5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Amount</w:t>
            </w:r>
          </w:p>
        </w:tc>
        <w:tc>
          <w:tcPr>
            <w:tcW w:w="13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6"/>
              </w:rPr>
              <w:t>Amortization</w:t>
            </w:r>
          </w:p>
        </w:tc>
        <w:tc>
          <w:tcPr>
            <w:tcW w:w="14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Amount</w:t>
            </w: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Amortization</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Technology platform</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9,765</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4,635</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Purchased and developed software</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4,108</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3,029</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3,488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2,713</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In-Process internally developed software platform</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2,532</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15,000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2,153</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3,960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1,692</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Non-compete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6"/>
        </w:trPr>
        <w:tc>
          <w:tcPr>
            <w:tcW w:w="5980" w:type="dxa"/>
            <w:vAlign w:val="bottom"/>
          </w:tcPr>
          <w:p>
            <w:pPr>
              <w:spacing w:after="0"/>
              <w:rPr>
                <w:sz w:val="20"/>
                <w:szCs w:val="20"/>
                <w:color w:val="auto"/>
              </w:rPr>
            </w:pPr>
            <w:r>
              <w:rPr>
                <w:rFonts w:ascii="Arial" w:cs="Arial" w:eastAsia="Arial" w:hAnsi="Arial"/>
                <w:sz w:val="18"/>
                <w:szCs w:val="18"/>
                <w:color w:val="auto"/>
              </w:rPr>
              <w:t>Trademarks and trade names</w:t>
            </w:r>
          </w:p>
        </w:tc>
        <w:tc>
          <w:tcPr>
            <w:tcW w:w="14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1,600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712</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640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640</w:t>
            </w:r>
          </w:p>
        </w:tc>
      </w:tr>
      <w:tr>
        <w:trPr>
          <w:trHeight w:val="236"/>
        </w:trPr>
        <w:tc>
          <w:tcPr>
            <w:tcW w:w="59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33,035</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9,808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13,547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23"/>
        </w:trPr>
        <w:tc>
          <w:tcPr>
            <w:tcW w:w="5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Accumulated amortization</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9,808</w:t>
            </w:r>
          </w:p>
        </w:tc>
        <w:tc>
          <w:tcPr>
            <w:tcW w:w="26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8,697</w:t>
            </w:r>
          </w:p>
        </w:tc>
        <w:tc>
          <w:tcPr>
            <w:tcW w:w="2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5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book value of amortizable intangible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23,227</w:t>
            </w:r>
          </w:p>
        </w:tc>
        <w:tc>
          <w:tcPr>
            <w:tcW w:w="1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4,850</w:t>
            </w: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On February 17, 2022, the Company added intangible assets as a result of accounting for the Merger in accordance with ASC 805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Combinations</w:t>
      </w:r>
      <w:r>
        <w:rPr>
          <w:rFonts w:ascii="Arial" w:cs="Arial" w:eastAsia="Arial" w:hAnsi="Arial"/>
          <w:sz w:val="18"/>
          <w:szCs w:val="18"/>
          <w:color w:val="auto"/>
        </w:rPr>
        <w:t>, as outlined in Note 5</w:t>
      </w:r>
      <w:r>
        <w:rPr>
          <w:rFonts w:ascii="Arial" w:cs="Arial" w:eastAsia="Arial" w:hAnsi="Arial"/>
          <w:sz w:val="18"/>
          <w:szCs w:val="18"/>
          <w:i w:val="1"/>
          <w:iCs w:val="1"/>
          <w:color w:val="auto"/>
        </w:rPr>
        <w:t xml:space="preserve"> Business Combinations</w:t>
      </w:r>
      <w:r>
        <w:rPr>
          <w:rFonts w:ascii="Arial" w:cs="Arial" w:eastAsia="Arial" w:hAnsi="Arial"/>
          <w:sz w:val="18"/>
          <w:szCs w:val="18"/>
          <w:color w:val="auto"/>
        </w:rPr>
        <w:t>. The resulting amortization expense charged to operations during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2022 was $680. Both the intangible assets and the related amortization expense related to the Merger which were recorded during the three months ended March 31, 2022 represented estimates.</w:t>
      </w:r>
    </w:p>
    <w:p>
      <w:pPr>
        <w:spacing w:after="0" w:line="18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For the three months ended June 30, 2022 and 2021, amortization of intangible assets charged to operations was $431 and $139, respectively. For the six months ended June 30, 2022 and 2021 amortization of intangible assets charged to operations was $1,111 and $279, respectively.</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Goodwill represents the excess of the purchase price over the fair value of net assets acquired. Goodwill is subject to an impairment review at a reporting unit level, on an annual basis as of the end of September of each fiscal year, or when an event occurs, or circumstances change that would indicate potential impairment. Following the Merger, the Company evaluated its reporting units in accordance with ASC 280 </w:t>
      </w:r>
      <w:r>
        <w:rPr>
          <w:rFonts w:ascii="Arial" w:cs="Arial" w:eastAsia="Arial" w:hAnsi="Arial"/>
          <w:sz w:val="17"/>
          <w:szCs w:val="17"/>
          <w:i w:val="1"/>
          <w:iCs w:val="1"/>
          <w:color w:val="auto"/>
        </w:rPr>
        <w:t>Segment Reporting</w:t>
      </w:r>
      <w:r>
        <w:rPr>
          <w:rFonts w:ascii="Arial" w:cs="Arial" w:eastAsia="Arial" w:hAnsi="Arial"/>
          <w:sz w:val="17"/>
          <w:szCs w:val="17"/>
          <w:color w:val="auto"/>
        </w:rPr>
        <w:t xml:space="preserve"> and concluded that the Company has only one reporting unit. Therefore, the entire goodwill is allocated to that reporting unit.</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While the Company completes its annual assessment of impairment as of September 30, we evaluate qualitative indicators during other interim periods that may be indicative of impairment and require further quantitative assessments. During the three and six months ended June 30, 2022, the Company experienced a significant decline in its common share price and overall market capitalization, which is below book value as of June 30, 2022. We deemed this decline in market capitalization to be an indicator of a potential impairment of the Company’s recorded investment in its intangible assets and goodwill. We evaluated certain facts and circumstances which management believes are responsible for the disparity between our market capitalization and the book value of our equity as of June 30, 2022.</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9" w:name="page20"/>
    <w:bookmarkEnd w:id="19"/>
    <w:p>
      <w:pPr>
        <w:jc w:val="both"/>
        <w:ind w:firstLine="648"/>
        <w:spacing w:after="0" w:line="254" w:lineRule="auto"/>
        <w:rPr>
          <w:sz w:val="20"/>
          <w:szCs w:val="20"/>
          <w:color w:val="auto"/>
        </w:rPr>
      </w:pPr>
      <w:r>
        <w:rPr>
          <w:rFonts w:ascii="Arial" w:cs="Arial" w:eastAsia="Arial" w:hAnsi="Arial"/>
          <w:sz w:val="18"/>
          <w:szCs w:val="18"/>
          <w:color w:val="auto"/>
        </w:rPr>
        <w:t>While our overall business performance has been consistent with our expectations both before and after the acquisition of Reflect, we believe a significant portion of the decline in our market price relates primarily to several macroeconomic factors including: (1) market wide recessionary fears, (2) rapid inflation fears, which often have an outsized, direct negative impact on the share price of high-growth companies with limited or negative cash flow from operations, (3) a lack of comprehension by the markets of the recent Merger with Reflect and related financing transaction, and (4) the sale of over 7,000,000 shares of our common stock into the market by a new investor, resulting in significant negative volume and price pressure on the stock unrelated to the Company fundamentals. We do not believe these factors are consistent with or reflective of the underlying value of the business, and there were no other indicators of potential impairment as of June 30, 2022. Should our market price remain at this level for an extended period of time, there could be potential future impairment.</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Based on the relatively recent decline in our share price and market capitalization, along with improving Company fundamentals following our Merger with Reflect and a share price that was substantially higher upon announcing that Merger mere months ago, we believe our implied fair value continues to exceed our total carrying value. There were no other indications of impairment as of June 30,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LOANS PAYABLE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outstanding debt with detachable warrants, as applicable, are shown in the table below. Further discussion of the debt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As of June 30, 2022</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380" w:type="dxa"/>
            <w:vAlign w:val="bottom"/>
            <w:tcBorders>
              <w:top w:val="single" w:sz="8" w:color="auto"/>
            </w:tcBorders>
            <w:gridSpan w:val="2"/>
          </w:tcPr>
          <w:p>
            <w:pPr>
              <w:jc w:val="center"/>
              <w:ind w:right="120"/>
              <w:spacing w:after="0" w:line="205" w:lineRule="exact"/>
              <w:rPr>
                <w:sz w:val="20"/>
                <w:szCs w:val="20"/>
                <w:color w:val="auto"/>
              </w:rPr>
            </w:pPr>
            <w:r>
              <w:rPr>
                <w:rFonts w:ascii="Arial" w:cs="Arial" w:eastAsia="Arial" w:hAnsi="Arial"/>
                <w:sz w:val="18"/>
                <w:szCs w:val="18"/>
                <w:b w:val="1"/>
                <w:bCs w:val="1"/>
                <w:color w:val="auto"/>
                <w:w w:val="85"/>
              </w:rPr>
              <w:t>Issuance</w:t>
            </w: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900" w:type="dxa"/>
            <w:vAlign w:val="bottom"/>
            <w:tcBorders>
              <w:top w:val="single" w:sz="8" w:color="auto"/>
            </w:tcBorders>
            <w:gridSpan w:val="2"/>
          </w:tcPr>
          <w:p>
            <w:pPr>
              <w:jc w:val="center"/>
              <w:ind w:right="120"/>
              <w:spacing w:after="0" w:line="205" w:lineRule="exact"/>
              <w:rPr>
                <w:sz w:val="20"/>
                <w:szCs w:val="20"/>
                <w:color w:val="auto"/>
              </w:rPr>
            </w:pPr>
            <w:r>
              <w:rPr>
                <w:rFonts w:ascii="Arial" w:cs="Arial" w:eastAsia="Arial" w:hAnsi="Arial"/>
                <w:sz w:val="18"/>
                <w:szCs w:val="18"/>
                <w:b w:val="1"/>
                <w:bCs w:val="1"/>
                <w:color w:val="auto"/>
                <w:w w:val="99"/>
              </w:rPr>
              <w:t>Maturity</w:t>
            </w:r>
          </w:p>
        </w:tc>
        <w:tc>
          <w:tcPr>
            <w:tcW w:w="1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1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Debt Type</w:t>
            </w:r>
          </w:p>
        </w:tc>
        <w:tc>
          <w:tcPr>
            <w:tcW w:w="120" w:type="dxa"/>
            <w:vAlign w:val="bottom"/>
            <w:tcBorders>
              <w:bottom w:val="single" w:sz="8" w:color="CCEEFF"/>
            </w:tcBorders>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Principal</w:t>
            </w:r>
          </w:p>
        </w:tc>
        <w:tc>
          <w:tcPr>
            <w:tcW w:w="220" w:type="dxa"/>
            <w:vAlign w:val="bottom"/>
            <w:tcBorders>
              <w:bottom w:val="single" w:sz="8" w:color="CCEEFF"/>
            </w:tcBorders>
            <w:gridSpan w:val="2"/>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Warrants</w:t>
            </w:r>
          </w:p>
        </w:tc>
        <w:tc>
          <w:tcPr>
            <w:tcW w:w="200" w:type="dxa"/>
            <w:vAlign w:val="bottom"/>
            <w:tcBorders>
              <w:bottom w:val="single" w:sz="8" w:color="CCEEFF"/>
            </w:tcBorders>
          </w:tcPr>
          <w:p>
            <w:pPr>
              <w:spacing w:after="0"/>
              <w:rPr>
                <w:sz w:val="20"/>
                <w:szCs w:val="20"/>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Interest Rate Information</w:t>
            </w:r>
          </w:p>
        </w:tc>
        <w:tc>
          <w:tcPr>
            <w:tcW w:w="0" w:type="dxa"/>
            <w:vAlign w:val="bottom"/>
          </w:tcPr>
          <w:p>
            <w:pPr>
              <w:spacing w:after="0"/>
              <w:rPr>
                <w:sz w:val="1"/>
                <w:szCs w:val="1"/>
                <w:color w:val="auto"/>
              </w:rPr>
            </w:pPr>
          </w:p>
        </w:tc>
      </w:tr>
      <w:tr>
        <w:trPr>
          <w:trHeight w:val="257"/>
        </w:trPr>
        <w:tc>
          <w:tcPr>
            <w:tcW w:w="21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A</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2/17/2022</w:t>
            </w:r>
          </w:p>
        </w:tc>
        <w:tc>
          <w:tcPr>
            <w:tcW w:w="140" w:type="dxa"/>
            <w:vAlign w:val="bottom"/>
            <w:shd w:val="clear" w:color="auto" w:fill="CCEEFF"/>
          </w:tcPr>
          <w:p>
            <w:pPr>
              <w:spacing w:after="0"/>
              <w:rPr>
                <w:sz w:val="22"/>
                <w:szCs w:val="22"/>
                <w:color w:val="auto"/>
              </w:rPr>
            </w:pP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w:t>
            </w:r>
          </w:p>
        </w:tc>
        <w:tc>
          <w:tcPr>
            <w:tcW w:w="200" w:type="dxa"/>
            <w:vAlign w:val="bottom"/>
            <w:shd w:val="clear" w:color="auto" w:fill="CCEEFF"/>
          </w:tcPr>
          <w:p>
            <w:pPr>
              <w:spacing w:after="0"/>
              <w:rPr>
                <w:sz w:val="22"/>
                <w:szCs w:val="22"/>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2/15/2025</w:t>
            </w:r>
          </w:p>
        </w:tc>
        <w:tc>
          <w:tcPr>
            <w:tcW w:w="10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2,500,000</w:t>
            </w:r>
          </w:p>
        </w:tc>
        <w:tc>
          <w:tcPr>
            <w:tcW w:w="2140" w:type="dxa"/>
            <w:vAlign w:val="bottom"/>
            <w:shd w:val="clear" w:color="auto" w:fill="CCEEFF"/>
          </w:tcPr>
          <w:p>
            <w:pPr>
              <w:jc w:val="center"/>
              <w:spacing w:after="0" w:line="256" w:lineRule="exact"/>
              <w:rPr>
                <w:sz w:val="20"/>
                <w:szCs w:val="20"/>
                <w:color w:val="auto"/>
              </w:rPr>
            </w:pPr>
            <w:r>
              <w:rPr>
                <w:rFonts w:ascii="Arial" w:cs="Arial" w:eastAsia="Arial" w:hAnsi="Arial"/>
                <w:sz w:val="18"/>
                <w:szCs w:val="18"/>
                <w:color w:val="auto"/>
                <w:w w:val="87"/>
              </w:rPr>
              <w:t>8.0% interest</w:t>
            </w:r>
            <w:r>
              <w:rPr>
                <w:rFonts w:ascii="Arial" w:cs="Arial" w:eastAsia="Arial" w:hAnsi="Arial"/>
                <w:sz w:val="29"/>
                <w:szCs w:val="29"/>
                <w:color w:val="auto"/>
                <w:w w:val="87"/>
                <w:vertAlign w:val="superscript"/>
              </w:rPr>
              <w:t>(1)</w:t>
            </w:r>
          </w:p>
        </w:tc>
        <w:tc>
          <w:tcPr>
            <w:tcW w:w="0" w:type="dxa"/>
            <w:vAlign w:val="bottom"/>
          </w:tcPr>
          <w:p>
            <w:pPr>
              <w:spacing w:after="0"/>
              <w:rPr>
                <w:sz w:val="1"/>
                <w:szCs w:val="1"/>
                <w:color w:val="auto"/>
              </w:rPr>
            </w:pPr>
          </w:p>
        </w:tc>
      </w:tr>
      <w:tr>
        <w:trPr>
          <w:trHeight w:val="257"/>
        </w:trPr>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B</w:t>
            </w:r>
          </w:p>
        </w:tc>
        <w:tc>
          <w:tcPr>
            <w:tcW w:w="2240" w:type="dxa"/>
            <w:vAlign w:val="bottom"/>
          </w:tcPr>
          <w:p>
            <w:pPr>
              <w:jc w:val="center"/>
              <w:spacing w:after="0"/>
              <w:rPr>
                <w:sz w:val="20"/>
                <w:szCs w:val="20"/>
                <w:color w:val="auto"/>
              </w:rPr>
            </w:pPr>
            <w:r>
              <w:rPr>
                <w:rFonts w:ascii="Arial" w:cs="Arial" w:eastAsia="Arial" w:hAnsi="Arial"/>
                <w:sz w:val="18"/>
                <w:szCs w:val="18"/>
                <w:color w:val="auto"/>
                <w:w w:val="89"/>
              </w:rPr>
              <w:t>2/17/2022</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2,089</w:t>
            </w:r>
          </w:p>
        </w:tc>
        <w:tc>
          <w:tcPr>
            <w:tcW w:w="200" w:type="dxa"/>
            <w:vAlign w:val="bottom"/>
          </w:tcPr>
          <w:p>
            <w:pPr>
              <w:spacing w:after="0"/>
              <w:rPr>
                <w:sz w:val="22"/>
                <w:szCs w:val="22"/>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2/17/2023</w:t>
            </w:r>
          </w:p>
        </w:tc>
        <w:tc>
          <w:tcPr>
            <w:tcW w:w="100" w:type="dxa"/>
            <w:vAlign w:val="bottom"/>
          </w:tcPr>
          <w:p>
            <w:pPr>
              <w:spacing w:after="0"/>
              <w:rPr>
                <w:sz w:val="22"/>
                <w:szCs w:val="2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140" w:type="dxa"/>
            <w:vAlign w:val="bottom"/>
          </w:tcPr>
          <w:p>
            <w:pPr>
              <w:jc w:val="center"/>
              <w:spacing w:after="0" w:line="256" w:lineRule="exact"/>
              <w:rPr>
                <w:sz w:val="20"/>
                <w:szCs w:val="20"/>
                <w:color w:val="auto"/>
              </w:rPr>
            </w:pPr>
            <w:r>
              <w:rPr>
                <w:rFonts w:ascii="Arial" w:cs="Arial" w:eastAsia="Arial" w:hAnsi="Arial"/>
                <w:sz w:val="18"/>
                <w:szCs w:val="18"/>
                <w:color w:val="auto"/>
                <w:w w:val="87"/>
              </w:rPr>
              <w:t xml:space="preserve">0.59% interest </w:t>
            </w:r>
            <w:r>
              <w:rPr>
                <w:rFonts w:ascii="Arial" w:cs="Arial" w:eastAsia="Arial" w:hAnsi="Arial"/>
                <w:sz w:val="29"/>
                <w:szCs w:val="29"/>
                <w:color w:val="auto"/>
                <w:w w:val="87"/>
                <w:vertAlign w:val="superscript"/>
              </w:rPr>
              <w:t>(2)</w:t>
            </w:r>
          </w:p>
        </w:tc>
        <w:tc>
          <w:tcPr>
            <w:tcW w:w="0" w:type="dxa"/>
            <w:vAlign w:val="bottom"/>
          </w:tcPr>
          <w:p>
            <w:pPr>
              <w:spacing w:after="0"/>
              <w:rPr>
                <w:sz w:val="1"/>
                <w:szCs w:val="1"/>
                <w:color w:val="auto"/>
              </w:rPr>
            </w:pPr>
          </w:p>
        </w:tc>
      </w:tr>
      <w:tr>
        <w:trPr>
          <w:trHeight w:val="290"/>
        </w:trPr>
        <w:tc>
          <w:tcPr>
            <w:tcW w:w="21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C</w:t>
            </w:r>
          </w:p>
        </w:tc>
        <w:tc>
          <w:tcPr>
            <w:tcW w:w="2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2/17/2022</w:t>
            </w:r>
          </w:p>
        </w:tc>
        <w:tc>
          <w:tcPr>
            <w:tcW w:w="1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7,185</w:t>
            </w:r>
          </w:p>
        </w:tc>
        <w:tc>
          <w:tcPr>
            <w:tcW w:w="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2/15/2025</w:t>
            </w:r>
          </w:p>
        </w:tc>
        <w:tc>
          <w:tcPr>
            <w:tcW w:w="1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2,694,495</w:t>
            </w:r>
          </w:p>
        </w:tc>
        <w:tc>
          <w:tcPr>
            <w:tcW w:w="200" w:type="dxa"/>
            <w:vAlign w:val="bottom"/>
            <w:tcBorders>
              <w:bottom w:val="single" w:sz="8" w:color="CCEEFF"/>
            </w:tcBorders>
            <w:shd w:val="clear" w:color="auto" w:fill="CCEEFF"/>
          </w:tcPr>
          <w:p>
            <w:pPr>
              <w:spacing w:after="0"/>
              <w:rPr>
                <w:sz w:val="24"/>
                <w:szCs w:val="24"/>
                <w:color w:val="auto"/>
              </w:rPr>
            </w:pPr>
          </w:p>
        </w:tc>
        <w:tc>
          <w:tcPr>
            <w:tcW w:w="2140" w:type="dxa"/>
            <w:vAlign w:val="bottom"/>
            <w:tcBorders>
              <w:bottom w:val="single" w:sz="8" w:color="CCEEFF"/>
            </w:tcBorders>
            <w:shd w:val="clear" w:color="auto" w:fill="CCEEFF"/>
          </w:tcPr>
          <w:p>
            <w:pPr>
              <w:jc w:val="center"/>
              <w:spacing w:after="0" w:line="270" w:lineRule="exact"/>
              <w:rPr>
                <w:sz w:val="20"/>
                <w:szCs w:val="20"/>
                <w:color w:val="auto"/>
              </w:rPr>
            </w:pPr>
            <w:r>
              <w:rPr>
                <w:rFonts w:ascii="Arial" w:cs="Arial" w:eastAsia="Arial" w:hAnsi="Arial"/>
                <w:sz w:val="18"/>
                <w:szCs w:val="18"/>
                <w:color w:val="auto"/>
                <w:w w:val="87"/>
              </w:rPr>
              <w:t>10.0% interest</w:t>
            </w:r>
            <w:r>
              <w:rPr>
                <w:rFonts w:ascii="Arial" w:cs="Arial" w:eastAsia="Arial" w:hAnsi="Arial"/>
                <w:sz w:val="29"/>
                <w:szCs w:val="29"/>
                <w:color w:val="auto"/>
                <w:w w:val="87"/>
                <w:vertAlign w:val="superscript"/>
              </w:rPr>
              <w:t>(3)</w:t>
            </w:r>
          </w:p>
        </w:tc>
        <w:tc>
          <w:tcPr>
            <w:tcW w:w="0" w:type="dxa"/>
            <w:vAlign w:val="bottom"/>
          </w:tcPr>
          <w:p>
            <w:pPr>
              <w:spacing w:after="0"/>
              <w:rPr>
                <w:sz w:val="1"/>
                <w:szCs w:val="1"/>
                <w:color w:val="auto"/>
              </w:rPr>
            </w:pPr>
          </w:p>
        </w:tc>
      </w:tr>
      <w:tr>
        <w:trPr>
          <w:trHeight w:val="291"/>
        </w:trPr>
        <w:tc>
          <w:tcPr>
            <w:tcW w:w="2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8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Total debt, gross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19,274</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5,194,495</w:t>
            </w: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380" w:type="dxa"/>
            <w:vAlign w:val="bottom"/>
            <w:tcBorders>
              <w:top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Debt discount</w:t>
            </w:r>
          </w:p>
        </w:tc>
        <w:tc>
          <w:tcPr>
            <w:tcW w:w="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0" w:type="dxa"/>
            <w:vAlign w:val="bottom"/>
            <w:tcBorders>
              <w:top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(3,796)</w:t>
            </w:r>
          </w:p>
        </w:tc>
        <w:tc>
          <w:tcPr>
            <w:tcW w:w="18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c>
          <w:tcPr>
            <w:tcW w:w="214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380" w:type="dxa"/>
            <w:vAlign w:val="bottom"/>
            <w:tcBorders>
              <w:top w:val="single" w:sz="8" w:color="CCEEFF"/>
            </w:tcBorders>
            <w:gridSpan w:val="2"/>
          </w:tcPr>
          <w:p>
            <w:pPr>
              <w:jc w:val="center"/>
              <w:ind w:right="140"/>
              <w:spacing w:after="0" w:line="203" w:lineRule="exact"/>
              <w:rPr>
                <w:sz w:val="20"/>
                <w:szCs w:val="20"/>
                <w:color w:val="auto"/>
              </w:rPr>
            </w:pPr>
            <w:r>
              <w:rPr>
                <w:rFonts w:ascii="Arial" w:cs="Arial" w:eastAsia="Arial" w:hAnsi="Arial"/>
                <w:sz w:val="18"/>
                <w:szCs w:val="18"/>
                <w:color w:val="auto"/>
                <w:w w:val="90"/>
              </w:rPr>
              <w:t>Total debt, net</w:t>
            </w: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15,478</w:t>
            </w:r>
          </w:p>
        </w:tc>
        <w:tc>
          <w:tcPr>
            <w:tcW w:w="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1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3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Less current maturities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(2,089)</w:t>
            </w: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gridSpan w:val="2"/>
            <w:vMerge w:val="restart"/>
          </w:tcPr>
          <w:p>
            <w:pPr>
              <w:jc w:val="center"/>
              <w:ind w:right="140"/>
              <w:spacing w:after="0"/>
              <w:rPr>
                <w:sz w:val="20"/>
                <w:szCs w:val="20"/>
                <w:color w:val="auto"/>
              </w:rPr>
            </w:pPr>
            <w:r>
              <w:rPr>
                <w:rFonts w:ascii="Arial" w:cs="Arial" w:eastAsia="Arial" w:hAnsi="Arial"/>
                <w:sz w:val="18"/>
                <w:szCs w:val="18"/>
                <w:color w:val="auto"/>
                <w:w w:val="92"/>
              </w:rPr>
              <w:t>Long term debt</w:t>
            </w: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gridSpan w:val="2"/>
            <w:vMerge w:val="continue"/>
          </w:tcPr>
          <w:p>
            <w:pPr>
              <w:spacing w:after="0"/>
              <w:rPr>
                <w:sz w:val="20"/>
                <w:szCs w:val="20"/>
                <w:color w:val="auto"/>
              </w:rPr>
            </w:pPr>
          </w:p>
        </w:tc>
        <w:tc>
          <w:tcPr>
            <w:tcW w:w="14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13,389</w:t>
            </w:r>
          </w:p>
        </w:tc>
        <w:tc>
          <w:tcPr>
            <w:tcW w:w="2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As of December 31, 2021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24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85"/>
              </w:rPr>
              <w:t>Issuance</w:t>
            </w:r>
          </w:p>
        </w:tc>
        <w:tc>
          <w:tcPr>
            <w:tcW w:w="1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900" w:type="dxa"/>
            <w:vAlign w:val="bottom"/>
            <w:tcBorders>
              <w:top w:val="single" w:sz="8" w:color="auto"/>
            </w:tcBorders>
            <w:gridSpan w:val="2"/>
          </w:tcPr>
          <w:p>
            <w:pPr>
              <w:jc w:val="center"/>
              <w:ind w:right="120"/>
              <w:spacing w:after="0" w:line="205" w:lineRule="exact"/>
              <w:rPr>
                <w:sz w:val="20"/>
                <w:szCs w:val="20"/>
                <w:color w:val="auto"/>
              </w:rPr>
            </w:pPr>
            <w:r>
              <w:rPr>
                <w:rFonts w:ascii="Arial" w:cs="Arial" w:eastAsia="Arial" w:hAnsi="Arial"/>
                <w:sz w:val="18"/>
                <w:szCs w:val="18"/>
                <w:b w:val="1"/>
                <w:bCs w:val="1"/>
                <w:color w:val="auto"/>
                <w:w w:val="99"/>
              </w:rPr>
              <w:t>Maturity</w:t>
            </w:r>
          </w:p>
        </w:tc>
        <w:tc>
          <w:tcPr>
            <w:tcW w:w="1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1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Debt Type</w:t>
            </w:r>
          </w:p>
        </w:tc>
        <w:tc>
          <w:tcPr>
            <w:tcW w:w="120" w:type="dxa"/>
            <w:vAlign w:val="bottom"/>
            <w:tcBorders>
              <w:bottom w:val="single" w:sz="8" w:color="CCEEFF"/>
            </w:tcBorders>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Principal</w:t>
            </w:r>
          </w:p>
        </w:tc>
        <w:tc>
          <w:tcPr>
            <w:tcW w:w="220" w:type="dxa"/>
            <w:vAlign w:val="bottom"/>
            <w:tcBorders>
              <w:bottom w:val="single" w:sz="8" w:color="CCEEFF"/>
            </w:tcBorders>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Warrants</w:t>
            </w:r>
          </w:p>
        </w:tc>
        <w:tc>
          <w:tcPr>
            <w:tcW w:w="200" w:type="dxa"/>
            <w:vAlign w:val="bottom"/>
            <w:tcBorders>
              <w:bottom w:val="single" w:sz="8" w:color="CCEEFF"/>
            </w:tcBorders>
          </w:tcPr>
          <w:p>
            <w:pPr>
              <w:spacing w:after="0"/>
              <w:rPr>
                <w:sz w:val="20"/>
                <w:szCs w:val="20"/>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Interest Rate Information</w:t>
            </w:r>
          </w:p>
        </w:tc>
        <w:tc>
          <w:tcPr>
            <w:tcW w:w="0" w:type="dxa"/>
            <w:vAlign w:val="bottom"/>
          </w:tcPr>
          <w:p>
            <w:pPr>
              <w:spacing w:after="0"/>
              <w:rPr>
                <w:sz w:val="1"/>
                <w:szCs w:val="1"/>
                <w:color w:val="auto"/>
              </w:rPr>
            </w:pPr>
          </w:p>
        </w:tc>
      </w:tr>
      <w:tr>
        <w:trPr>
          <w:trHeight w:val="257"/>
        </w:trPr>
        <w:tc>
          <w:tcPr>
            <w:tcW w:w="21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D</w:t>
            </w:r>
          </w:p>
        </w:tc>
        <w:tc>
          <w:tcPr>
            <w:tcW w:w="224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8/17/2016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4,767</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2/17/2025</w:t>
            </w:r>
          </w:p>
        </w:tc>
        <w:tc>
          <w:tcPr>
            <w:tcW w:w="10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588,236</w:t>
            </w:r>
          </w:p>
        </w:tc>
        <w:tc>
          <w:tcPr>
            <w:tcW w:w="2140" w:type="dxa"/>
            <w:vAlign w:val="bottom"/>
            <w:shd w:val="clear" w:color="auto" w:fill="CCEEFF"/>
          </w:tcPr>
          <w:p>
            <w:pPr>
              <w:jc w:val="center"/>
              <w:spacing w:after="0" w:line="256" w:lineRule="exact"/>
              <w:rPr>
                <w:sz w:val="20"/>
                <w:szCs w:val="20"/>
                <w:color w:val="auto"/>
              </w:rPr>
            </w:pPr>
            <w:r>
              <w:rPr>
                <w:rFonts w:ascii="Arial" w:cs="Arial" w:eastAsia="Arial" w:hAnsi="Arial"/>
                <w:sz w:val="18"/>
                <w:szCs w:val="18"/>
                <w:color w:val="auto"/>
                <w:w w:val="87"/>
              </w:rPr>
              <w:t>8.0% interest</w:t>
            </w:r>
            <w:r>
              <w:rPr>
                <w:rFonts w:ascii="Arial" w:cs="Arial" w:eastAsia="Arial" w:hAnsi="Arial"/>
                <w:sz w:val="29"/>
                <w:szCs w:val="29"/>
                <w:color w:val="auto"/>
                <w:w w:val="87"/>
                <w:vertAlign w:val="superscript"/>
              </w:rPr>
              <w:t>(4)</w:t>
            </w:r>
          </w:p>
        </w:tc>
        <w:tc>
          <w:tcPr>
            <w:tcW w:w="0" w:type="dxa"/>
            <w:vAlign w:val="bottom"/>
          </w:tcPr>
          <w:p>
            <w:pPr>
              <w:spacing w:after="0"/>
              <w:rPr>
                <w:sz w:val="1"/>
                <w:szCs w:val="1"/>
                <w:color w:val="auto"/>
              </w:rPr>
            </w:pPr>
          </w:p>
        </w:tc>
      </w:tr>
      <w:tr>
        <w:trPr>
          <w:trHeight w:val="270"/>
        </w:trPr>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E</w:t>
            </w:r>
          </w:p>
        </w:tc>
        <w:tc>
          <w:tcPr>
            <w:tcW w:w="2240" w:type="dxa"/>
            <w:vAlign w:val="bottom"/>
          </w:tcPr>
          <w:p>
            <w:pPr>
              <w:jc w:val="right"/>
              <w:ind w:right="610"/>
              <w:spacing w:after="0"/>
              <w:rPr>
                <w:sz w:val="20"/>
                <w:szCs w:val="20"/>
                <w:color w:val="auto"/>
              </w:rPr>
            </w:pPr>
            <w:r>
              <w:rPr>
                <w:rFonts w:ascii="Arial" w:cs="Arial" w:eastAsia="Arial" w:hAnsi="Arial"/>
                <w:sz w:val="18"/>
                <w:szCs w:val="18"/>
                <w:color w:val="auto"/>
              </w:rPr>
              <w:t>12/30/2019</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2,418</w:t>
            </w: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2/17/2025</w:t>
            </w:r>
          </w:p>
        </w:tc>
        <w:tc>
          <w:tcPr>
            <w:tcW w:w="100" w:type="dxa"/>
            <w:vAlign w:val="bottom"/>
          </w:tcPr>
          <w:p>
            <w:pPr>
              <w:spacing w:after="0"/>
              <w:rPr>
                <w:sz w:val="23"/>
                <w:szCs w:val="23"/>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140" w:type="dxa"/>
            <w:vAlign w:val="bottom"/>
          </w:tcPr>
          <w:p>
            <w:pPr>
              <w:jc w:val="center"/>
              <w:spacing w:after="0" w:line="270" w:lineRule="exact"/>
              <w:rPr>
                <w:sz w:val="20"/>
                <w:szCs w:val="20"/>
                <w:color w:val="auto"/>
              </w:rPr>
            </w:pPr>
            <w:r>
              <w:rPr>
                <w:rFonts w:ascii="Arial" w:cs="Arial" w:eastAsia="Arial" w:hAnsi="Arial"/>
                <w:sz w:val="18"/>
                <w:szCs w:val="18"/>
                <w:color w:val="auto"/>
                <w:w w:val="87"/>
              </w:rPr>
              <w:t>10.0% interest</w:t>
            </w:r>
            <w:r>
              <w:rPr>
                <w:rFonts w:ascii="Arial" w:cs="Arial" w:eastAsia="Arial" w:hAnsi="Arial"/>
                <w:sz w:val="29"/>
                <w:szCs w:val="29"/>
                <w:color w:val="auto"/>
                <w:w w:val="87"/>
                <w:vertAlign w:val="superscript"/>
              </w:rPr>
              <w:t>(4)</w:t>
            </w:r>
          </w:p>
        </w:tc>
        <w:tc>
          <w:tcPr>
            <w:tcW w:w="0" w:type="dxa"/>
            <w:vAlign w:val="bottom"/>
          </w:tcPr>
          <w:p>
            <w:pPr>
              <w:spacing w:after="0"/>
              <w:rPr>
                <w:sz w:val="1"/>
                <w:szCs w:val="1"/>
                <w:color w:val="auto"/>
              </w:rPr>
            </w:pPr>
          </w:p>
        </w:tc>
      </w:tr>
      <w:tr>
        <w:trPr>
          <w:trHeight w:val="27"/>
        </w:trPr>
        <w:tc>
          <w:tcPr>
            <w:tcW w:w="2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Total debt, gross</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7,185</w:t>
            </w:r>
          </w:p>
        </w:tc>
        <w:tc>
          <w:tcPr>
            <w:tcW w:w="1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588,236</w:t>
            </w:r>
          </w:p>
        </w:tc>
        <w:tc>
          <w:tcPr>
            <w:tcW w:w="200" w:type="dxa"/>
            <w:vAlign w:val="bottom"/>
            <w:tcBorders>
              <w:bottom w:val="single" w:sz="8" w:color="CCEEFF"/>
            </w:tcBorders>
            <w:vMerge w:val="continue"/>
            <w:shd w:val="clear" w:color="auto" w:fill="CCEEFF"/>
          </w:tcPr>
          <w:p>
            <w:pPr>
              <w:spacing w:after="0"/>
              <w:rPr>
                <w:sz w:val="19"/>
                <w:szCs w:val="19"/>
                <w:color w:val="auto"/>
              </w:rPr>
            </w:pPr>
          </w:p>
        </w:tc>
        <w:tc>
          <w:tcPr>
            <w:tcW w:w="2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40" w:type="dxa"/>
            <w:vAlign w:val="bottom"/>
            <w:vMerge w:val="restart"/>
          </w:tcPr>
          <w:p>
            <w:pPr>
              <w:jc w:val="center"/>
              <w:spacing w:after="0"/>
              <w:rPr>
                <w:sz w:val="20"/>
                <w:szCs w:val="20"/>
                <w:color w:val="auto"/>
              </w:rPr>
            </w:pPr>
            <w:r>
              <w:rPr>
                <w:rFonts w:ascii="Arial" w:cs="Arial" w:eastAsia="Arial" w:hAnsi="Arial"/>
                <w:sz w:val="18"/>
                <w:szCs w:val="18"/>
                <w:color w:val="auto"/>
                <w:w w:val="92"/>
              </w:rPr>
              <w:t>Fair value (B)</w:t>
            </w: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(166)</w:t>
            </w: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Total debt, gross</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7,019</w:t>
            </w:r>
          </w:p>
        </w:tc>
        <w:tc>
          <w:tcPr>
            <w:tcW w:w="22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0"/>
              </w:rPr>
              <w:t>Debt discount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(144)</w:t>
            </w: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Total debt, net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6,875</w:t>
            </w:r>
          </w:p>
        </w:tc>
        <w:tc>
          <w:tcPr>
            <w:tcW w:w="22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0"/>
              </w:rPr>
              <w:t>Less current maturities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Long term debt</w:t>
            </w:r>
          </w:p>
        </w:tc>
        <w:tc>
          <w:tcPr>
            <w:tcW w:w="1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40" w:type="dxa"/>
            <w:vAlign w:val="bottom"/>
            <w:vMerge w:val="continue"/>
            <w:shd w:val="clear" w:color="auto" w:fill="CCEEFF"/>
          </w:tcPr>
          <w:p>
            <w:pPr>
              <w:spacing w:after="0"/>
              <w:rPr>
                <w:sz w:val="21"/>
                <w:szCs w:val="21"/>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6,875</w:t>
            </w:r>
          </w:p>
        </w:tc>
        <w:tc>
          <w:tcPr>
            <w:tcW w:w="1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 Acquisition Loan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 – Reflect Seller Secured Promissory Note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 – Consolidation Term Loan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 – Term Loan with related party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 – Secured Convertible Special Loan Promissory Note, at fair value</w:t>
      </w:r>
    </w:p>
    <w:p>
      <w:pPr>
        <w:spacing w:after="0" w:line="211"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8.0% cash interest per annum through maturity at February 15, 2025.</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0.59% cash interest per annum (the applicable federal rate) through maturity at February 17, 2023.</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10.0% cash interest per annum through maturity at February 15, 2025.</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Interest was paid-in-kind (“PIK”) through October 2021, at which point interest became payable in cash at the stated interest rates through maturity.</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0" w:name="page21"/>
    <w:bookmarkEnd w:id="20"/>
    <w:p>
      <w:pPr>
        <w:ind w:left="340"/>
        <w:spacing w:after="0"/>
        <w:rPr>
          <w:sz w:val="20"/>
          <w:szCs w:val="20"/>
          <w:color w:val="auto"/>
        </w:rPr>
      </w:pPr>
      <w:r>
        <w:rPr>
          <w:rFonts w:ascii="Arial" w:cs="Arial" w:eastAsia="Arial" w:hAnsi="Arial"/>
          <w:sz w:val="18"/>
          <w:szCs w:val="18"/>
          <w:b w:val="1"/>
          <w:bCs w:val="1"/>
          <w:i w:val="1"/>
          <w:iCs w:val="1"/>
          <w:color w:val="auto"/>
        </w:rPr>
        <w:t>SBA Paycheck Protection Program Loan</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April 27, 2020, the Company entered into a Promissory Note with Old National Bank (the “Promissory Note”), which provided for an unsecured loan of $1,552 (the “PPP Loan”) pursuant to the Paycheck Protection Program under the Coronavirus Aid, Relief, and Economic Security Act and applicable regulations (the “CARES Act”). The Promissory Note had a term of two years with a 1% per annum interest rate.</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January 11, 2021, the Company received a notice from Old National Bank that the full principal amount of the PPP Loan and the accrued interest have been forgiven, resulting in a gain of $1,552 during the six months ended June 30, 2021.</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Secured Promissory Note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February 17, 2022, in connection with the closing of the Merger, the Company issued to RSI Exit Corporation (“Stockholders’ Representative”), the representative of Reflect stockholders, a $2,500 Note and Security Agreement (the “Secured Promissory Note”).</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Secured Promissory Note accrues interest at 0.59% per annum (the applicable federal rate) and requires the Company and Reflect to pay equal monthly principal installments of $104 on the fifteenth (15th) day of each month, commencing on March 15, 2022. Any remaining or unpaid principal shall be due and payable on February 17, 2023. All payments under the Secured Promissory Note will be paid to the escrow agent in the Merger Agreement to be placed into the escrow account to secure the Reflect stockholders’ indemnification obligations until released on the one-year anniversary of the closing of the Merger, at which time any remaining proceeds not subject to a pending indemnification claim will be paid to the exchange agent for payment to the Reflect Stockholders. The Secured Promissory Note is secured by a first-lien security interest in certain contracts of Reflect, including obligations arising out of those certain contracts.. The Company has the right to offset amounts payable under the Secured Promissory Note upon a final, non-appealable decision of a court that entitles the Company or its affiliates to any damages for indemnification under the Merger Agreement, or the Stockholders’ Representative’s agreement in writing to such damages.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Second Amended and Restated Loan and Security Agreement</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February 17, 2022, Creative Realities, Inc. (the “Company”) and its subsidiaries (collectively, the “Borrowers”) refinanced their current debt facilities with Slipstream Communications, LLC (“Slipstream”), pursuant to a Second Amended and Restated Credit and Security Agreement (the “Credit Agreement”). The Borrowers include Reflect Systems, Inc. (“Reflect”), which became a wholly owned subsidiary of the Company as a result of the closing of the Merger on February 17, 2022. The debt facilities continue to be fully secured by all assets of the Borrowers.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1" w:name="page22"/>
    <w:bookmarkEnd w:id="21"/>
    <w:p>
      <w:pPr>
        <w:jc w:val="both"/>
        <w:ind w:firstLine="648"/>
        <w:spacing w:after="0" w:line="269" w:lineRule="auto"/>
        <w:rPr>
          <w:sz w:val="20"/>
          <w:szCs w:val="20"/>
          <w:color w:val="auto"/>
        </w:rPr>
      </w:pPr>
      <w:r>
        <w:rPr>
          <w:rFonts w:ascii="Arial" w:cs="Arial" w:eastAsia="Arial" w:hAnsi="Arial"/>
          <w:sz w:val="17"/>
          <w:szCs w:val="17"/>
          <w:color w:val="auto"/>
        </w:rPr>
        <w:t xml:space="preserve">The Credit Agreement also provides that the Company’s outstanding loans from Slipstream at December 31, 2021, consisting of its pre-existing $4,767 senior secured term loan and $2,418 secured convertible loan, with an aggregate of $7,185 in outstanding principal and accrued and unpaid interest under such loans, were consolidated into a term loan (the “Consolidation Term Loan”). The Consolidation Term Loan has an interest rate of 10.0%, with 75.0% warrant coverage (or 2,694,495 warrants). On the first day of each month, commencing March 1, 2022 through February 1, 2025, the Borrowers will make interest-only payments on the Consolidation Term Loan (estimated to be $60 per monthly payment). Commencing on September 1, 2023, and on the first day of each month thereafter until the Maturity Date, the Borrowers will make a payment on the Consolidation Term Loan, in an equal monthly installment of principal sufficient to fully amortize the Consolidation Term Loan in eighteen equal installments (estimated to be $399 per monthly installment). The Company assessed the combination of the pre-existing senior secured term loan and secured convertible loan in accordance with ASC 470 </w:t>
      </w:r>
      <w:r>
        <w:rPr>
          <w:rFonts w:ascii="Arial" w:cs="Arial" w:eastAsia="Arial" w:hAnsi="Arial"/>
          <w:sz w:val="17"/>
          <w:szCs w:val="17"/>
          <w:i w:val="1"/>
          <w:iCs w:val="1"/>
          <w:color w:val="auto"/>
        </w:rPr>
        <w:t xml:space="preserve">Debt </w:t>
      </w:r>
      <w:r>
        <w:rPr>
          <w:rFonts w:ascii="Arial" w:cs="Arial" w:eastAsia="Arial" w:hAnsi="Arial"/>
          <w:sz w:val="17"/>
          <w:szCs w:val="17"/>
          <w:color w:val="auto"/>
        </w:rPr>
        <w:t>and determined the transaction should be accounted for as an extinguishment, in part as the Consolidation Term Loan eliminated a substantive</w:t>
      </w:r>
      <w:r>
        <w:rPr>
          <w:rFonts w:ascii="Arial" w:cs="Arial" w:eastAsia="Arial" w:hAnsi="Arial"/>
          <w:sz w:val="17"/>
          <w:szCs w:val="17"/>
          <w:i w:val="1"/>
          <w:iCs w:val="1"/>
          <w:color w:val="auto"/>
        </w:rPr>
        <w:t xml:space="preserve"> </w:t>
      </w:r>
      <w:r>
        <w:rPr>
          <w:rFonts w:ascii="Arial" w:cs="Arial" w:eastAsia="Arial" w:hAnsi="Arial"/>
          <w:sz w:val="17"/>
          <w:szCs w:val="17"/>
          <w:color w:val="auto"/>
        </w:rPr>
        <w:t>conversion feature. In aggregate the Company recorded a loss on extinguishment of $295, primarily associated with the write-off of pre-existing debt discounts.</w:t>
      </w:r>
    </w:p>
    <w:p>
      <w:pPr>
        <w:spacing w:after="0" w:line="18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to refinancing the existing debt with Slipstream, the Company issued to Slipstream a $10,000, 36-month senior secured term loan (the “Acquisition Loan”) resulting in $10,000 in gross proceeds, or $9,950 in net proceeds. The Acquisition Loan matures on February 17, 2025 (the “Maturity Date”) and has an interest rate of 8.0%, with 50.0% warrant coverage (or 2,500,000 warrants). On the first day of each month, commencing March 1, 2022 through February 1, 2025, the Borrowers will make interest-only payments on the Acquisition Loan (estimated to be $67 per monthly payment). No principal payments on the Acquisition Loan are payable until the Maturity Date.</w:t>
      </w:r>
    </w:p>
    <w:p>
      <w:pPr>
        <w:spacing w:after="0" w:line="18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In connection with the Acquisition Loan and Consolidation Term Loan warrant coverage, the Company issued to Slipstream a warrant to purchase an aggregate of 5,194,495 shares of Company common stock (the “Lender Warrant”). The Lender Warrant has a five-year term, an initial exercise price of $2.00 per share, subject to adjustments in the Lender Warrant, and is not exercisable until August 17, 2022. The warrants were assessed in accordance with ASC 470 and ASC 815 </w:t>
      </w:r>
      <w:r>
        <w:rPr>
          <w:rFonts w:ascii="Arial" w:cs="Arial" w:eastAsia="Arial" w:hAnsi="Arial"/>
          <w:sz w:val="16"/>
          <w:szCs w:val="16"/>
          <w:i w:val="1"/>
          <w:iCs w:val="1"/>
          <w:color w:val="auto"/>
        </w:rPr>
        <w:t>Derivatives</w:t>
      </w:r>
      <w:r>
        <w:rPr>
          <w:rFonts w:ascii="Arial" w:cs="Arial" w:eastAsia="Arial" w:hAnsi="Arial"/>
          <w:sz w:val="16"/>
          <w:szCs w:val="16"/>
          <w:color w:val="auto"/>
        </w:rPr>
        <w:t xml:space="preserve"> and were deemed to represent bifurcated derivative instruments that should be recorded as liabilities in the Condensed Consolidated Balance Sheets. The Company performed a Black-Scholes valuation of the warrants as of the issuance date, resulting in a fair value of $0.8129 per warrant. In recording the warrant liability, the Company recorded a debt discount associated with each of the Acquisition and Consolidation Term Loans in an amount of $2,032 and $2,190, respectively. These amounts are being amortized straight-line through interest expense over the life of the loans, resulting in incremental interest expense of $166 and $525 during the three and six months ended June 30, 2022, respectively. The Company has deemed straight-line amortization to be materially consistent with the effective interest method.</w:t>
      </w:r>
    </w:p>
    <w:p>
      <w:pPr>
        <w:spacing w:after="0" w:line="16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certain circumstances, upon a fundamental transaction of the Company (e.g., a disposal or sale of all or the greater part of the assets or undertaking of the Company, an amalgamation or merger with another company, or implementation of a scheme of arrangement), the holder of the Lender Warrant will have the right to require the Company to repurchase the Lender Warrant at its fair value using a Black Scholes option pricing formula; provided that such holder may not require the Company or its successor entity to repurchase the Lender Warrant for the Black Scholes value in connection with a fundamental transaction that is not approved by the Company’s Board of Directors, and therefore not within the Company’s control.</w:t>
      </w:r>
    </w:p>
    <w:p>
      <w:pPr>
        <w:spacing w:after="0" w:line="16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Effective June 30, 2022, the Company amended the terms of the Lender Warrant to remove the holder’s option to exercise such warrant on a cashless basis utilizing the volume weighted average price (“VWAP”) of the Company’s common stock on the trading day immediately preceding the date of a notice of cashless exercise in certain circumstances, and remove the condition to exercising such warrant that the Company’s shareholders approve the exercise thereof (which has already been obtained). The amendments to the Lender Warrant also extend the term of such warrants for an additional one year, such that the Lender Warrant will expire on February 17, 2028. The foregoing amendments to the Lender Warrant were intended to cause such warrants to be accounted for as equity instruments on the Company’s financial statements.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2" w:name="page23"/>
    <w:bookmarkEnd w:id="22"/>
    <w:p>
      <w:pPr>
        <w:ind w:left="340"/>
        <w:spacing w:after="0"/>
        <w:rPr>
          <w:sz w:val="20"/>
          <w:szCs w:val="20"/>
          <w:color w:val="auto"/>
        </w:rPr>
      </w:pPr>
      <w:r>
        <w:rPr>
          <w:rFonts w:ascii="Arial" w:cs="Arial" w:eastAsia="Arial" w:hAnsi="Arial"/>
          <w:sz w:val="18"/>
          <w:szCs w:val="18"/>
          <w:b w:val="1"/>
          <w:bCs w:val="1"/>
          <w:i w:val="1"/>
          <w:iCs w:val="1"/>
          <w:color w:val="auto"/>
        </w:rPr>
        <w:t>Loan and Security Agreement History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Ninth, Tenth, Eleventh, Twelfth, and Thirteenth Amendment; Modification of Conversion Date of Special Loan under Loan and Security Agreement</w:t>
      </w:r>
    </w:p>
    <w:p>
      <w:pPr>
        <w:spacing w:after="0" w:line="24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Prior to the execution of the Credit Agreement, Borrower and Slipstream were parties to a Loan and Security Agreement. On March 7, 2021, On February 28, 2021, January 31, 2021, December 31, 2020, November 30, 2020, and September 29, 2020, the parties entered into several amendments to the Loan and Security Agreement to amend the automatic conversion date of the Special Loan and, later, to eliminate the conversion feature. Each amendment extended the automatic conversion date of the Special Loan. The Company paid no fees in exchange for these extensions, with the exception of the March 7, 2021 extension which resulted in the Company recording of $133 of incremental debt discount, a net gain of $26 via the extinguishment of the Special Loan, and expense of $69 of costs incurred with third parties as a result of extinguishment of the Special Loan, modification of the New Term Loan, and extinguishment of the Disbursed Escrow Loan.</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Secured Disbursed Escrow Promissory Note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Fourth Amendment to the Loan and Security Agreement included entry into a Secured Disbursed Escrow Promissory Note between the Company and Slipstream, and, effective June 30, 2018, we drew $264 in conjunction with our exit from a previously leased operating facility. The principal amount of the Secured Disbursed Escrow Promissory Note bore no interest. Upon entry into an amendment to the Loan and Security Agreement on March 7, 2021, this note was converted into Disbursed Escrow Conversion Shares, with elimination of the debt recorded as an equity issuance with the Statement of Shareholders Equity during the three months ended March 31,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COMMITMENTS AND CONTINGENCIES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August 2, 2019, the Company filed suit in Jefferson Circuit Court, Kentucky, against a supplier of Allure for breach of contract, breach of warranty, and negligence with respect to equipment installations performed by such supplier for an Allure customer. This case remains in the early stages of litigation, in part due to delays resulting from the COVID-19 pandemic, and, as a result, the outcome of each case is unclear, so the Company is unable to reasonably estimate the possible recovery, or range of recovery, if any.</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October 10, 2019, the Allure customer that is the basis of our claim above sent a demand to the Company for payment of $3,200 as settlement for an alleged breach of contract related to hardware failures of equipment installations performed by Allure between November 2017 and August 2018. The suits filed by and against Allure have been adjoined in the Jefferson Circuit Court, Kentucky in January 2020. As a result of court delays as a result of the COVID-19 pandemic, this suit remains in the early stages of litigation with discovery requests ongoing, and, as a result, the outcome of the suit and the allocation of liability, if any, remain unclear. The Company is unable to reasonably estimate the possible liability, recovery, or range of magnitude for either the liability or recovery, if any, at the time of this filing.</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has notified its insurance company on notice of potential claims and continues to evaluate both the claim made by the customer and potential avenues for recovery against third parties should the customer prevail.</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Except as noted above, the Company is not party to any other material legal proceedings, other than ordinary routine litigation incidental to the business, and there were no other such proceedings pending during the period covered by this Report.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Settlement of obligations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individually material settlements during the six months ended June 30, 2022.</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six months ended June 30, 2021, (i) the full principal amount of the PPP Loan and the accrued interest of $1,552 were forgiven and recorded as a gain on settlement, and (ii) the Company settled the Amended and Restated Seller Note and related accrued interest for $100, recording a gain on settlement of $1,624, representing $1,538 related to the Amended and Restated Seller Note and $86 of related interest thereon, during the three months ended June 30, 2021.</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auto"/>
        </w:rPr>
        <w:t>NOTE 11: INCOME TAXES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deferred tax assets are primarily related to net federal and state operating loss carryforwards (NOLs). We have substantial NOLs that are limited in usage by IRC Section 382. IRC Section 382 generally imposes an annual limitation on the amount of NOLs that may be used to offset taxable income when a corporation has undergone significant changes in stock ownership within a statutory testing period. We have performed a preliminary analysis of the annual NOL carryforwards and limitations that are available to be used against taxable income. Based on the history of losses of the Company, there continues to be a full valuation allowance against the net deferred tax assets of the Company with a definite life.</w:t>
      </w:r>
    </w:p>
    <w:p>
      <w:pPr>
        <w:spacing w:after="0" w:line="17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June 30, 2022, we reported tax liability of $0. As of June 30, 2022, the net deferred tax assets totaled $0 after valuation allowance, consistent with December 31, 2021.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NOTE 12: WARRANTS</w:t>
            </w:r>
          </w:p>
        </w:tc>
        <w:tc>
          <w:tcPr>
            <w:tcW w:w="5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53"/>
        </w:trPr>
        <w:tc>
          <w:tcPr>
            <w:tcW w:w="7320" w:type="dxa"/>
            <w:vAlign w:val="bottom"/>
            <w:gridSpan w:val="2"/>
          </w:tcPr>
          <w:p>
            <w:pPr>
              <w:ind w:left="660"/>
              <w:spacing w:after="0"/>
              <w:rPr>
                <w:sz w:val="20"/>
                <w:szCs w:val="20"/>
                <w:color w:val="auto"/>
              </w:rPr>
            </w:pPr>
            <w:r>
              <w:rPr>
                <w:rFonts w:ascii="Arial" w:cs="Arial" w:eastAsia="Arial" w:hAnsi="Arial"/>
                <w:sz w:val="18"/>
                <w:szCs w:val="18"/>
                <w:color w:val="auto"/>
              </w:rPr>
              <w:t>A summary of outstanding warrants is included below:</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2"/>
        </w:trPr>
        <w:tc>
          <w:tcPr>
            <w:tcW w:w="188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94"/>
              </w:rPr>
              <w:t>Warrants (Equity)</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188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7"/>
                <w:szCs w:val="17"/>
                <w:color w:val="auto"/>
              </w:rPr>
            </w:pPr>
          </w:p>
        </w:tc>
      </w:tr>
      <w:tr>
        <w:trPr>
          <w:trHeight w:val="216"/>
        </w:trPr>
        <w:tc>
          <w:tcPr>
            <w:tcW w:w="188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Weighted</w:t>
            </w:r>
          </w:p>
        </w:tc>
        <w:tc>
          <w:tcPr>
            <w:tcW w:w="1220" w:type="dxa"/>
            <w:vAlign w:val="bottom"/>
            <w:gridSpan w:val="2"/>
          </w:tcPr>
          <w:p>
            <w:pPr>
              <w:jc w:val="center"/>
              <w:ind w:right="81"/>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188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Average</w:t>
            </w:r>
          </w:p>
        </w:tc>
        <w:tc>
          <w:tcPr>
            <w:tcW w:w="1220" w:type="dxa"/>
            <w:vAlign w:val="bottom"/>
            <w:gridSpan w:val="2"/>
          </w:tcPr>
          <w:p>
            <w:pPr>
              <w:jc w:val="center"/>
              <w:ind w:right="61"/>
              <w:spacing w:after="0"/>
              <w:rPr>
                <w:sz w:val="20"/>
                <w:szCs w:val="20"/>
                <w:color w:val="auto"/>
              </w:rPr>
            </w:pPr>
            <w:r>
              <w:rPr>
                <w:rFonts w:ascii="Arial" w:cs="Arial" w:eastAsia="Arial" w:hAnsi="Arial"/>
                <w:sz w:val="18"/>
                <w:szCs w:val="18"/>
                <w:b w:val="1"/>
                <w:bCs w:val="1"/>
                <w:color w:val="auto"/>
                <w:w w:val="91"/>
              </w:rPr>
              <w:t>Remaining</w:t>
            </w:r>
          </w:p>
        </w:tc>
      </w:tr>
      <w:tr>
        <w:trPr>
          <w:trHeight w:val="216"/>
        </w:trPr>
        <w:tc>
          <w:tcPr>
            <w:tcW w:w="188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Exercise</w:t>
            </w:r>
          </w:p>
        </w:tc>
        <w:tc>
          <w:tcPr>
            <w:tcW w:w="1220" w:type="dxa"/>
            <w:vAlign w:val="bottom"/>
            <w:gridSpan w:val="2"/>
          </w:tcPr>
          <w:p>
            <w:pPr>
              <w:jc w:val="center"/>
              <w:ind w:right="61"/>
              <w:spacing w:after="0"/>
              <w:rPr>
                <w:sz w:val="20"/>
                <w:szCs w:val="20"/>
                <w:color w:val="auto"/>
              </w:rPr>
            </w:pPr>
            <w:r>
              <w:rPr>
                <w:rFonts w:ascii="Arial" w:cs="Arial" w:eastAsia="Arial" w:hAnsi="Arial"/>
                <w:sz w:val="18"/>
                <w:szCs w:val="18"/>
                <w:b w:val="1"/>
                <w:bCs w:val="1"/>
                <w:color w:val="auto"/>
                <w:w w:val="91"/>
              </w:rPr>
              <w:t>Contractual</w:t>
            </w:r>
          </w:p>
        </w:tc>
      </w:tr>
      <w:tr>
        <w:trPr>
          <w:trHeight w:val="241"/>
        </w:trPr>
        <w:tc>
          <w:tcPr>
            <w:tcW w:w="188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380" w:type="dxa"/>
            <w:vAlign w:val="bottom"/>
            <w:gridSpan w:val="2"/>
          </w:tcPr>
          <w:p>
            <w:pPr>
              <w:jc w:val="right"/>
              <w:ind w:right="416"/>
              <w:spacing w:after="0"/>
              <w:rPr>
                <w:sz w:val="20"/>
                <w:szCs w:val="20"/>
                <w:color w:val="auto"/>
              </w:rPr>
            </w:pPr>
            <w:r>
              <w:rPr>
                <w:rFonts w:ascii="Arial" w:cs="Arial" w:eastAsia="Arial" w:hAnsi="Arial"/>
                <w:sz w:val="18"/>
                <w:szCs w:val="18"/>
                <w:b w:val="1"/>
                <w:bCs w:val="1"/>
                <w:color w:val="auto"/>
              </w:rPr>
              <w:t>Amount</w:t>
            </w:r>
          </w:p>
        </w:tc>
        <w:tc>
          <w:tcPr>
            <w:tcW w:w="140" w:type="dxa"/>
            <w:vAlign w:val="bottom"/>
          </w:tcPr>
          <w:p>
            <w:pPr>
              <w:spacing w:after="0"/>
              <w:rPr>
                <w:sz w:val="20"/>
                <w:szCs w:val="20"/>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Price</w:t>
            </w:r>
          </w:p>
        </w:tc>
        <w:tc>
          <w:tcPr>
            <w:tcW w:w="1220" w:type="dxa"/>
            <w:vAlign w:val="bottom"/>
            <w:gridSpan w:val="2"/>
          </w:tcPr>
          <w:p>
            <w:pPr>
              <w:jc w:val="center"/>
              <w:ind w:right="21"/>
              <w:spacing w:after="0"/>
              <w:rPr>
                <w:sz w:val="20"/>
                <w:szCs w:val="20"/>
                <w:color w:val="auto"/>
              </w:rPr>
            </w:pPr>
            <w:r>
              <w:rPr>
                <w:rFonts w:ascii="Arial" w:cs="Arial" w:eastAsia="Arial" w:hAnsi="Arial"/>
                <w:sz w:val="18"/>
                <w:szCs w:val="18"/>
                <w:b w:val="1"/>
                <w:bCs w:val="1"/>
                <w:color w:val="auto"/>
                <w:w w:val="99"/>
              </w:rPr>
              <w:t>Life</w:t>
            </w:r>
          </w:p>
        </w:tc>
      </w:tr>
      <w:tr>
        <w:trPr>
          <w:trHeight w:val="216"/>
        </w:trPr>
        <w:tc>
          <w:tcPr>
            <w:tcW w:w="73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December 31, 2021</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4,103,211</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Warrants issued</w:t>
            </w:r>
          </w:p>
        </w:tc>
        <w:tc>
          <w:tcPr>
            <w:tcW w:w="1380" w:type="dxa"/>
            <w:vAlign w:val="bottom"/>
            <w:gridSpan w:val="2"/>
          </w:tcPr>
          <w:p>
            <w:pPr>
              <w:jc w:val="right"/>
              <w:ind w:right="156"/>
              <w:spacing w:after="0"/>
              <w:rPr>
                <w:sz w:val="20"/>
                <w:szCs w:val="20"/>
                <w:color w:val="auto"/>
              </w:rPr>
            </w:pPr>
            <w:r>
              <w:rPr>
                <w:rFonts w:ascii="Arial" w:cs="Arial" w:eastAsia="Arial" w:hAnsi="Arial"/>
                <w:sz w:val="18"/>
                <w:szCs w:val="18"/>
                <w:color w:val="auto"/>
              </w:rPr>
              <w:t>5,851,505</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1.535</w:t>
            </w: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5.00</w:t>
            </w:r>
          </w:p>
        </w:tc>
      </w:tr>
      <w:tr>
        <w:trPr>
          <w:trHeight w:val="249"/>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 exercised</w:t>
            </w:r>
          </w:p>
        </w:tc>
        <w:tc>
          <w:tcPr>
            <w:tcW w:w="1380" w:type="dxa"/>
            <w:vAlign w:val="bottom"/>
            <w:gridSpan w:val="2"/>
            <w:shd w:val="clear" w:color="auto" w:fill="CCEEFF"/>
          </w:tcPr>
          <w:p>
            <w:pPr>
              <w:jc w:val="right"/>
              <w:ind w:right="96"/>
              <w:spacing w:after="0"/>
              <w:rPr>
                <w:sz w:val="20"/>
                <w:szCs w:val="20"/>
                <w:color w:val="auto"/>
              </w:rPr>
            </w:pPr>
            <w:r>
              <w:rPr>
                <w:rFonts w:ascii="Arial" w:cs="Arial" w:eastAsia="Arial" w:hAnsi="Arial"/>
                <w:sz w:val="18"/>
                <w:szCs w:val="18"/>
                <w:color w:val="auto"/>
              </w:rPr>
              <w:t>(5,851,505)</w:t>
            </w: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1.535</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4.86</w:t>
            </w:r>
          </w:p>
        </w:tc>
      </w:tr>
      <w:tr>
        <w:trPr>
          <w:trHeight w:val="210"/>
        </w:trPr>
        <w:tc>
          <w:tcPr>
            <w:tcW w:w="7320" w:type="dxa"/>
            <w:vAlign w:val="bottom"/>
            <w:tcBorders>
              <w:top w:val="single" w:sz="8" w:color="CCEEFF"/>
              <w:bottom w:val="single" w:sz="8" w:color="CCEEFF"/>
            </w:tcBorders>
            <w:gridSpan w:val="2"/>
          </w:tcPr>
          <w:p>
            <w:pPr>
              <w:spacing w:after="0" w:line="203" w:lineRule="exact"/>
              <w:rPr>
                <w:sz w:val="20"/>
                <w:szCs w:val="20"/>
                <w:color w:val="auto"/>
              </w:rPr>
            </w:pPr>
            <w:r>
              <w:rPr>
                <w:rFonts w:ascii="Arial" w:cs="Arial" w:eastAsia="Arial" w:hAnsi="Arial"/>
                <w:sz w:val="18"/>
                <w:szCs w:val="18"/>
                <w:color w:val="auto"/>
              </w:rPr>
              <w:t>Warrants reclassified</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13,761,000</w:t>
            </w:r>
          </w:p>
        </w:tc>
        <w:tc>
          <w:tcPr>
            <w:tcW w:w="24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1.63</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4.61</w:t>
            </w:r>
          </w:p>
        </w:tc>
        <w:tc>
          <w:tcPr>
            <w:tcW w:w="100" w:type="dxa"/>
            <w:vAlign w:val="bottom"/>
            <w:tcBorders>
              <w:top w:val="single" w:sz="8" w:color="CCEEFF"/>
              <w:bottom w:val="single" w:sz="8" w:color="CCEEFF"/>
            </w:tcBorders>
          </w:tcPr>
          <w:p>
            <w:pPr>
              <w:spacing w:after="0"/>
              <w:rPr>
                <w:sz w:val="18"/>
                <w:szCs w:val="18"/>
                <w:color w:val="auto"/>
              </w:rPr>
            </w:pPr>
          </w:p>
        </w:tc>
      </w:tr>
      <w:tr>
        <w:trPr>
          <w:trHeight w:val="250"/>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June 30, 2022</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17,864,211</w:t>
            </w: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2.21</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3.83</w:t>
            </w: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54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53"/>
        </w:trPr>
        <w:tc>
          <w:tcPr>
            <w:tcW w:w="188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2700" w:type="dxa"/>
            <w:vAlign w:val="bottom"/>
            <w:tcBorders>
              <w:bottom w:val="single" w:sz="8" w:color="auto"/>
            </w:tcBorders>
            <w:gridSpan w:val="5"/>
          </w:tcPr>
          <w:p>
            <w:pPr>
              <w:jc w:val="center"/>
              <w:ind w:left="1030"/>
              <w:spacing w:after="0"/>
              <w:rPr>
                <w:sz w:val="20"/>
                <w:szCs w:val="20"/>
                <w:color w:val="auto"/>
              </w:rPr>
            </w:pPr>
            <w:r>
              <w:rPr>
                <w:rFonts w:ascii="Arial" w:cs="Arial" w:eastAsia="Arial" w:hAnsi="Arial"/>
                <w:sz w:val="18"/>
                <w:szCs w:val="18"/>
                <w:b w:val="1"/>
                <w:bCs w:val="1"/>
                <w:color w:val="auto"/>
                <w:w w:val="96"/>
              </w:rPr>
              <w:t>Warrants (Liability)</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1880" w:type="dxa"/>
            <w:vAlign w:val="bottom"/>
          </w:tcPr>
          <w:p>
            <w:pPr>
              <w:spacing w:after="0"/>
              <w:rPr>
                <w:sz w:val="17"/>
                <w:szCs w:val="17"/>
                <w:color w:val="auto"/>
              </w:rPr>
            </w:pPr>
          </w:p>
        </w:tc>
        <w:tc>
          <w:tcPr>
            <w:tcW w:w="5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7"/>
                <w:szCs w:val="17"/>
                <w:color w:val="auto"/>
              </w:rPr>
            </w:pPr>
          </w:p>
        </w:tc>
      </w:tr>
      <w:tr>
        <w:trPr>
          <w:trHeight w:val="216"/>
        </w:trPr>
        <w:tc>
          <w:tcPr>
            <w:tcW w:w="188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Weighted</w:t>
            </w:r>
          </w:p>
        </w:tc>
        <w:tc>
          <w:tcPr>
            <w:tcW w:w="1220" w:type="dxa"/>
            <w:vAlign w:val="bottom"/>
            <w:gridSpan w:val="2"/>
          </w:tcPr>
          <w:p>
            <w:pPr>
              <w:jc w:val="center"/>
              <w:ind w:right="81"/>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188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Average</w:t>
            </w:r>
          </w:p>
        </w:tc>
        <w:tc>
          <w:tcPr>
            <w:tcW w:w="1220" w:type="dxa"/>
            <w:vAlign w:val="bottom"/>
            <w:gridSpan w:val="2"/>
          </w:tcPr>
          <w:p>
            <w:pPr>
              <w:jc w:val="center"/>
              <w:ind w:right="61"/>
              <w:spacing w:after="0"/>
              <w:rPr>
                <w:sz w:val="20"/>
                <w:szCs w:val="20"/>
                <w:color w:val="auto"/>
              </w:rPr>
            </w:pPr>
            <w:r>
              <w:rPr>
                <w:rFonts w:ascii="Arial" w:cs="Arial" w:eastAsia="Arial" w:hAnsi="Arial"/>
                <w:sz w:val="18"/>
                <w:szCs w:val="18"/>
                <w:b w:val="1"/>
                <w:bCs w:val="1"/>
                <w:color w:val="auto"/>
                <w:w w:val="91"/>
              </w:rPr>
              <w:t>Remaining</w:t>
            </w:r>
          </w:p>
        </w:tc>
      </w:tr>
      <w:tr>
        <w:trPr>
          <w:trHeight w:val="216"/>
        </w:trPr>
        <w:tc>
          <w:tcPr>
            <w:tcW w:w="188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Exercise</w:t>
            </w:r>
          </w:p>
        </w:tc>
        <w:tc>
          <w:tcPr>
            <w:tcW w:w="1220" w:type="dxa"/>
            <w:vAlign w:val="bottom"/>
            <w:gridSpan w:val="2"/>
          </w:tcPr>
          <w:p>
            <w:pPr>
              <w:jc w:val="center"/>
              <w:ind w:right="61"/>
              <w:spacing w:after="0"/>
              <w:rPr>
                <w:sz w:val="20"/>
                <w:szCs w:val="20"/>
                <w:color w:val="auto"/>
              </w:rPr>
            </w:pPr>
            <w:r>
              <w:rPr>
                <w:rFonts w:ascii="Arial" w:cs="Arial" w:eastAsia="Arial" w:hAnsi="Arial"/>
                <w:sz w:val="18"/>
                <w:szCs w:val="18"/>
                <w:b w:val="1"/>
                <w:bCs w:val="1"/>
                <w:color w:val="auto"/>
                <w:w w:val="91"/>
              </w:rPr>
              <w:t>Contractual</w:t>
            </w:r>
          </w:p>
        </w:tc>
      </w:tr>
      <w:tr>
        <w:trPr>
          <w:trHeight w:val="241"/>
        </w:trPr>
        <w:tc>
          <w:tcPr>
            <w:tcW w:w="188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380" w:type="dxa"/>
            <w:vAlign w:val="bottom"/>
            <w:gridSpan w:val="2"/>
          </w:tcPr>
          <w:p>
            <w:pPr>
              <w:jc w:val="right"/>
              <w:ind w:right="416"/>
              <w:spacing w:after="0"/>
              <w:rPr>
                <w:sz w:val="20"/>
                <w:szCs w:val="20"/>
                <w:color w:val="auto"/>
              </w:rPr>
            </w:pPr>
            <w:r>
              <w:rPr>
                <w:rFonts w:ascii="Arial" w:cs="Arial" w:eastAsia="Arial" w:hAnsi="Arial"/>
                <w:sz w:val="18"/>
                <w:szCs w:val="18"/>
                <w:b w:val="1"/>
                <w:bCs w:val="1"/>
                <w:color w:val="auto"/>
              </w:rPr>
              <w:t>Amount</w:t>
            </w:r>
          </w:p>
        </w:tc>
        <w:tc>
          <w:tcPr>
            <w:tcW w:w="140" w:type="dxa"/>
            <w:vAlign w:val="bottom"/>
          </w:tcPr>
          <w:p>
            <w:pPr>
              <w:spacing w:after="0"/>
              <w:rPr>
                <w:sz w:val="20"/>
                <w:szCs w:val="20"/>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Price</w:t>
            </w:r>
          </w:p>
        </w:tc>
        <w:tc>
          <w:tcPr>
            <w:tcW w:w="1220" w:type="dxa"/>
            <w:vAlign w:val="bottom"/>
            <w:gridSpan w:val="2"/>
          </w:tcPr>
          <w:p>
            <w:pPr>
              <w:jc w:val="center"/>
              <w:ind w:right="21"/>
              <w:spacing w:after="0"/>
              <w:rPr>
                <w:sz w:val="20"/>
                <w:szCs w:val="20"/>
                <w:color w:val="auto"/>
              </w:rPr>
            </w:pPr>
            <w:r>
              <w:rPr>
                <w:rFonts w:ascii="Arial" w:cs="Arial" w:eastAsia="Arial" w:hAnsi="Arial"/>
                <w:sz w:val="18"/>
                <w:szCs w:val="18"/>
                <w:b w:val="1"/>
                <w:bCs w:val="1"/>
                <w:color w:val="auto"/>
                <w:w w:val="99"/>
              </w:rPr>
              <w:t>Life</w:t>
            </w:r>
          </w:p>
        </w:tc>
      </w:tr>
      <w:tr>
        <w:trPr>
          <w:trHeight w:val="216"/>
        </w:trPr>
        <w:tc>
          <w:tcPr>
            <w:tcW w:w="73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December 31, 2021</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Warrants issued</w:t>
            </w:r>
          </w:p>
        </w:tc>
        <w:tc>
          <w:tcPr>
            <w:tcW w:w="1380" w:type="dxa"/>
            <w:vAlign w:val="bottom"/>
            <w:gridSpan w:val="2"/>
          </w:tcPr>
          <w:p>
            <w:pPr>
              <w:jc w:val="right"/>
              <w:ind w:right="156"/>
              <w:spacing w:after="0"/>
              <w:rPr>
                <w:sz w:val="20"/>
                <w:szCs w:val="20"/>
                <w:color w:val="auto"/>
              </w:rPr>
            </w:pPr>
            <w:r>
              <w:rPr>
                <w:rFonts w:ascii="Arial" w:cs="Arial" w:eastAsia="Arial" w:hAnsi="Arial"/>
                <w:sz w:val="18"/>
                <w:szCs w:val="18"/>
                <w:color w:val="auto"/>
              </w:rPr>
              <w:t>13,761,000</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1.63</w:t>
            </w:r>
          </w:p>
        </w:tc>
        <w:tc>
          <w:tcPr>
            <w:tcW w:w="1220" w:type="dxa"/>
            <w:vAlign w:val="bottom"/>
            <w:gridSpan w:val="2"/>
          </w:tcPr>
          <w:p>
            <w:pPr>
              <w:jc w:val="right"/>
              <w:ind w:right="21"/>
              <w:spacing w:after="0"/>
              <w:rPr>
                <w:sz w:val="20"/>
                <w:szCs w:val="20"/>
                <w:color w:val="auto"/>
              </w:rPr>
            </w:pPr>
            <w:r>
              <w:rPr>
                <w:rFonts w:ascii="Arial" w:cs="Arial" w:eastAsia="Arial" w:hAnsi="Arial"/>
                <w:sz w:val="18"/>
                <w:szCs w:val="18"/>
                <w:color w:val="auto"/>
              </w:rPr>
              <w:t>5.00</w:t>
            </w:r>
          </w:p>
        </w:tc>
      </w:tr>
      <w:tr>
        <w:trPr>
          <w:trHeight w:val="250"/>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 expired</w:t>
            </w:r>
          </w:p>
        </w:tc>
        <w:tc>
          <w:tcPr>
            <w:tcW w:w="1380" w:type="dxa"/>
            <w:vAlign w:val="bottom"/>
            <w:gridSpan w:val="2"/>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0"/>
        </w:trPr>
        <w:tc>
          <w:tcPr>
            <w:tcW w:w="7320" w:type="dxa"/>
            <w:vAlign w:val="bottom"/>
            <w:tcBorders>
              <w:top w:val="single" w:sz="8" w:color="CCEEFF"/>
              <w:bottom w:val="single" w:sz="8" w:color="CCEEFF"/>
            </w:tcBorders>
            <w:gridSpan w:val="2"/>
          </w:tcPr>
          <w:p>
            <w:pPr>
              <w:spacing w:after="0" w:line="203" w:lineRule="exact"/>
              <w:rPr>
                <w:sz w:val="20"/>
                <w:szCs w:val="20"/>
                <w:color w:val="auto"/>
              </w:rPr>
            </w:pPr>
            <w:r>
              <w:rPr>
                <w:rFonts w:ascii="Arial" w:cs="Arial" w:eastAsia="Arial" w:hAnsi="Arial"/>
                <w:sz w:val="18"/>
                <w:szCs w:val="18"/>
                <w:color w:val="auto"/>
              </w:rPr>
              <w:t>Warrants reclassified</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(13,761,000</w:t>
            </w:r>
          </w:p>
        </w:tc>
        <w:tc>
          <w:tcPr>
            <w:tcW w:w="240" w:type="dxa"/>
            <w:vAlign w:val="bottom"/>
            <w:tcBorders>
              <w:top w:val="single" w:sz="8" w:color="CCEEFF"/>
              <w:bottom w:val="single" w:sz="8" w:color="CCEEFF"/>
            </w:tcBorders>
          </w:tcPr>
          <w:p>
            <w:pPr>
              <w:jc w:val="right"/>
              <w:ind w:right="96"/>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1.63</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(5.00</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50"/>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June 30, 2022</w:t>
            </w:r>
          </w:p>
        </w:tc>
        <w:tc>
          <w:tcPr>
            <w:tcW w:w="1380" w:type="dxa"/>
            <w:vAlign w:val="bottom"/>
            <w:gridSpan w:val="2"/>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54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On February 3, 2022, the Company entered into a Securities Purchase Agreement with a purchaser (the “Purchaser”), pursuant to which the Company agreed to issue and sell to the Purchaser, in a private placement priced at-the-market under Nasdaq rules, (i) 1,315,000 shares (the “Shares”) of the Company’s common stock, par value $0.01 per share (the “Common Stock”) and accompanying warrants to purchase an aggregate of 1,315,000 shares of Common Stock, and (ii) pre-funded warrants to purchase up to an aggregate of 5,851,505 shares of Common Stock (the “Pre-Funded Warrants”) and accompanying warrants to purchase an aggregate of 5,851,505 shares of Common Stock (collectively, the “Private Placement”). The accompanying warrants to purchase Common Stock are referred to herein collectively as the “Common Stock Warrants.” Under the Securities Purchase Agreement, each Share and accompanying warrants to purchase Common Stock were sold together at a combined price of $1.535, and each Pre-Funded Warrant and accompanying warrants to purchase Common Stock were sold together at a combined price of $1.5349, for gross proceeds of approximately $11,000, before deducting placement agent fees and estimated offering expenses payable by the Company. During the three months ended March 31, 2022, each of the Pre-Funded Warrants were exercised. The Common Stock Warrants expired five years from the date of issuance. The Company evaluated the Pre-Funded Warrants and concluded that they met the criteria to be classified within stockholders’ equity, with proceeds recorded as common stock and additional paid-in-capital. The Company evaluated the Common Stock Warrant and concluded they did not meet the criteria to be classified within stockholders’ equity. The Common Stock Warrant included provisions which could result in a different settlement value for the Common Stock Warrant depending on the registration status of the underlying shares. Because these conditions were not an input into the pricing of a fixed-for-fixed option on the Company’s ordinary shares, the Common Stock Warrant was not considered to be indexed to the Company’s own stock. The Company recorded these warrants as liabilities on the consolidated balance sheets at fair value, with subsequent changes in their respective fair values recognized in the consolidated statements of operations at each reporting date. At the date of issuance, the Company performed a Black-Scholes valuation of the warrants, resulting in a fair value of $1.0927 per warrant. At June 30, 2022, the Company reassessed the fair value of these warrants via Black Scholes valuation methodology and determined that the fair value of these warrants was $0.4019 per warrant, resulting in the Company recording a gain on the fair value of these warrants of $1,287 and $4,951 in the Condensed Consolidated Statement of Operations for the three and six months ended June 30, 2022, respectively.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4" w:name="page25"/>
    <w:bookmarkEnd w:id="24"/>
    <w:p>
      <w:pPr>
        <w:jc w:val="both"/>
        <w:ind w:firstLine="648"/>
        <w:spacing w:after="0" w:line="285" w:lineRule="auto"/>
        <w:rPr>
          <w:sz w:val="20"/>
          <w:szCs w:val="20"/>
          <w:color w:val="auto"/>
        </w:rPr>
      </w:pPr>
      <w:r>
        <w:rPr>
          <w:rFonts w:ascii="Arial" w:cs="Arial" w:eastAsia="Arial" w:hAnsi="Arial"/>
          <w:sz w:val="16"/>
          <w:szCs w:val="16"/>
          <w:color w:val="auto"/>
        </w:rPr>
        <w:t>On February 17, 2022, in connection with the restructured Credit Agreement with Slipstream, the Company issued 5,194,495 warrants with an exercise price of $2.00 per share which expire five years from the date of issuance (the “Lender Warrant”). These warrants are not exercisable until 180 days after the issuance date. The common shares underlying these warrants have not yet been registered for resale under the Securities Act of 1933, which provides Slipstream with an option for cashless exercise once the warrant becomes exercisable until such time as such registration occurs. The Lender Warrant expired five years from the date of issuance. The Company evaluated the Lender Warrant and concluded that it did not meet the criteria to be classified within stockholders’ equity. The Lender Warrant included provisions that could result in a different settlement value for the Lender Warrant depending on the registration status of the underlying shares. Because these conditions were not an input into the pricing of a fixed-for-fixed option on the Company’s ordinary shares, the Lender Warrant was not considered to be indexed to the Company’s own stock. The Company recorded these warrants as liabilities on the consolidated balance sheets at fair value, with subsequent changes in their respective fair values recognized in the consolidated statements of operations at each reporting date. At the date of issuance, the Company performed a Black-Scholes valuation of the warrants, resulting in a fair value of $0.8129 per warrant. In recording the warrant liability, the Company recorded an increase in debt discount in the Condensed Consolidated Balance Sheet associated with the issuance of the warrants of $4,223, which is being amortized through interest expense in the Condensed Consolidated Statement of Operations over the life of the Acquisition and Consolidation Term Loans. At June 30, 2022, the Company reassessed the fair value of these warrants via Black Scholes valuation methodology and determined that the fair value of these warrants was $0.3699 per warrant, resulting in the Company recording a gain on the fair value of these warrants of $894 and $2,302 in the Condensed Consolidated Statement of Operations for the three and six months ended June 30, 2022, respectively.</w:t>
      </w:r>
    </w:p>
    <w:p>
      <w:pPr>
        <w:spacing w:after="0" w:line="17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On February 17, 2022, in connection with obtaining a waiver of certain restrictions in investment documents between an investor and the Company in order to consummate the financing contemplated by the Credit Agreement, the Company paid consideration to such investor in the form of a warrant (the “Purchaser Warrant”) to purchase 1,400,000 shares of Company common stock in an at-the-market offering under Nasdaq rules. The number of shares of Company common stock subject to the Purchaser Warrant is equal to the waiver fee ($175) divided by $0.125 per share. The exercise price of the Purchaser Warrant is $1.41 per share, and the Purchaser Warrant is not exercisable until August 17, 2022. The Purchaser Warrant expired five years from the date of issuance. The Company evaluated the Purchaser Warrant and concluded that it did not meet the criteria to be classified within stockholders’ equity. The Purchaser Warrant included provisions which could result in a different settlement value for the Purchaser Warrant depending on the registration status of the underlying shares. Because these conditions were not an input into the pricing of a fixed-for-fixed option on the Company’s ordinary shares, the Purchaser Warrant was not considered to be indexed to the Company’s own stock. The Company recorded these warrants as liabilities on the consolidated balance sheets at fair value, with subsequent changes in their respective fair values recognized in the consolidated statements of operations at each reporting date. At the date of issuance, the Company performed a Black-Scholes valuation of the Purchaser Warrant, resulting in a fair value of $0.8656 per warrant. In recording the warrant liability, the Company recorded an expense in the Condensed Consolidated Statement of Operations associated with the issuance of the Purchaser Warrant of $1,211. At June 30, 2022, the Company reassessed the fair value of the Purchase Warrant via Black Scholes valuation methodology and determined that the fair value of the Purchaser Warrant was $0.4017 per warrant, resulting in the Company recording a gain on the fair value of the Purchaser Warrant of $252 and $650 in the Condensed Consolidated Statement of Operations for the three and six months ended June 30, 2022, respectively.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5" w:name="page26"/>
    <w:bookmarkEnd w:id="25"/>
    <w:p>
      <w:pPr>
        <w:jc w:val="both"/>
        <w:ind w:firstLine="648"/>
        <w:spacing w:after="0" w:line="273" w:lineRule="auto"/>
        <w:rPr>
          <w:sz w:val="20"/>
          <w:szCs w:val="20"/>
          <w:color w:val="auto"/>
        </w:rPr>
      </w:pPr>
      <w:r>
        <w:rPr>
          <w:rFonts w:ascii="Arial" w:cs="Arial" w:eastAsia="Arial" w:hAnsi="Arial"/>
          <w:sz w:val="17"/>
          <w:szCs w:val="17"/>
          <w:color w:val="auto"/>
        </w:rPr>
        <w:t>Effective June 30, 2022, the Company amended the terms of the Common Stock Warrant (7,166,505 warrants), Lender Warrant (5,194,495 warrants) and Purchaser Warrant (1,400,000 warrants). The amendments to such warrants removes the holder’s option to determine the value of such warrants utilizing the volume weighted average price (“VWAP”) of the Company’s common stock on the trading day immediately preceding the date of a notice in a cashless exercise, and removes the condition to exercising such warrants that the Company’s shareholders approve the exercise thereof (which has already been obtained). The amendments to the warrants also extend the term of such warrants for an additional one year, such that the Common Stock Warrant will expire on February 3, 2028, and the Lender Warrant and Purchaser Warrant will expire on February 17, 2028.</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a result of the extension in term provided in exchange for the amendment, the Company reassessed the fair value of each of the Common Stock, Lender and Purchaser Warrants, resulting in the Company recording a loss on the fair value of these warrants of $345 in the Condensed Consolidated Statement of Operations for the three months ended June 30, 2022. The foregoing amendments to the warrants resulted in such warrants to be accounted for as equity instruments on the Company’s financial statements as of June 30, 2022. As such, following recording the gains and losses with respect to these warrant amendments, the Company reclassified the warrant liability of $5,709 from noncurrent liabilities to additional paid-in-capital as of June 30, 2022.</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NOTE 13: STOCK-BASED COMPENSATION</w:t>
            </w:r>
          </w:p>
        </w:tc>
        <w:tc>
          <w:tcPr>
            <w:tcW w:w="960" w:type="dxa"/>
            <w:vAlign w:val="bottom"/>
            <w:gridSpan w:val="2"/>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53"/>
        </w:trPr>
        <w:tc>
          <w:tcPr>
            <w:tcW w:w="4620" w:type="dxa"/>
            <w:vAlign w:val="bottom"/>
            <w:gridSpan w:val="3"/>
          </w:tcPr>
          <w:p>
            <w:pPr>
              <w:ind w:left="660"/>
              <w:spacing w:after="0"/>
              <w:rPr>
                <w:sz w:val="20"/>
                <w:szCs w:val="20"/>
                <w:color w:val="auto"/>
              </w:rPr>
            </w:pPr>
            <w:r>
              <w:rPr>
                <w:rFonts w:ascii="Arial" w:cs="Arial" w:eastAsia="Arial" w:hAnsi="Arial"/>
                <w:sz w:val="18"/>
                <w:szCs w:val="18"/>
                <w:color w:val="auto"/>
                <w:w w:val="93"/>
              </w:rPr>
              <w:t>A summary of outstanding options is included below:</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4620" w:type="dxa"/>
            <w:vAlign w:val="bottom"/>
            <w:gridSpan w:val="3"/>
          </w:tcPr>
          <w:p>
            <w:pPr>
              <w:spacing w:after="0"/>
              <w:rPr>
                <w:sz w:val="20"/>
                <w:szCs w:val="20"/>
                <w:color w:val="auto"/>
              </w:rPr>
            </w:pPr>
            <w:r>
              <w:rPr>
                <w:rFonts w:ascii="Arial" w:cs="Arial" w:eastAsia="Arial" w:hAnsi="Arial"/>
                <w:sz w:val="18"/>
                <w:szCs w:val="18"/>
                <w:i w:val="1"/>
                <w:iCs w:val="1"/>
                <w:color w:val="auto"/>
              </w:rPr>
              <w:t>Time Vesting Options</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Weighted</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Weighted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3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Average</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Average</w:t>
            </w:r>
          </w:p>
        </w:tc>
      </w:tr>
      <w:tr>
        <w:trPr>
          <w:trHeight w:val="229"/>
        </w:trPr>
        <w:tc>
          <w:tcPr>
            <w:tcW w:w="46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Range of Exercise</w:t>
            </w: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Number</w:t>
            </w: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Contractual</w:t>
            </w:r>
          </w:p>
        </w:tc>
        <w:tc>
          <w:tcPr>
            <w:tcW w:w="140" w:type="dxa"/>
            <w:vAlign w:val="bottom"/>
          </w:tcPr>
          <w:p>
            <w:pPr>
              <w:spacing w:after="0"/>
              <w:rPr>
                <w:sz w:val="19"/>
                <w:szCs w:val="19"/>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Exercise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Options</w:t>
            </w:r>
          </w:p>
        </w:tc>
        <w:tc>
          <w:tcPr>
            <w:tcW w:w="140" w:type="dxa"/>
            <w:vAlign w:val="bottom"/>
          </w:tcPr>
          <w:p>
            <w:pPr>
              <w:spacing w:after="0"/>
              <w:rPr>
                <w:sz w:val="19"/>
                <w:szCs w:val="19"/>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Exercise</w:t>
            </w:r>
          </w:p>
        </w:tc>
      </w:tr>
      <w:tr>
        <w:trPr>
          <w:trHeight w:val="241"/>
        </w:trPr>
        <w:tc>
          <w:tcPr>
            <w:tcW w:w="46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6"/>
              </w:rPr>
              <w:t>Prices between</w:t>
            </w: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Outstanding</w:t>
            </w: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Life</w:t>
            </w:r>
          </w:p>
        </w:tc>
        <w:tc>
          <w:tcPr>
            <w:tcW w:w="14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Price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Exercisable</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Price</w:t>
            </w:r>
          </w:p>
        </w:tc>
      </w:tr>
      <w:tr>
        <w:trPr>
          <w:trHeight w:val="216"/>
        </w:trPr>
        <w:tc>
          <w:tcPr>
            <w:tcW w:w="3660" w:type="dxa"/>
            <w:vAlign w:val="bottom"/>
            <w:tcBorders>
              <w:top w:val="single" w:sz="8" w:color="auto"/>
            </w:tcBorders>
            <w:shd w:val="clear" w:color="auto" w:fill="CCEEFF"/>
          </w:tcPr>
          <w:p>
            <w:pPr>
              <w:jc w:val="center"/>
              <w:ind w:left="770"/>
              <w:spacing w:after="0"/>
              <w:rPr>
                <w:sz w:val="20"/>
                <w:szCs w:val="20"/>
                <w:color w:val="auto"/>
              </w:rPr>
            </w:pPr>
            <w:r>
              <w:rPr>
                <w:rFonts w:ascii="Arial" w:cs="Arial" w:eastAsia="Arial" w:hAnsi="Arial"/>
                <w:sz w:val="18"/>
                <w:szCs w:val="18"/>
                <w:color w:val="auto"/>
                <w:w w:val="90"/>
              </w:rPr>
              <w:t>$0.01 - $1.00</w:t>
            </w: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660" w:type="dxa"/>
            <w:vAlign w:val="bottom"/>
          </w:tcPr>
          <w:p>
            <w:pPr>
              <w:jc w:val="center"/>
              <w:ind w:left="770"/>
              <w:spacing w:after="0"/>
              <w:rPr>
                <w:sz w:val="20"/>
                <w:szCs w:val="20"/>
                <w:color w:val="auto"/>
              </w:rPr>
            </w:pPr>
            <w:r>
              <w:rPr>
                <w:rFonts w:ascii="Arial" w:cs="Arial" w:eastAsia="Arial" w:hAnsi="Arial"/>
                <w:sz w:val="18"/>
                <w:szCs w:val="18"/>
                <w:color w:val="auto"/>
                <w:w w:val="90"/>
              </w:rPr>
              <w:t>$1.01 - $2.00</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25,000</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7.36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1.88</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16,667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1.88</w:t>
            </w:r>
          </w:p>
        </w:tc>
      </w:tr>
      <w:tr>
        <w:trPr>
          <w:trHeight w:val="229"/>
        </w:trPr>
        <w:tc>
          <w:tcPr>
            <w:tcW w:w="3660" w:type="dxa"/>
            <w:vAlign w:val="bottom"/>
            <w:shd w:val="clear" w:color="auto" w:fill="CCEEFF"/>
          </w:tcPr>
          <w:p>
            <w:pPr>
              <w:jc w:val="center"/>
              <w:ind w:left="750"/>
              <w:spacing w:after="0"/>
              <w:rPr>
                <w:sz w:val="20"/>
                <w:szCs w:val="20"/>
                <w:color w:val="auto"/>
              </w:rPr>
            </w:pPr>
            <w:r>
              <w:rPr>
                <w:rFonts w:ascii="Arial" w:cs="Arial" w:eastAsia="Arial" w:hAnsi="Arial"/>
                <w:sz w:val="18"/>
                <w:szCs w:val="18"/>
                <w:color w:val="auto"/>
                <w:w w:val="89"/>
              </w:rPr>
              <w:t>$2.01+</w:t>
            </w: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1,963,675</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4.29</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1,312,008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w:t>
            </w:r>
          </w:p>
        </w:tc>
      </w:tr>
      <w:tr>
        <w:trPr>
          <w:trHeight w:val="27"/>
        </w:trPr>
        <w:tc>
          <w:tcPr>
            <w:tcW w:w="36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36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1,988,675</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7.47</w:t>
            </w:r>
          </w:p>
        </w:tc>
        <w:tc>
          <w:tcPr>
            <w:tcW w:w="2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3.34</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1,328,675</w:t>
            </w: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3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4"/>
        </w:trPr>
        <w:tc>
          <w:tcPr>
            <w:tcW w:w="4620" w:type="dxa"/>
            <w:vAlign w:val="bottom"/>
            <w:gridSpan w:val="3"/>
          </w:tcPr>
          <w:p>
            <w:pPr>
              <w:spacing w:after="0"/>
              <w:rPr>
                <w:sz w:val="20"/>
                <w:szCs w:val="20"/>
                <w:color w:val="auto"/>
              </w:rPr>
            </w:pPr>
            <w:r>
              <w:rPr>
                <w:rFonts w:ascii="Arial" w:cs="Arial" w:eastAsia="Arial" w:hAnsi="Arial"/>
                <w:sz w:val="18"/>
                <w:szCs w:val="18"/>
                <w:i w:val="1"/>
                <w:iCs w:val="1"/>
                <w:color w:val="auto"/>
              </w:rPr>
              <w:t>Performance Vesting Options</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Weighted</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Weighted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3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Average</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Average</w:t>
            </w:r>
          </w:p>
        </w:tc>
      </w:tr>
      <w:tr>
        <w:trPr>
          <w:trHeight w:val="230"/>
        </w:trPr>
        <w:tc>
          <w:tcPr>
            <w:tcW w:w="46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Range of Exercise</w:t>
            </w: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Number</w:t>
            </w: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Contractual</w:t>
            </w:r>
          </w:p>
        </w:tc>
        <w:tc>
          <w:tcPr>
            <w:tcW w:w="140" w:type="dxa"/>
            <w:vAlign w:val="bottom"/>
          </w:tcPr>
          <w:p>
            <w:pPr>
              <w:spacing w:after="0"/>
              <w:rPr>
                <w:sz w:val="19"/>
                <w:szCs w:val="19"/>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Exercise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Options</w:t>
            </w:r>
          </w:p>
        </w:tc>
        <w:tc>
          <w:tcPr>
            <w:tcW w:w="140" w:type="dxa"/>
            <w:vAlign w:val="bottom"/>
          </w:tcPr>
          <w:p>
            <w:pPr>
              <w:spacing w:after="0"/>
              <w:rPr>
                <w:sz w:val="19"/>
                <w:szCs w:val="19"/>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Exercise</w:t>
            </w:r>
          </w:p>
        </w:tc>
      </w:tr>
      <w:tr>
        <w:trPr>
          <w:trHeight w:val="241"/>
        </w:trPr>
        <w:tc>
          <w:tcPr>
            <w:tcW w:w="46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6"/>
              </w:rPr>
              <w:t>Prices between</w:t>
            </w: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Outstanding</w:t>
            </w: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Life</w:t>
            </w:r>
          </w:p>
        </w:tc>
        <w:tc>
          <w:tcPr>
            <w:tcW w:w="14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Price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Exercisable</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Price</w:t>
            </w:r>
          </w:p>
        </w:tc>
      </w:tr>
      <w:tr>
        <w:trPr>
          <w:trHeight w:val="216"/>
        </w:trPr>
        <w:tc>
          <w:tcPr>
            <w:tcW w:w="3660" w:type="dxa"/>
            <w:vAlign w:val="bottom"/>
            <w:tcBorders>
              <w:top w:val="single" w:sz="8" w:color="auto"/>
            </w:tcBorders>
            <w:shd w:val="clear" w:color="auto" w:fill="CCEEFF"/>
          </w:tcPr>
          <w:p>
            <w:pPr>
              <w:jc w:val="center"/>
              <w:ind w:left="770"/>
              <w:spacing w:after="0"/>
              <w:rPr>
                <w:sz w:val="20"/>
                <w:szCs w:val="20"/>
                <w:color w:val="auto"/>
              </w:rPr>
            </w:pPr>
            <w:r>
              <w:rPr>
                <w:rFonts w:ascii="Arial" w:cs="Arial" w:eastAsia="Arial" w:hAnsi="Arial"/>
                <w:sz w:val="18"/>
                <w:szCs w:val="18"/>
                <w:color w:val="auto"/>
                <w:w w:val="90"/>
              </w:rPr>
              <w:t>$0.01 - $1.00</w:t>
            </w: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660" w:type="dxa"/>
            <w:vAlign w:val="bottom"/>
          </w:tcPr>
          <w:p>
            <w:pPr>
              <w:jc w:val="center"/>
              <w:ind w:left="770"/>
              <w:spacing w:after="0"/>
              <w:rPr>
                <w:sz w:val="20"/>
                <w:szCs w:val="20"/>
                <w:color w:val="auto"/>
              </w:rPr>
            </w:pPr>
            <w:r>
              <w:rPr>
                <w:rFonts w:ascii="Arial" w:cs="Arial" w:eastAsia="Arial" w:hAnsi="Arial"/>
                <w:sz w:val="18"/>
                <w:szCs w:val="18"/>
                <w:color w:val="auto"/>
                <w:w w:val="90"/>
              </w:rPr>
              <w:t>$1.01 - $2.00</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3660" w:type="dxa"/>
            <w:vAlign w:val="bottom"/>
            <w:shd w:val="clear" w:color="auto" w:fill="CCEEFF"/>
          </w:tcPr>
          <w:p>
            <w:pPr>
              <w:jc w:val="center"/>
              <w:ind w:left="750"/>
              <w:spacing w:after="0"/>
              <w:rPr>
                <w:sz w:val="20"/>
                <w:szCs w:val="20"/>
                <w:color w:val="auto"/>
              </w:rPr>
            </w:pPr>
            <w:r>
              <w:rPr>
                <w:rFonts w:ascii="Arial" w:cs="Arial" w:eastAsia="Arial" w:hAnsi="Arial"/>
                <w:sz w:val="18"/>
                <w:szCs w:val="18"/>
                <w:color w:val="auto"/>
                <w:w w:val="89"/>
              </w:rPr>
              <w:t>$2.01+</w:t>
            </w: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720,000</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2.53</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w:t>
            </w:r>
          </w:p>
        </w:tc>
      </w:tr>
      <w:tr>
        <w:trPr>
          <w:trHeight w:val="27"/>
        </w:trPr>
        <w:tc>
          <w:tcPr>
            <w:tcW w:w="36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36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720,000</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7.93</w:t>
            </w:r>
          </w:p>
        </w:tc>
        <w:tc>
          <w:tcPr>
            <w:tcW w:w="2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2.53</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240,000</w:t>
            </w: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
        </w:trPr>
        <w:tc>
          <w:tcPr>
            <w:tcW w:w="36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4"/>
        </w:trPr>
        <w:tc>
          <w:tcPr>
            <w:tcW w:w="4620" w:type="dxa"/>
            <w:vAlign w:val="bottom"/>
            <w:gridSpan w:val="3"/>
          </w:tcPr>
          <w:p>
            <w:pPr>
              <w:spacing w:after="0"/>
              <w:rPr>
                <w:sz w:val="20"/>
                <w:szCs w:val="20"/>
                <w:color w:val="auto"/>
              </w:rPr>
            </w:pPr>
            <w:r>
              <w:rPr>
                <w:rFonts w:ascii="Arial" w:cs="Arial" w:eastAsia="Arial" w:hAnsi="Arial"/>
                <w:sz w:val="18"/>
                <w:szCs w:val="18"/>
                <w:i w:val="1"/>
                <w:iCs w:val="1"/>
                <w:color w:val="auto"/>
              </w:rPr>
              <w:t>Market Vesting Options</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Weighted</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Weighted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3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Average</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Average</w:t>
            </w:r>
          </w:p>
        </w:tc>
      </w:tr>
      <w:tr>
        <w:trPr>
          <w:trHeight w:val="230"/>
        </w:trPr>
        <w:tc>
          <w:tcPr>
            <w:tcW w:w="46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Range of Exercise</w:t>
            </w: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Number</w:t>
            </w: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Contractual</w:t>
            </w:r>
          </w:p>
        </w:tc>
        <w:tc>
          <w:tcPr>
            <w:tcW w:w="140" w:type="dxa"/>
            <w:vAlign w:val="bottom"/>
          </w:tcPr>
          <w:p>
            <w:pPr>
              <w:spacing w:after="0"/>
              <w:rPr>
                <w:sz w:val="19"/>
                <w:szCs w:val="19"/>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Exercise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Options</w:t>
            </w:r>
          </w:p>
        </w:tc>
        <w:tc>
          <w:tcPr>
            <w:tcW w:w="140" w:type="dxa"/>
            <w:vAlign w:val="bottom"/>
          </w:tcPr>
          <w:p>
            <w:pPr>
              <w:spacing w:after="0"/>
              <w:rPr>
                <w:sz w:val="19"/>
                <w:szCs w:val="19"/>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Exercise</w:t>
            </w:r>
          </w:p>
        </w:tc>
      </w:tr>
      <w:tr>
        <w:trPr>
          <w:trHeight w:val="241"/>
        </w:trPr>
        <w:tc>
          <w:tcPr>
            <w:tcW w:w="46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6"/>
              </w:rPr>
              <w:t>Prices between</w:t>
            </w: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Outstanding</w:t>
            </w: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Life</w:t>
            </w:r>
          </w:p>
        </w:tc>
        <w:tc>
          <w:tcPr>
            <w:tcW w:w="14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Price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Exercisable</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Price</w:t>
            </w:r>
          </w:p>
        </w:tc>
      </w:tr>
      <w:tr>
        <w:trPr>
          <w:trHeight w:val="216"/>
        </w:trPr>
        <w:tc>
          <w:tcPr>
            <w:tcW w:w="3660" w:type="dxa"/>
            <w:vAlign w:val="bottom"/>
            <w:tcBorders>
              <w:top w:val="single" w:sz="8" w:color="auto"/>
            </w:tcBorders>
            <w:shd w:val="clear" w:color="auto" w:fill="CCEEFF"/>
          </w:tcPr>
          <w:p>
            <w:pPr>
              <w:jc w:val="center"/>
              <w:ind w:left="770"/>
              <w:spacing w:after="0"/>
              <w:rPr>
                <w:sz w:val="20"/>
                <w:szCs w:val="20"/>
                <w:color w:val="auto"/>
              </w:rPr>
            </w:pPr>
            <w:r>
              <w:rPr>
                <w:rFonts w:ascii="Arial" w:cs="Arial" w:eastAsia="Arial" w:hAnsi="Arial"/>
                <w:sz w:val="18"/>
                <w:szCs w:val="18"/>
                <w:color w:val="auto"/>
                <w:w w:val="90"/>
              </w:rPr>
              <w:t>$0.01 - $1.00</w:t>
            </w:r>
          </w:p>
        </w:tc>
        <w:tc>
          <w:tcPr>
            <w:tcW w:w="8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1,900,000</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660" w:type="dxa"/>
            <w:vAlign w:val="bottom"/>
          </w:tcPr>
          <w:p>
            <w:pPr>
              <w:jc w:val="center"/>
              <w:ind w:left="770"/>
              <w:spacing w:after="0"/>
              <w:rPr>
                <w:sz w:val="20"/>
                <w:szCs w:val="20"/>
                <w:color w:val="auto"/>
              </w:rPr>
            </w:pPr>
            <w:r>
              <w:rPr>
                <w:rFonts w:ascii="Arial" w:cs="Arial" w:eastAsia="Arial" w:hAnsi="Arial"/>
                <w:sz w:val="18"/>
                <w:szCs w:val="18"/>
                <w:color w:val="auto"/>
                <w:w w:val="90"/>
              </w:rPr>
              <w:t>$1.01 - $2.00</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3660" w:type="dxa"/>
            <w:vAlign w:val="bottom"/>
            <w:shd w:val="clear" w:color="auto" w:fill="CCEEFF"/>
          </w:tcPr>
          <w:p>
            <w:pPr>
              <w:jc w:val="center"/>
              <w:ind w:left="750"/>
              <w:spacing w:after="0"/>
              <w:rPr>
                <w:sz w:val="20"/>
                <w:szCs w:val="20"/>
                <w:color w:val="auto"/>
              </w:rPr>
            </w:pPr>
            <w:r>
              <w:rPr>
                <w:rFonts w:ascii="Arial" w:cs="Arial" w:eastAsia="Arial" w:hAnsi="Arial"/>
                <w:sz w:val="18"/>
                <w:szCs w:val="18"/>
                <w:color w:val="auto"/>
                <w:w w:val="89"/>
              </w:rPr>
              <w:t>$2.01+</w:t>
            </w: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36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36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1,900,000</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2.64</w:t>
            </w:r>
          </w:p>
        </w:tc>
        <w:tc>
          <w:tcPr>
            <w:tcW w:w="2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3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36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81" w:right="339" w:bottom="144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gridSpan w:val="4"/>
          </w:tcPr>
          <w:p>
            <w:pPr>
              <w:jc w:val="right"/>
              <w:ind w:right="620"/>
              <w:spacing w:after="0"/>
              <w:rPr>
                <w:sz w:val="20"/>
                <w:szCs w:val="20"/>
                <w:color w:val="auto"/>
              </w:rPr>
            </w:pPr>
            <w:r>
              <w:rPr>
                <w:rFonts w:ascii="Arial" w:cs="Arial" w:eastAsia="Arial" w:hAnsi="Arial"/>
                <w:sz w:val="18"/>
                <w:szCs w:val="18"/>
                <w:b w:val="1"/>
                <w:bCs w:val="1"/>
                <w:i w:val="1"/>
                <w:iCs w:val="1"/>
                <w:color w:val="auto"/>
              </w:rPr>
              <w:t>Market Vesting Options</w:t>
            </w:r>
          </w:p>
        </w:tc>
        <w:tc>
          <w:tcPr>
            <w:tcW w:w="2680" w:type="dxa"/>
            <w:vAlign w:val="bottom"/>
            <w:gridSpan w:val="5"/>
          </w:tcPr>
          <w:p>
            <w:pPr>
              <w:jc w:val="right"/>
              <w:ind w:right="660"/>
              <w:spacing w:after="0"/>
              <w:rPr>
                <w:sz w:val="20"/>
                <w:szCs w:val="20"/>
                <w:color w:val="auto"/>
              </w:rPr>
            </w:pPr>
            <w:r>
              <w:rPr>
                <w:rFonts w:ascii="Arial" w:cs="Arial" w:eastAsia="Arial" w:hAnsi="Arial"/>
                <w:sz w:val="18"/>
                <w:szCs w:val="18"/>
                <w:b w:val="1"/>
                <w:bCs w:val="1"/>
                <w:i w:val="1"/>
                <w:iCs w:val="1"/>
                <w:color w:val="auto"/>
              </w:rPr>
              <w:t>Time Vesting Options</w:t>
            </w:r>
          </w:p>
        </w:tc>
        <w:tc>
          <w:tcPr>
            <w:tcW w:w="2540" w:type="dxa"/>
            <w:vAlign w:val="bottom"/>
            <w:gridSpan w:val="5"/>
          </w:tcPr>
          <w:p>
            <w:pPr>
              <w:ind w:left="120"/>
              <w:spacing w:after="0"/>
              <w:rPr>
                <w:sz w:val="20"/>
                <w:szCs w:val="20"/>
                <w:color w:val="auto"/>
              </w:rPr>
            </w:pPr>
            <w:r>
              <w:rPr>
                <w:rFonts w:ascii="Arial" w:cs="Arial" w:eastAsia="Arial" w:hAnsi="Arial"/>
                <w:sz w:val="18"/>
                <w:szCs w:val="18"/>
                <w:b w:val="1"/>
                <w:bCs w:val="1"/>
                <w:i w:val="1"/>
                <w:iCs w:val="1"/>
                <w:color w:val="auto"/>
                <w:w w:val="94"/>
              </w:rPr>
              <w:t>Performance Vesting Options</w:t>
            </w:r>
          </w:p>
        </w:tc>
        <w:tc>
          <w:tcPr>
            <w:tcW w:w="0" w:type="dxa"/>
            <w:vAlign w:val="bottom"/>
          </w:tcPr>
          <w:p>
            <w:pPr>
              <w:spacing w:after="0"/>
              <w:rPr>
                <w:sz w:val="1"/>
                <w:szCs w:val="1"/>
                <w:color w:val="auto"/>
              </w:rPr>
            </w:pPr>
          </w:p>
        </w:tc>
      </w:tr>
      <w:tr>
        <w:trPr>
          <w:trHeight w:val="198"/>
        </w:trPr>
        <w:tc>
          <w:tcPr>
            <w:tcW w:w="3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8"/>
              </w:rPr>
              <w:t>Weighted</w:t>
            </w:r>
          </w:p>
        </w:tc>
        <w:tc>
          <w:tcPr>
            <w:tcW w:w="24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center"/>
              <w:ind w:right="50"/>
              <w:spacing w:after="0" w:line="198" w:lineRule="exact"/>
              <w:rPr>
                <w:sz w:val="20"/>
                <w:szCs w:val="20"/>
                <w:color w:val="auto"/>
              </w:rPr>
            </w:pPr>
            <w:r>
              <w:rPr>
                <w:rFonts w:ascii="Arial" w:cs="Arial" w:eastAsia="Arial" w:hAnsi="Arial"/>
                <w:sz w:val="18"/>
                <w:szCs w:val="18"/>
                <w:b w:val="1"/>
                <w:bCs w:val="1"/>
                <w:color w:val="auto"/>
                <w:w w:val="91"/>
              </w:rPr>
              <w:t>Weighted</w:t>
            </w:r>
          </w:p>
        </w:tc>
        <w:tc>
          <w:tcPr>
            <w:tcW w:w="2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50"/>
              <w:spacing w:after="0" w:line="198"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Average</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Average</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30"/>
        </w:trPr>
        <w:tc>
          <w:tcPr>
            <w:tcW w:w="3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Options</w:t>
            </w: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Exercise</w:t>
            </w:r>
          </w:p>
        </w:tc>
        <w:tc>
          <w:tcPr>
            <w:tcW w:w="13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Options</w:t>
            </w:r>
          </w:p>
        </w:tc>
        <w:tc>
          <w:tcPr>
            <w:tcW w:w="140" w:type="dxa"/>
            <w:vAlign w:val="bottom"/>
          </w:tcPr>
          <w:p>
            <w:pPr>
              <w:spacing w:after="0"/>
              <w:rPr>
                <w:sz w:val="19"/>
                <w:szCs w:val="19"/>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Exercise</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Options</w:t>
            </w:r>
          </w:p>
        </w:tc>
        <w:tc>
          <w:tcPr>
            <w:tcW w:w="140" w:type="dxa"/>
            <w:vAlign w:val="bottom"/>
          </w:tcPr>
          <w:p>
            <w:pPr>
              <w:spacing w:after="0"/>
              <w:rPr>
                <w:sz w:val="19"/>
                <w:szCs w:val="19"/>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Exercise</w:t>
            </w:r>
          </w:p>
        </w:tc>
        <w:tc>
          <w:tcPr>
            <w:tcW w:w="0" w:type="dxa"/>
            <w:vAlign w:val="bottom"/>
          </w:tcPr>
          <w:p>
            <w:pPr>
              <w:spacing w:after="0"/>
              <w:rPr>
                <w:sz w:val="1"/>
                <w:szCs w:val="1"/>
                <w:color w:val="auto"/>
              </w:rPr>
            </w:pPr>
          </w:p>
        </w:tc>
      </w:tr>
      <w:tr>
        <w:trPr>
          <w:trHeight w:val="241"/>
        </w:trPr>
        <w:tc>
          <w:tcPr>
            <w:tcW w:w="3280" w:type="dxa"/>
            <w:vAlign w:val="bottom"/>
            <w:gridSpan w:val="2"/>
          </w:tcPr>
          <w:p>
            <w:pPr>
              <w:ind w:left="1080"/>
              <w:spacing w:after="0"/>
              <w:rPr>
                <w:sz w:val="20"/>
                <w:szCs w:val="20"/>
                <w:color w:val="auto"/>
              </w:rPr>
            </w:pPr>
            <w:r>
              <w:rPr>
                <w:rFonts w:ascii="Arial" w:cs="Arial" w:eastAsia="Arial" w:hAnsi="Arial"/>
                <w:sz w:val="18"/>
                <w:szCs w:val="18"/>
                <w:b w:val="1"/>
                <w:bCs w:val="1"/>
                <w:color w:val="auto"/>
              </w:rPr>
              <w:t>Date/Activity</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6"/>
              </w:rPr>
              <w:t>Outstanding</w:t>
            </w: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Price</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8"/>
              </w:rPr>
              <w:t>Outstanding</w:t>
            </w:r>
          </w:p>
        </w:tc>
        <w:tc>
          <w:tcPr>
            <w:tcW w:w="140" w:type="dxa"/>
            <w:vAlign w:val="bottom"/>
          </w:tcPr>
          <w:p>
            <w:pPr>
              <w:spacing w:after="0"/>
              <w:rPr>
                <w:sz w:val="20"/>
                <w:szCs w:val="20"/>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Price</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6"/>
              </w:rPr>
              <w:t>Outstanding</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Price</w:t>
            </w:r>
          </w:p>
        </w:tc>
        <w:tc>
          <w:tcPr>
            <w:tcW w:w="0" w:type="dxa"/>
            <w:vAlign w:val="bottom"/>
          </w:tcPr>
          <w:p>
            <w:pPr>
              <w:spacing w:after="0"/>
              <w:rPr>
                <w:sz w:val="1"/>
                <w:szCs w:val="1"/>
                <w:color w:val="auto"/>
              </w:rPr>
            </w:pPr>
          </w:p>
        </w:tc>
      </w:tr>
      <w:tr>
        <w:trPr>
          <w:trHeight w:val="216"/>
        </w:trPr>
        <w:tc>
          <w:tcPr>
            <w:tcW w:w="3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December 31, 2021</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2,068,809</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800,000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1,900,000</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1.00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280" w:type="dxa"/>
            <w:vAlign w:val="bottom"/>
            <w:gridSpan w:val="2"/>
          </w:tcPr>
          <w:p>
            <w:pPr>
              <w:spacing w:after="0"/>
              <w:rPr>
                <w:sz w:val="20"/>
                <w:szCs w:val="20"/>
                <w:color w:val="auto"/>
              </w:rPr>
            </w:pPr>
            <w:r>
              <w:rPr>
                <w:rFonts w:ascii="Arial" w:cs="Arial" w:eastAsia="Arial" w:hAnsi="Arial"/>
                <w:sz w:val="18"/>
                <w:szCs w:val="18"/>
                <w:color w:val="auto"/>
              </w:rPr>
              <w:t>Forfeited or expired</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(80,134)</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2.79</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(80,000)</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7"/>
        </w:trPr>
        <w:tc>
          <w:tcPr>
            <w:tcW w:w="32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Balance, June 30, 2022</w:t>
            </w:r>
          </w:p>
        </w:tc>
        <w:tc>
          <w:tcPr>
            <w:tcW w:w="13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1,900,000</w:t>
            </w:r>
          </w:p>
        </w:tc>
        <w:tc>
          <w:tcPr>
            <w:tcW w:w="13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gridSpan w:val="2"/>
            <w:vMerge w:val="continue"/>
            <w:shd w:val="clear" w:color="auto" w:fill="CCEEFF"/>
          </w:tcPr>
          <w:p>
            <w:pPr>
              <w:spacing w:after="0"/>
              <w:rPr>
                <w:sz w:val="21"/>
                <w:szCs w:val="21"/>
                <w:color w:val="auto"/>
              </w:rPr>
            </w:pPr>
          </w:p>
        </w:tc>
        <w:tc>
          <w:tcPr>
            <w:tcW w:w="1380" w:type="dxa"/>
            <w:vAlign w:val="bottom"/>
            <w:gridSpan w:val="2"/>
            <w:vMerge w:val="continue"/>
            <w:shd w:val="clear" w:color="auto" w:fill="CCEEFF"/>
          </w:tcPr>
          <w:p>
            <w:pPr>
              <w:spacing w:after="0"/>
              <w:rPr>
                <w:sz w:val="21"/>
                <w:szCs w:val="21"/>
                <w:color w:val="auto"/>
              </w:rPr>
            </w:pPr>
          </w:p>
        </w:tc>
        <w:tc>
          <w:tcPr>
            <w:tcW w:w="1360" w:type="dxa"/>
            <w:vAlign w:val="bottom"/>
            <w:gridSpan w:val="2"/>
            <w:vMerge w:val="continue"/>
            <w:shd w:val="clear" w:color="auto" w:fill="CCEEFF"/>
          </w:tcPr>
          <w:p>
            <w:pPr>
              <w:spacing w:after="0"/>
              <w:rPr>
                <w:sz w:val="21"/>
                <w:szCs w:val="21"/>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1,988,675</w:t>
            </w: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3.34</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720,000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
        </w:trPr>
        <w:tc>
          <w:tcPr>
            <w:tcW w:w="3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weighted average remaining contractual life for options exercisable is 7.25 years as of June 30, 2022.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Information for Stock-Based Compensation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For purposes of determining estimated fair value under FASB ASC 718-10, </w:t>
      </w:r>
      <w:r>
        <w:rPr>
          <w:rFonts w:ascii="Arial" w:cs="Arial" w:eastAsia="Arial" w:hAnsi="Arial"/>
          <w:sz w:val="18"/>
          <w:szCs w:val="18"/>
          <w:i w:val="1"/>
          <w:iCs w:val="1"/>
          <w:color w:val="auto"/>
        </w:rPr>
        <w:t>Stock Compensation</w:t>
      </w:r>
      <w:r>
        <w:rPr>
          <w:rFonts w:ascii="Arial" w:cs="Arial" w:eastAsia="Arial" w:hAnsi="Arial"/>
          <w:sz w:val="18"/>
          <w:szCs w:val="18"/>
          <w:color w:val="auto"/>
        </w:rPr>
        <w:t>, the Company computed the estimated fair values of stock options using the Black-Scholes model.</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Amendment to Performance Options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June 1, 2020, Rick Mills, CEO, and Will Logan, CFO, were issued ten-year options to purchase 480,000 and 240,000 shares of common stock (the “Performance Options”), respectively, which vest in equal installments over a three-year period (2020-2022), subject to satisfying the Company revenue target and EBITDA (earnings before interest, taxes, depreciation and amortization) targets for the applicable year. In each of calendar years 2020, 2021 and 2022, one-third of the total shares may vest (if the revenue and EBITDA targets are met), and the shares that are subject to vesting each year are allocated equally to each of the revenue and EBITDA targets for such year. The Performance Options includes a catch-up provision, where any options that did not vest during a prior year due to the Company’s failure to meet a prior revenue or EBITDA target may vest in a subsequent vesting year if the revenue or EBITDA target, as applicable, is met in the future year.</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June 15, 2022, the Board approved of an amendment to the Performance Options to provide that the revenue target for the calendar year 2022 set forth therein ($38,000) is eliminated, and the remaining shares that are available for vesting under the Performance Options (320,000 unvested shares for Mr. Mills and 160,000 for Mr. Logan) (including the unvested portions of shares based on the satisfaction of the revenue targets for 2020 and 2021 by virtue of the catch-up provisions in the Performance Options) will fully vest upon the achievement of an updated EBITDA target for calendar year 2022 of $3,600.</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Performance Options state that the calculation of EBITDA set forth in the Performance Options shall be calculated in a form consistent with the Company’s 2022 approved budget, which</w:t>
      </w:r>
    </w:p>
    <w:p>
      <w:pPr>
        <w:spacing w:after="0" w:line="170"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excludes any impact on EBITDA of:</w:t>
      </w:r>
    </w:p>
    <w:p>
      <w:pPr>
        <w:spacing w:after="0" w:line="225" w:lineRule="exact"/>
        <w:rPr>
          <w:rFonts w:ascii="Arial" w:cs="Arial" w:eastAsia="Arial" w:hAnsi="Arial"/>
          <w:sz w:val="18"/>
          <w:szCs w:val="18"/>
          <w:color w:val="auto"/>
        </w:rPr>
      </w:pPr>
    </w:p>
    <w:p>
      <w:pPr>
        <w:ind w:left="660" w:firstLine="644"/>
        <w:spacing w:after="0" w:line="277" w:lineRule="auto"/>
        <w:tabs>
          <w:tab w:leader="none" w:pos="1556"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accounting treatment (including any “mark-to-market accounting”) of the Company’s warrants or the “Guaranteed Consideration” (as defined in the Merger Agreement),</w:t>
      </w:r>
    </w:p>
    <w:p>
      <w:pPr>
        <w:spacing w:after="0" w:line="170" w:lineRule="exact"/>
        <w:rPr>
          <w:rFonts w:ascii="Arial" w:cs="Arial" w:eastAsia="Arial" w:hAnsi="Arial"/>
          <w:sz w:val="18"/>
          <w:szCs w:val="18"/>
          <w:color w:val="auto"/>
        </w:rPr>
      </w:pPr>
    </w:p>
    <w:p>
      <w:pPr>
        <w:ind w:left="660" w:right="20" w:firstLine="644"/>
        <w:spacing w:after="0" w:line="277" w:lineRule="auto"/>
        <w:tabs>
          <w:tab w:leader="none" w:pos="1606" w:val="left"/>
        </w:tabs>
        <w:numPr>
          <w:ilvl w:val="1"/>
          <w:numId w:val="8"/>
        </w:numPr>
        <w:rPr>
          <w:rFonts w:ascii="Arial" w:cs="Arial" w:eastAsia="Arial" w:hAnsi="Arial"/>
          <w:sz w:val="18"/>
          <w:szCs w:val="18"/>
          <w:color w:val="auto"/>
        </w:rPr>
      </w:pPr>
      <w:r>
        <w:rPr>
          <w:rFonts w:ascii="Arial" w:cs="Arial" w:eastAsia="Arial" w:hAnsi="Arial"/>
          <w:sz w:val="18"/>
          <w:szCs w:val="18"/>
          <w:color w:val="auto"/>
        </w:rPr>
        <w:t>non-recurring transaction expenses associated with the Merger and the capital raising financing activities of the Company to effectuate the Merger, and</w:t>
      </w:r>
    </w:p>
    <w:p>
      <w:pPr>
        <w:spacing w:after="0" w:line="170" w:lineRule="exact"/>
        <w:rPr>
          <w:rFonts w:ascii="Arial" w:cs="Arial" w:eastAsia="Arial" w:hAnsi="Arial"/>
          <w:sz w:val="18"/>
          <w:szCs w:val="18"/>
          <w:color w:val="auto"/>
        </w:rPr>
      </w:pPr>
    </w:p>
    <w:p>
      <w:pPr>
        <w:ind w:left="1540" w:hanging="236"/>
        <w:spacing w:after="0"/>
        <w:tabs>
          <w:tab w:leader="none" w:pos="154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write-down or write-off of any Company inventory of Safe Space Solutions products.</w:t>
      </w:r>
    </w:p>
    <w:p>
      <w:pPr>
        <w:spacing w:after="0" w:line="225" w:lineRule="exact"/>
        <w:rPr>
          <w:sz w:val="20"/>
          <w:szCs w:val="20"/>
          <w:color w:val="auto"/>
        </w:rPr>
      </w:pPr>
    </w:p>
    <w:p>
      <w:pPr>
        <w:jc w:val="both"/>
        <w:ind w:right="20" w:firstLine="656"/>
        <w:spacing w:after="0" w:line="263" w:lineRule="auto"/>
        <w:tabs>
          <w:tab w:leader="none" w:pos="969"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deductions related to any cash or stock bonuses paid or payable to any employees of the Company for services provided in calendar year 2022 (even if such bonuses are actually paid after calendar year 2022), including bonuses paid pursuant to the terms of the 2022 Cash Bonus Plan (as described below) (collectively, the “EBITDA Calculations”).</w:t>
      </w:r>
    </w:p>
    <w:p>
      <w:pPr>
        <w:spacing w:after="0" w:line="18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exercise price of the foregoing options is $2.53 per share, the closing price of the Company’s common stock on the date of issuance. The options were issued from the 2014 Stock Incentive Plan. The fair value of the options on the grant date was $1.87 and was determined using the Black-Scholes model. These values were calculated using the same weighted average assumptions as the time vesting options issued. Performance against the identified EBITDA target is assessed quarterly by the Company in order to determine whether any compensation expense should be recorded.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7" w:name="page28"/>
    <w:bookmarkEnd w:id="27"/>
    <w:p>
      <w:pPr>
        <w:jc w:val="both"/>
        <w:ind w:firstLine="648"/>
        <w:spacing w:after="0" w:line="257" w:lineRule="auto"/>
        <w:rPr>
          <w:sz w:val="20"/>
          <w:szCs w:val="20"/>
          <w:color w:val="auto"/>
        </w:rPr>
      </w:pPr>
      <w:r>
        <w:rPr>
          <w:rFonts w:ascii="Arial" w:cs="Arial" w:eastAsia="Arial" w:hAnsi="Arial"/>
          <w:sz w:val="18"/>
          <w:szCs w:val="18"/>
          <w:color w:val="auto"/>
        </w:rPr>
        <w:t>During the three and six months ended June 30, 2022, the Company deemed it probable that the Company would achieve the EBITDA target for calendar year 2022 and recorded compensation expense in the Consolidated Statement of Operations with respect to these awards of $175 and $400, respectively, net of a benefit of $50 recorded for forfeiture of awards. The remaining awards have not yet vested and are subject to actual results for the full calendar year 2022. Should this target not be achieved, amounts recorded as expense in the Condensed Consolidated Statement of Operations would be reversed.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Issuance of New Options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June 15, 2022, Messrs. Mills and Logan received ten-year options to purchase 1,000,000 and 600,000 shares of common stock, respectively (the “New Options”). The New Options are eligible to vest at any time on or prior to February 17, 2025 if the trailing 10-trading day volume-weighted average price (“VWAP”) of the Company’s common stock, as reported on the Nasdaq Capital Market, exceeds the share price targets below, subject to such executive serving the Company as a director, officer, employee or consultant at such time: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8"/>
                <w:szCs w:val="18"/>
                <w:b w:val="1"/>
                <w:bCs w:val="1"/>
                <w:color w:val="auto"/>
              </w:rPr>
              <w:t>Share Price Targets</w:t>
            </w:r>
          </w:p>
        </w:tc>
        <w:tc>
          <w:tcPr>
            <w:tcW w:w="7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3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line="198" w:lineRule="exact"/>
              <w:rPr>
                <w:sz w:val="20"/>
                <w:szCs w:val="20"/>
                <w:color w:val="auto"/>
              </w:rPr>
            </w:pPr>
            <w:r>
              <w:rPr>
                <w:rFonts w:ascii="Arial" w:cs="Arial" w:eastAsia="Arial" w:hAnsi="Arial"/>
                <w:sz w:val="18"/>
                <w:szCs w:val="18"/>
                <w:b w:val="1"/>
                <w:bCs w:val="1"/>
                <w:color w:val="auto"/>
                <w:w w:val="89"/>
              </w:rPr>
              <w:t>Guaranteed</w:t>
            </w:r>
          </w:p>
        </w:tc>
        <w:tc>
          <w:tcPr>
            <w:tcW w:w="280" w:type="dxa"/>
            <w:vAlign w:val="bottom"/>
          </w:tcPr>
          <w:p>
            <w:pPr>
              <w:spacing w:after="0"/>
              <w:rPr>
                <w:sz w:val="17"/>
                <w:szCs w:val="17"/>
                <w:color w:val="auto"/>
              </w:rPr>
            </w:pPr>
          </w:p>
        </w:tc>
        <w:tc>
          <w:tcPr>
            <w:tcW w:w="940" w:type="dxa"/>
            <w:vAlign w:val="bottom"/>
            <w:gridSpan w:val="2"/>
          </w:tcPr>
          <w:p>
            <w:pPr>
              <w:jc w:val="center"/>
              <w:ind w:right="100"/>
              <w:spacing w:after="0" w:line="198" w:lineRule="exact"/>
              <w:rPr>
                <w:sz w:val="20"/>
                <w:szCs w:val="20"/>
                <w:color w:val="auto"/>
              </w:rPr>
            </w:pPr>
            <w:r>
              <w:rPr>
                <w:rFonts w:ascii="Arial" w:cs="Arial" w:eastAsia="Arial" w:hAnsi="Arial"/>
                <w:sz w:val="18"/>
                <w:szCs w:val="18"/>
                <w:b w:val="1"/>
                <w:bCs w:val="1"/>
                <w:color w:val="auto"/>
                <w:w w:val="92"/>
              </w:rPr>
              <w:t>Total</w:t>
            </w:r>
          </w:p>
        </w:tc>
      </w:tr>
      <w:tr>
        <w:trPr>
          <w:trHeight w:val="241"/>
        </w:trPr>
        <w:tc>
          <w:tcPr>
            <w:tcW w:w="3920" w:type="dxa"/>
            <w:vAlign w:val="bottom"/>
            <w:gridSpan w:val="2"/>
          </w:tcPr>
          <w:p>
            <w:pPr>
              <w:spacing w:after="0"/>
              <w:rPr>
                <w:sz w:val="20"/>
                <w:szCs w:val="20"/>
                <w:color w:val="auto"/>
              </w:rPr>
            </w:pPr>
            <w:r>
              <w:rPr>
                <w:rFonts w:ascii="Arial" w:cs="Arial" w:eastAsia="Arial" w:hAnsi="Arial"/>
                <w:sz w:val="18"/>
                <w:szCs w:val="18"/>
                <w:b w:val="1"/>
                <w:bCs w:val="1"/>
                <w:color w:val="auto"/>
              </w:rPr>
              <w:t>Executive</w:t>
            </w:r>
          </w:p>
        </w:tc>
        <w:tc>
          <w:tcPr>
            <w:tcW w:w="760" w:type="dxa"/>
            <w:vAlign w:val="bottom"/>
          </w:tcPr>
          <w:p>
            <w:pPr>
              <w:jc w:val="right"/>
              <w:ind w:right="90"/>
              <w:spacing w:after="0"/>
              <w:rPr>
                <w:sz w:val="20"/>
                <w:szCs w:val="20"/>
                <w:color w:val="auto"/>
              </w:rPr>
            </w:pPr>
            <w:r>
              <w:rPr>
                <w:rFonts w:ascii="Arial" w:cs="Arial" w:eastAsia="Arial" w:hAnsi="Arial"/>
                <w:sz w:val="18"/>
                <w:szCs w:val="18"/>
                <w:b w:val="1"/>
                <w:bCs w:val="1"/>
                <w:color w:val="auto"/>
              </w:rPr>
              <w:t>$2.00</w:t>
            </w:r>
          </w:p>
        </w:tc>
        <w:tc>
          <w:tcPr>
            <w:tcW w:w="260" w:type="dxa"/>
            <w:vAlign w:val="bottom"/>
          </w:tcPr>
          <w:p>
            <w:pPr>
              <w:spacing w:after="0"/>
              <w:rPr>
                <w:sz w:val="20"/>
                <w:szCs w:val="20"/>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b w:val="1"/>
                <w:bCs w:val="1"/>
                <w:color w:val="auto"/>
              </w:rPr>
              <w:t>$3.00</w:t>
            </w:r>
          </w:p>
        </w:tc>
        <w:tc>
          <w:tcPr>
            <w:tcW w:w="260" w:type="dxa"/>
            <w:vAlign w:val="bottom"/>
          </w:tcPr>
          <w:p>
            <w:pPr>
              <w:spacing w:after="0"/>
              <w:rPr>
                <w:sz w:val="20"/>
                <w:szCs w:val="20"/>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b w:val="1"/>
                <w:bCs w:val="1"/>
                <w:color w:val="auto"/>
              </w:rPr>
              <w:t>$4.00</w:t>
            </w:r>
          </w:p>
        </w:tc>
        <w:tc>
          <w:tcPr>
            <w:tcW w:w="260" w:type="dxa"/>
            <w:vAlign w:val="bottom"/>
          </w:tcPr>
          <w:p>
            <w:pPr>
              <w:spacing w:after="0"/>
              <w:rPr>
                <w:sz w:val="20"/>
                <w:szCs w:val="20"/>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b w:val="1"/>
                <w:bCs w:val="1"/>
                <w:color w:val="auto"/>
              </w:rPr>
              <w:t>$5.00</w:t>
            </w:r>
          </w:p>
        </w:tc>
        <w:tc>
          <w:tcPr>
            <w:tcW w:w="260" w:type="dxa"/>
            <w:vAlign w:val="bottom"/>
          </w:tcPr>
          <w:p>
            <w:pPr>
              <w:spacing w:after="0"/>
              <w:rPr>
                <w:sz w:val="20"/>
                <w:szCs w:val="20"/>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b w:val="1"/>
                <w:bCs w:val="1"/>
                <w:color w:val="auto"/>
              </w:rPr>
              <w:t>$6.00</w:t>
            </w:r>
          </w:p>
        </w:tc>
        <w:tc>
          <w:tcPr>
            <w:tcW w:w="260" w:type="dxa"/>
            <w:vAlign w:val="bottom"/>
          </w:tcPr>
          <w:p>
            <w:pPr>
              <w:spacing w:after="0"/>
              <w:rPr>
                <w:sz w:val="20"/>
                <w:szCs w:val="20"/>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Price</w:t>
            </w:r>
          </w:p>
        </w:tc>
        <w:tc>
          <w:tcPr>
            <w:tcW w:w="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Shares</w:t>
            </w:r>
          </w:p>
        </w:tc>
      </w:tr>
      <w:tr>
        <w:trPr>
          <w:trHeight w:val="216"/>
        </w:trPr>
        <w:tc>
          <w:tcPr>
            <w:tcW w:w="3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Mills Shares Vested</w:t>
            </w: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2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rPr>
              <w:t>Logan Shares Vested</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30,000</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60,000</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90,000</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120,000</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150,000</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150,000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600,000</w:t>
            </w:r>
          </w:p>
        </w:tc>
      </w:tr>
      <w:tr>
        <w:trPr>
          <w:trHeight w:val="216"/>
        </w:trPr>
        <w:tc>
          <w:tcPr>
            <w:tcW w:w="3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920" w:type="dxa"/>
            <w:vAlign w:val="bottom"/>
            <w:gridSpan w:val="2"/>
          </w:tcPr>
          <w:p>
            <w:pPr>
              <w:spacing w:after="0"/>
              <w:rPr>
                <w:sz w:val="20"/>
                <w:szCs w:val="20"/>
                <w:color w:val="auto"/>
              </w:rPr>
            </w:pPr>
            <w:r>
              <w:rPr>
                <w:rFonts w:ascii="Arial" w:cs="Arial" w:eastAsia="Arial" w:hAnsi="Arial"/>
                <w:sz w:val="18"/>
                <w:szCs w:val="18"/>
                <w:color w:val="auto"/>
              </w:rPr>
              <w:t>Percentage of Shares Vested</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“Guaranteed Price” has the meaning ascribed to such term in the Merger Agreement, which means $6.40 per share, or $7.20 per share if, and only if, certain customers set forth in the Merger Agreement collectively achieve over 85,000 billable devices online at any time on or before December 31, 2022.</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exercise price of the New Options is $1.00 per share, which exceeds the closing price of the Company’s common stock on the date of issuance. The New Options are issued from the Company’s 2014 Stock Incentive Plan, as amended. An additional 300,000 options with identical market vesting restrictions were issued to non-executives during the three months ended June 30, 2022.</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fair value of the options on the grant date varied between $0.21 and $0.37 per award as determined using the Monte Carlo model. These values were calculated using the following weighted average assumptions: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Expected term</w:t>
            </w:r>
          </w:p>
        </w:tc>
        <w:tc>
          <w:tcPr>
            <w:tcW w:w="5180" w:type="dxa"/>
            <w:vAlign w:val="bottom"/>
          </w:tcPr>
          <w:p>
            <w:pPr>
              <w:jc w:val="right"/>
              <w:ind w:right="70"/>
              <w:spacing w:after="0"/>
              <w:rPr>
                <w:sz w:val="20"/>
                <w:szCs w:val="20"/>
                <w:color w:val="auto"/>
              </w:rPr>
            </w:pPr>
            <w:r>
              <w:rPr>
                <w:rFonts w:ascii="Arial" w:cs="Arial" w:eastAsia="Arial" w:hAnsi="Arial"/>
                <w:sz w:val="18"/>
                <w:szCs w:val="18"/>
                <w:color w:val="auto"/>
              </w:rPr>
              <w:t>2.68 years</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Expected price volatility</w:t>
            </w:r>
          </w:p>
        </w:tc>
        <w:tc>
          <w:tcPr>
            <w:tcW w:w="5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123.53%</w:t>
            </w: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Dividend yield</w:t>
            </w:r>
          </w:p>
        </w:tc>
        <w:tc>
          <w:tcPr>
            <w:tcW w:w="518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At June 30, 2022, the Company evaluated the probability of achieving the share price targets in each tranche based, in part, on work performed by the Company’s third party valuation specialist in conjunction with evaluating the equity guarantee contingent liability. As a result of that evaluation of probability, during the three months ended June 30, 2022 the Company recorded $1 of compensation expense. These awards have not yet vested and are subject to actual share price performance through February 2025. Should any target not be achieved, any amounts recorded as expense in the Condensed Consolidated Statement of Operations related to that tranche would be reversed.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Stock Compensation Expense Information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ASC 718-10, </w:t>
      </w:r>
      <w:r>
        <w:rPr>
          <w:rFonts w:ascii="Arial" w:cs="Arial" w:eastAsia="Arial" w:hAnsi="Arial"/>
          <w:sz w:val="18"/>
          <w:szCs w:val="18"/>
          <w:i w:val="1"/>
          <w:iCs w:val="1"/>
          <w:color w:val="auto"/>
        </w:rPr>
        <w:t>Stock Compensation</w:t>
      </w:r>
      <w:r>
        <w:rPr>
          <w:rFonts w:ascii="Arial" w:cs="Arial" w:eastAsia="Arial" w:hAnsi="Arial"/>
          <w:sz w:val="18"/>
          <w:szCs w:val="18"/>
          <w:color w:val="auto"/>
        </w:rPr>
        <w:t>, requires measurement and recognition of compensation expense for all stock-based payments including warrants, stock options, restricted stock grants and stock bonuses based on estimated fair values. Under the Amended and Restated 2006 Equity Incentive Plan, the Company reserved 1,720,000 shares for purchase by the Company’s employees and under the Amended and Restated 2006 Non-Employee Director Stock Option Plan the Company reserved 700,000 shares for purchase by the Company’s employees. There are 12,001 options outstanding under the 2006 Equity Incentive Plan.</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October 2014, the Company’s shareholders approved the 2014 Stock Incentive Plan, under which 7,390,355 shares were reserved for purchase by the Company’s employees. In August 2018, a special meeting of shareholders was held in which the shareholders voted to amend the Company’s 2014 Stock Incentive Plan to increase the reserve of shares authorized for issuance thereunder, from 7,390,355 shares to 18,000,000 shares. Following a 1-for-30 reverse stock split, the shares authorized for issuance under the Company’s 2014 Stock Incentive Plan was reduced to 600,000. On July 10, 2020, the Company’s shareholders approved an amendment to the Company’s 2014 Stock Incentive Plan to increase the reserve of authorized for issuance thereunder to 6,000,000.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Awards</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Compensation expense recognized for the issuance of stock options, inclusive of performance-restricted stock options, for the three and six months ended June 30, 2022 of $398 and $948, respectively, was included in general and administrative expense in the Condensed Consolidated Financial Statements. Compensation expense recognized for the issuance of stock options, inclusive of performance-restricted stock options, for the three and six months ended June 30, 2021 of $356 and $895, respectively, was included in general and administrative expense in the Condensed Consolidated Financial Statements. Amounts recorded include stock compensation expense for awards granted to directors of the Company in exchange for services at fair value.</w:t>
      </w:r>
    </w:p>
    <w:p>
      <w:pPr>
        <w:spacing w:after="0" w:line="16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June 30, 2022, there was approximately $971 and $930 of total unrecognized compensation expense related to unvested share-based employee awards with time vesting and performance vesting criteria, respectively. As of June 30, 2021, there was approximately $1,861 and $1,157 of total unrecognized compensation expense related to unvested share-based awards with time vesting and performance vesting criteria, respectively. Generally, expense related to the time vesting options will be recognized over the next two- and one-half years and will be adjusted for any future forfeitures as they occur. Compensation expense related to performance vesting options will be recognized if it becomes probable that the Company will achieve the identified performance metrics.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Non-Employee Awards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Company engages certain consultants to perform services in exchange for Company common stock. Shares issued for services were calculated based on the ten (10) day volume weighted average price (“VWAP”) for the last ten (10) days during the month of service provided.</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three and six months ended June 30, 2022, the Company issued or accrued shares issuable in exchange for services in the amount of $45 and $70, respectively. During the three and six months ended June 30, 2021, the Company issued or accrued shares issuable in exchange for services in the amount of $40 and $40,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14: SIGNIFICANT CUSTOMERS/VENDORS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Customers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had one (1) and two (2) customers that in the aggregate accounted for 25.7% and 41.1% of accounts receivable as of June 30, 2022 and December 31, 2021, respectively.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had two (2) and three (3) customers that accounted for 37.5% and 44.0% of revenue for the three months ended June 30, 2022 and 2021, respectively.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had three (3) and two (2) customers that accounted for 54.3% and 37.4% of revenue for the six months ended June 30, 2022 and 2021,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Vendors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had two (2) and three (3) vendors that accounted for 48.3% and 69.1% of outstanding accounts payable at June 30, 2022 and December 31, 2021, respectively.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auto"/>
        </w:rPr>
        <w:t>NOTE 15: LEASES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entered into various non-cancelable operating lease agreements for certain of our offices and office equipment. Our leases have original lease periods expiring between 2021 and 2027. Many leases include one or more options to renew. We do not assume renewals in our determination of the lease term unless the renewals are deemed to be reasonably assured at lease commencement. Our lease agreements do not contain any material residual value guarantees or material restrictive covenants.</w:t>
      </w:r>
    </w:p>
    <w:p>
      <w:pPr>
        <w:sectPr>
          <w:pgSz w:w="11900" w:h="16838" w:orient="portrait"/>
          <w:cols w:equalWidth="0" w:num="1">
            <w:col w:w="11240"/>
          </w:cols>
          <w:pgMar w:left="320" w:top="877" w:right="339" w:bottom="1440" w:gutter="0" w:footer="0" w:header="0"/>
        </w:sectPr>
      </w:pPr>
    </w:p>
    <w:p>
      <w:pPr>
        <w:spacing w:after="0" w:line="187" w:lineRule="exact"/>
        <w:rPr>
          <w:sz w:val="20"/>
          <w:szCs w:val="20"/>
          <w:color w:val="auto"/>
        </w:rPr>
      </w:pPr>
    </w:p>
    <w:p>
      <w:pPr>
        <w:jc w:val="right"/>
        <w:ind w:right="1834"/>
        <w:spacing w:after="0"/>
        <w:rPr>
          <w:sz w:val="20"/>
          <w:szCs w:val="20"/>
          <w:color w:val="auto"/>
        </w:rPr>
      </w:pPr>
      <w:r>
        <w:rPr>
          <w:rFonts w:ascii="Arial" w:cs="Arial" w:eastAsia="Arial" w:hAnsi="Arial"/>
          <w:sz w:val="17"/>
          <w:szCs w:val="17"/>
          <w:color w:val="auto"/>
        </w:rPr>
        <w:t>The components of lease costs, lease term and discount rate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38353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38353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Finance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Amortization of right-of-use assets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Operating lease cost</w:t>
      </w:r>
    </w:p>
    <w:p>
      <w:pPr>
        <w:spacing w:after="0" w:line="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lease cost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5" w:lineRule="exact"/>
        <w:rPr>
          <w:sz w:val="20"/>
          <w:szCs w:val="20"/>
          <w:color w:val="auto"/>
        </w:rPr>
      </w:pPr>
    </w:p>
    <w:p>
      <w:pPr>
        <w:jc w:val="center"/>
        <w:ind w:left="-5"/>
        <w:spacing w:after="0"/>
        <w:rPr>
          <w:sz w:val="20"/>
          <w:szCs w:val="20"/>
          <w:color w:val="auto"/>
        </w:rPr>
      </w:pPr>
      <w:r>
        <w:rPr>
          <w:rFonts w:ascii="Arial" w:cs="Arial" w:eastAsia="Arial" w:hAnsi="Arial"/>
          <w:sz w:val="18"/>
          <w:szCs w:val="18"/>
          <w:b w:val="1"/>
          <w:bCs w:val="1"/>
          <w:color w:val="auto"/>
        </w:rPr>
        <w:t>Six Months</w:t>
      </w:r>
    </w:p>
    <w:p>
      <w:pPr>
        <w:spacing w:after="0" w:line="27" w:lineRule="exact"/>
        <w:rPr>
          <w:sz w:val="20"/>
          <w:szCs w:val="20"/>
          <w:color w:val="auto"/>
        </w:rPr>
      </w:pPr>
    </w:p>
    <w:p>
      <w:pPr>
        <w:jc w:val="center"/>
        <w:ind w:left="-5"/>
        <w:spacing w:after="0"/>
        <w:rPr>
          <w:sz w:val="20"/>
          <w:szCs w:val="20"/>
          <w:color w:val="auto"/>
        </w:rPr>
      </w:pPr>
      <w:r>
        <w:rPr>
          <w:rFonts w:ascii="Arial" w:cs="Arial" w:eastAsia="Arial" w:hAnsi="Arial"/>
          <w:sz w:val="18"/>
          <w:szCs w:val="18"/>
          <w:b w:val="1"/>
          <w:bCs w:val="1"/>
          <w:color w:val="auto"/>
        </w:rPr>
        <w:t>Ended</w:t>
      </w:r>
    </w:p>
    <w:p>
      <w:pPr>
        <w:spacing w:after="0" w:line="9" w:lineRule="exact"/>
        <w:rPr>
          <w:sz w:val="20"/>
          <w:szCs w:val="20"/>
          <w:color w:val="auto"/>
        </w:rPr>
      </w:pPr>
    </w:p>
    <w:p>
      <w:pPr>
        <w:jc w:val="center"/>
        <w:ind w:left="-5"/>
        <w:spacing w:after="0"/>
        <w:rPr>
          <w:sz w:val="20"/>
          <w:szCs w:val="20"/>
          <w:color w:val="auto"/>
        </w:rPr>
      </w:pPr>
      <w:r>
        <w:rPr>
          <w:rFonts w:ascii="Arial" w:cs="Arial" w:eastAsia="Arial" w:hAnsi="Arial"/>
          <w:sz w:val="18"/>
          <w:szCs w:val="18"/>
          <w:b w:val="1"/>
          <w:bCs w:val="1"/>
          <w:color w:val="auto"/>
        </w:rPr>
        <w:t>June 30,</w:t>
      </w:r>
    </w:p>
    <w:p>
      <w:pPr>
        <w:spacing w:after="0" w:line="9" w:lineRule="exact"/>
        <w:rPr>
          <w:sz w:val="20"/>
          <w:szCs w:val="20"/>
          <w:color w:val="auto"/>
        </w:rPr>
      </w:pPr>
    </w:p>
    <w:p>
      <w:pPr>
        <w:jc w:val="center"/>
        <w:ind w:left="-5"/>
        <w:spacing w:after="0"/>
        <w:rPr>
          <w:sz w:val="20"/>
          <w:szCs w:val="20"/>
          <w:color w:val="auto"/>
        </w:rPr>
      </w:pPr>
      <w:r>
        <w:rPr>
          <w:rFonts w:ascii="Arial" w:cs="Arial" w:eastAsia="Arial" w:hAnsi="Arial"/>
          <w:sz w:val="18"/>
          <w:szCs w:val="18"/>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0294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18" w:lineRule="exact"/>
        <w:rPr>
          <w:sz w:val="20"/>
          <w:szCs w:val="20"/>
          <w:color w:val="auto"/>
        </w:rPr>
      </w:pPr>
    </w:p>
    <w:p>
      <w:pPr>
        <w:ind w:left="1046" w:hanging="1046"/>
        <w:spacing w:after="0"/>
        <w:tabs>
          <w:tab w:leader="none" w:pos="1046"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1046"/>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256</w:t>
      </w:r>
    </w:p>
    <w:p>
      <w:pPr>
        <w:spacing w:after="0" w:line="62" w:lineRule="exact"/>
        <w:rPr>
          <w:sz w:val="20"/>
          <w:szCs w:val="20"/>
          <w:color w:val="auto"/>
        </w:rPr>
      </w:pPr>
    </w:p>
    <w:p>
      <w:pPr>
        <w:ind w:left="846" w:hanging="846"/>
        <w:spacing w:after="0"/>
        <w:tabs>
          <w:tab w:leader="none" w:pos="846" w:val="left"/>
        </w:tabs>
        <w:numPr>
          <w:ilvl w:val="0"/>
          <w:numId w:val="11"/>
        </w:numPr>
        <w:rPr>
          <w:rFonts w:ascii="Arial" w:cs="Arial" w:eastAsia="Arial" w:hAnsi="Arial"/>
          <w:sz w:val="15"/>
          <w:szCs w:val="15"/>
          <w:color w:val="auto"/>
        </w:rPr>
      </w:pPr>
      <w:r>
        <w:rPr>
          <w:rFonts w:ascii="Arial" w:cs="Arial" w:eastAsia="Arial" w:hAnsi="Arial"/>
          <w:sz w:val="15"/>
          <w:szCs w:val="15"/>
          <w:color w:val="auto"/>
        </w:rPr>
        <w:t>256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5" w:lineRule="exact"/>
        <w:rPr>
          <w:sz w:val="20"/>
          <w:szCs w:val="20"/>
          <w:color w:val="auto"/>
        </w:rPr>
      </w:pPr>
    </w:p>
    <w:p>
      <w:pPr>
        <w:jc w:val="center"/>
        <w:ind w:left="109" w:right="171"/>
        <w:spacing w:after="0" w:line="303" w:lineRule="auto"/>
        <w:rPr>
          <w:sz w:val="20"/>
          <w:szCs w:val="20"/>
          <w:color w:val="auto"/>
        </w:rPr>
      </w:pPr>
      <w:r>
        <w:rPr>
          <w:rFonts w:ascii="Arial" w:cs="Arial" w:eastAsia="Arial" w:hAnsi="Arial"/>
          <w:sz w:val="16"/>
          <w:szCs w:val="16"/>
          <w:b w:val="1"/>
          <w:bCs w:val="1"/>
          <w:color w:val="auto"/>
        </w:rPr>
        <w:t>Six Months Ended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70294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162" w:lineRule="exact"/>
        <w:rPr>
          <w:sz w:val="20"/>
          <w:szCs w:val="20"/>
          <w:color w:val="auto"/>
        </w:rPr>
      </w:pPr>
    </w:p>
    <w:p>
      <w:pPr>
        <w:ind w:left="1009" w:hanging="1009"/>
        <w:spacing w:after="0"/>
        <w:tabs>
          <w:tab w:leader="none" w:pos="1009" w:val="left"/>
        </w:tabs>
        <w:numPr>
          <w:ilvl w:val="0"/>
          <w:numId w:val="12"/>
        </w:numPr>
        <w:rPr>
          <w:rFonts w:ascii="Arial" w:cs="Arial" w:eastAsia="Arial" w:hAnsi="Arial"/>
          <w:sz w:val="17"/>
          <w:szCs w:val="17"/>
          <w:color w:val="auto"/>
        </w:rPr>
      </w:pPr>
      <w:r>
        <w:rPr>
          <w:rFonts w:ascii="Arial" w:cs="Arial" w:eastAsia="Arial" w:hAnsi="Arial"/>
          <w:sz w:val="17"/>
          <w:szCs w:val="17"/>
          <w:color w:val="auto"/>
        </w:rPr>
        <w:t>4</w:t>
      </w:r>
    </w:p>
    <w:p>
      <w:pPr>
        <w:spacing w:after="0" w:line="34" w:lineRule="exact"/>
        <w:rPr>
          <w:rFonts w:ascii="Arial" w:cs="Arial" w:eastAsia="Arial" w:hAnsi="Arial"/>
          <w:sz w:val="17"/>
          <w:szCs w:val="17"/>
          <w:color w:val="auto"/>
        </w:rPr>
      </w:pPr>
    </w:p>
    <w:p>
      <w:pPr>
        <w:ind w:left="1049"/>
        <w:spacing w:after="0"/>
        <w:rPr>
          <w:rFonts w:ascii="Arial" w:cs="Arial" w:eastAsia="Arial" w:hAnsi="Arial"/>
          <w:sz w:val="17"/>
          <w:szCs w:val="17"/>
          <w:color w:val="auto"/>
        </w:rPr>
      </w:pPr>
      <w:r>
        <w:rPr>
          <w:rFonts w:ascii="Arial" w:cs="Arial" w:eastAsia="Arial" w:hAnsi="Arial"/>
          <w:sz w:val="18"/>
          <w:szCs w:val="18"/>
          <w:color w:val="auto"/>
        </w:rPr>
        <w:t>-</w:t>
      </w:r>
    </w:p>
    <w:p>
      <w:pPr>
        <w:spacing w:after="0" w:line="9" w:lineRule="exact"/>
        <w:rPr>
          <w:sz w:val="20"/>
          <w:szCs w:val="20"/>
          <w:color w:val="auto"/>
        </w:rPr>
      </w:pPr>
    </w:p>
    <w:p>
      <w:pPr>
        <w:jc w:val="right"/>
        <w:ind w:right="160"/>
        <w:spacing w:after="0"/>
        <w:rPr>
          <w:sz w:val="20"/>
          <w:szCs w:val="20"/>
          <w:color w:val="auto"/>
        </w:rPr>
      </w:pPr>
      <w:r>
        <w:rPr>
          <w:rFonts w:ascii="Arial" w:cs="Arial" w:eastAsia="Arial" w:hAnsi="Arial"/>
          <w:sz w:val="18"/>
          <w:szCs w:val="18"/>
          <w:color w:val="auto"/>
        </w:rPr>
        <w:t>179</w:t>
      </w:r>
    </w:p>
    <w:p>
      <w:pPr>
        <w:spacing w:after="0" w:line="62" w:lineRule="exact"/>
        <w:rPr>
          <w:sz w:val="20"/>
          <w:szCs w:val="20"/>
          <w:color w:val="auto"/>
        </w:rPr>
      </w:pPr>
    </w:p>
    <w:p>
      <w:pPr>
        <w:ind w:left="829" w:hanging="829"/>
        <w:spacing w:after="0"/>
        <w:tabs>
          <w:tab w:leader="none" w:pos="829" w:val="left"/>
        </w:tabs>
        <w:numPr>
          <w:ilvl w:val="0"/>
          <w:numId w:val="13"/>
        </w:numPr>
        <w:rPr>
          <w:rFonts w:ascii="Arial" w:cs="Arial" w:eastAsia="Arial" w:hAnsi="Arial"/>
          <w:sz w:val="16"/>
          <w:szCs w:val="16"/>
          <w:color w:val="auto"/>
        </w:rPr>
      </w:pPr>
      <w:r>
        <w:rPr>
          <w:rFonts w:ascii="Arial" w:cs="Arial" w:eastAsia="Arial" w:hAnsi="Arial"/>
          <w:sz w:val="16"/>
          <w:szCs w:val="16"/>
          <w:color w:val="auto"/>
        </w:rPr>
        <w:t>183</w:t>
      </w:r>
    </w:p>
    <w:p>
      <w:pPr>
        <w:spacing w:after="0" w:line="46" w:lineRule="exact"/>
        <w:rPr>
          <w:sz w:val="20"/>
          <w:szCs w:val="20"/>
          <w:color w:val="auto"/>
        </w:rPr>
      </w:pPr>
    </w:p>
    <w:p>
      <w:pPr>
        <w:sectPr>
          <w:pgSz w:w="11900" w:h="16838" w:orient="portrait"/>
          <w:cols w:equalWidth="0" w:num="3">
            <w:col w:w="7874" w:space="720"/>
            <w:col w:w="1106" w:space="271"/>
            <w:col w:w="1269"/>
          </w:cols>
          <w:pgMar w:left="320" w:top="877" w:right="339" w:bottom="1440" w:gutter="0" w:footer="0" w:header="0"/>
          <w:type w:val="continuous"/>
        </w:sectPr>
      </w:pPr>
    </w:p>
    <w:tbl>
      <w:tblPr>
        <w:tblLayout w:type="fixed"/>
        <w:tblInd w:w="0" w:type="dxa"/>
        <w:tblCellMar>
          <w:top w:w="0" w:type="dxa"/>
          <w:left w:w="0" w:type="dxa"/>
          <w:bottom w:w="0" w:type="dxa"/>
          <w:right w:w="0" w:type="dxa"/>
        </w:tblCellMar>
      </w:tblPr>
      <w:tr>
        <w:trPr>
          <w:trHeight w:val="263"/>
        </w:trPr>
        <w:tc>
          <w:tcPr>
            <w:tcW w:w="856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r>
      <w:tr>
        <w:trPr>
          <w:trHeight w:val="216"/>
        </w:trPr>
        <w:tc>
          <w:tcPr>
            <w:tcW w:w="8600" w:type="dxa"/>
            <w:vAlign w:val="bottom"/>
            <w:gridSpan w:val="2"/>
          </w:tcPr>
          <w:p>
            <w:pPr>
              <w:spacing w:after="0"/>
              <w:rPr>
                <w:sz w:val="20"/>
                <w:szCs w:val="20"/>
                <w:color w:val="auto"/>
              </w:rPr>
            </w:pPr>
            <w:r>
              <w:rPr>
                <w:rFonts w:ascii="Arial" w:cs="Arial" w:eastAsia="Arial" w:hAnsi="Arial"/>
                <w:sz w:val="18"/>
                <w:szCs w:val="18"/>
                <w:color w:val="auto"/>
              </w:rPr>
              <w:t>Weighted Average Remaining Lease Term</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Operating leases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3.45 years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3.3 years</w:t>
            </w:r>
          </w:p>
        </w:tc>
      </w:tr>
      <w:tr>
        <w:trPr>
          <w:trHeight w:val="216"/>
        </w:trPr>
        <w:tc>
          <w:tcPr>
            <w:tcW w:w="8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Discount Rate</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8600" w:type="dxa"/>
            <w:vAlign w:val="bottom"/>
            <w:gridSpan w:val="2"/>
          </w:tcPr>
          <w:p>
            <w:pPr>
              <w:ind w:left="340"/>
              <w:spacing w:after="0"/>
              <w:rPr>
                <w:sz w:val="20"/>
                <w:szCs w:val="20"/>
                <w:color w:val="auto"/>
              </w:rPr>
            </w:pPr>
            <w:r>
              <w:rPr>
                <w:rFonts w:ascii="Arial" w:cs="Arial" w:eastAsia="Arial" w:hAnsi="Arial"/>
                <w:sz w:val="18"/>
                <w:szCs w:val="18"/>
                <w:color w:val="auto"/>
              </w:rPr>
              <w:t>Operating leases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r>
      <w:tr>
        <w:trPr>
          <w:trHeight w:val="418"/>
        </w:trPr>
        <w:tc>
          <w:tcPr>
            <w:tcW w:w="8600" w:type="dxa"/>
            <w:vAlign w:val="bottom"/>
            <w:gridSpan w:val="2"/>
          </w:tcPr>
          <w:p>
            <w:pPr>
              <w:ind w:left="660"/>
              <w:spacing w:after="0"/>
              <w:rPr>
                <w:sz w:val="20"/>
                <w:szCs w:val="20"/>
                <w:color w:val="auto"/>
              </w:rPr>
            </w:pPr>
            <w:r>
              <w:rPr>
                <w:rFonts w:ascii="Arial" w:cs="Arial" w:eastAsia="Arial" w:hAnsi="Arial"/>
                <w:sz w:val="18"/>
                <w:szCs w:val="18"/>
                <w:color w:val="auto"/>
              </w:rPr>
              <w:t>The following is a schedule, by years, of maturities of lease liabilities as of June 30, 2022: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8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4"/>
              </w:rPr>
              <w:t>Operating</w:t>
            </w:r>
          </w:p>
        </w:tc>
      </w:tr>
      <w:tr>
        <w:trPr>
          <w:trHeight w:val="241"/>
        </w:trPr>
        <w:tc>
          <w:tcPr>
            <w:tcW w:w="86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5"/>
              </w:rPr>
              <w:t>Leases</w:t>
            </w:r>
          </w:p>
        </w:tc>
      </w:tr>
      <w:tr>
        <w:trPr>
          <w:trHeight w:val="216"/>
        </w:trPr>
        <w:tc>
          <w:tcPr>
            <w:tcW w:w="86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The remainder of 2022</w:t>
            </w: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2023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756</w:t>
            </w: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459</w:t>
            </w: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2025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456</w:t>
            </w:r>
          </w:p>
        </w:tc>
      </w:tr>
      <w:tr>
        <w:trPr>
          <w:trHeight w:val="249"/>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198</w:t>
            </w:r>
          </w:p>
        </w:tc>
      </w:tr>
      <w:tr>
        <w:trPr>
          <w:trHeight w:val="203"/>
        </w:trPr>
        <w:tc>
          <w:tcPr>
            <w:tcW w:w="860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Total undiscounted cash flows</w:t>
            </w: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9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2,211</w:t>
            </w:r>
          </w:p>
        </w:tc>
        <w:tc>
          <w:tcPr>
            <w:tcW w:w="100" w:type="dxa"/>
            <w:vAlign w:val="bottom"/>
            <w:tcBorders>
              <w:top w:val="single" w:sz="8" w:color="CCEEFF"/>
            </w:tcBorders>
          </w:tcPr>
          <w:p>
            <w:pPr>
              <w:spacing w:after="0"/>
              <w:rPr>
                <w:sz w:val="17"/>
                <w:szCs w:val="17"/>
                <w:color w:val="auto"/>
              </w:rPr>
            </w:pPr>
          </w:p>
        </w:tc>
      </w:tr>
      <w:tr>
        <w:trPr>
          <w:trHeight w:val="249"/>
        </w:trPr>
        <w:tc>
          <w:tcPr>
            <w:tcW w:w="8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(346)</w:t>
            </w:r>
          </w:p>
        </w:tc>
      </w:tr>
      <w:tr>
        <w:trPr>
          <w:trHeight w:val="210"/>
        </w:trPr>
        <w:tc>
          <w:tcPr>
            <w:tcW w:w="860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Present value of lease liabilities</w:t>
            </w: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1,865</w:t>
            </w:r>
          </w:p>
        </w:tc>
        <w:tc>
          <w:tcPr>
            <w:tcW w:w="100" w:type="dxa"/>
            <w:vAlign w:val="bottom"/>
            <w:tcBorders>
              <w:top w:val="single" w:sz="8" w:color="CCEEFF"/>
            </w:tcBorders>
          </w:tcPr>
          <w:p>
            <w:pPr>
              <w:spacing w:after="0"/>
              <w:rPr>
                <w:sz w:val="18"/>
                <w:szCs w:val="18"/>
                <w:color w:val="auto"/>
              </w:rPr>
            </w:pPr>
          </w:p>
        </w:tc>
      </w:tr>
      <w:tr>
        <w:trPr>
          <w:trHeight w:val="432"/>
        </w:trPr>
        <w:tc>
          <w:tcPr>
            <w:tcW w:w="8600" w:type="dxa"/>
            <w:vAlign w:val="bottom"/>
            <w:gridSpan w:val="2"/>
          </w:tcPr>
          <w:p>
            <w:pPr>
              <w:ind w:left="660"/>
              <w:spacing w:after="0"/>
              <w:rPr>
                <w:sz w:val="20"/>
                <w:szCs w:val="20"/>
                <w:color w:val="auto"/>
              </w:rPr>
            </w:pPr>
            <w:r>
              <w:rPr>
                <w:rFonts w:ascii="Arial" w:cs="Arial" w:eastAsia="Arial" w:hAnsi="Arial"/>
                <w:sz w:val="18"/>
                <w:szCs w:val="18"/>
                <w:color w:val="auto"/>
              </w:rPr>
              <w:t>Supplemental cash flow information related to leases are as follows: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8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91"/>
              </w:rPr>
              <w:t>Six Months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Six Months</w:t>
            </w:r>
          </w:p>
        </w:tc>
      </w:tr>
      <w:tr>
        <w:trPr>
          <w:trHeight w:val="216"/>
        </w:trPr>
        <w:tc>
          <w:tcPr>
            <w:tcW w:w="8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0"/>
              </w:rPr>
              <w:t>Ended</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Ended</w:t>
            </w:r>
          </w:p>
        </w:tc>
      </w:tr>
      <w:tr>
        <w:trPr>
          <w:trHeight w:val="216"/>
        </w:trPr>
        <w:tc>
          <w:tcPr>
            <w:tcW w:w="8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88"/>
              </w:rPr>
              <w:t>June 30,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June 30,</w:t>
            </w:r>
          </w:p>
        </w:tc>
      </w:tr>
      <w:tr>
        <w:trPr>
          <w:trHeight w:val="241"/>
        </w:trPr>
        <w:tc>
          <w:tcPr>
            <w:tcW w:w="86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thousands)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9"/>
              </w:rPr>
              <w:t>2021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Operating cash flows from operating leases</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256</w:t>
            </w:r>
          </w:p>
        </w:tc>
        <w:tc>
          <w:tcPr>
            <w:tcW w:w="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176</w:t>
            </w:r>
          </w:p>
        </w:tc>
      </w:tr>
      <w:tr>
        <w:trPr>
          <w:trHeight w:val="216"/>
        </w:trPr>
        <w:tc>
          <w:tcPr>
            <w:tcW w:w="8600" w:type="dxa"/>
            <w:vAlign w:val="bottom"/>
            <w:gridSpan w:val="2"/>
          </w:tcPr>
          <w:p>
            <w:pPr>
              <w:ind w:left="180"/>
              <w:spacing w:after="0"/>
              <w:rPr>
                <w:sz w:val="20"/>
                <w:szCs w:val="20"/>
                <w:color w:val="auto"/>
              </w:rPr>
            </w:pPr>
            <w:r>
              <w:rPr>
                <w:rFonts w:ascii="Arial" w:cs="Arial" w:eastAsia="Arial" w:hAnsi="Arial"/>
                <w:sz w:val="18"/>
                <w:szCs w:val="18"/>
                <w:color w:val="auto"/>
              </w:rPr>
              <w:t>Operating cash flows from finance leases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8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Financing cash flows from finance leases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r>
      <w:tr>
        <w:trPr>
          <w:trHeight w:val="655"/>
        </w:trPr>
        <w:tc>
          <w:tcPr>
            <w:tcW w:w="8560" w:type="dxa"/>
            <w:vAlign w:val="bottom"/>
            <w:tcBorders>
              <w:bottom w:val="single" w:sz="8" w:color="auto"/>
            </w:tcBorders>
          </w:tcPr>
          <w:p>
            <w:pPr>
              <w:ind w:left="5540"/>
              <w:spacing w:after="0"/>
              <w:rPr>
                <w:sz w:val="20"/>
                <w:szCs w:val="20"/>
                <w:color w:val="auto"/>
              </w:rPr>
            </w:pPr>
            <w:r>
              <w:rPr>
                <w:rFonts w:ascii="Arial" w:cs="Arial" w:eastAsia="Arial" w:hAnsi="Arial"/>
                <w:sz w:val="18"/>
                <w:szCs w:val="18"/>
                <w:color w:val="auto"/>
              </w:rPr>
              <w:t>29</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following discussion contains various forward-looking statements within the meaning of Section 21E of the Exchange Act. Although we believe that, in making any such statement, our expectations are based on reasonable assumptions, any such statement may be influenced by factors that could cause actual outcomes and results to be materially different from those projected. When used in the following discussion, the words “anticipates,” “believes,” “expects,” “intends,” “plans,” “estimates,” “projects,” should,” “may,” “propose,” and similar expressions (or the negative versions of such words or expressions), as they relate to us or our management, are intended to identify such forward-looking statements. These forward-looking statements are subject to numerous risks and uncertainties that could cause actual results to differ materially from those anticipated, and many of which are beyond our control. Factors that could cause actual results to differ materially from those anticipated are set forth under the caption “Risk Factors” in the Company’s Form 10-K for the year ended December 31, 2021 as filed with the Securities and Exchange Commission on March 22, 2022.</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actual results, performance or achievements could differ materially from those expressed in, or implied by, forward-looking statements. Accordingly, we cannot be certain that any of the events anticipated by forward-looking statements will occur or, if any of them do occur, what impact they will have on us. We caution you to keep in mind the cautions and risks described in this document and to refrain from attributing undue certainty to any forward-looking statements, which speak only as of the date of the document in which they appear. We do not undertake to update any forward-looking statement.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Creative Realities, Inc. (“Creative Realities,” “we,” “us,” or the “Company”) transforms environments through digital solutions by providing innovative digital signage solutions for key market segments and use cases, including:</w:t>
      </w:r>
    </w:p>
    <w:p>
      <w:pPr>
        <w:spacing w:after="0" w:line="170"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Retail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Entertainment and Sports Venues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Restaurants, including quick-serve restaurants (“QSR”)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Convenience Stores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Financial Services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Automotive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Medical and Healthcare Facilities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Mixed Use Developments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Corporate Communications, Employee Experience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Digital out of Home (DOOH) Advertising Networks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1" w:name="page32"/>
    <w:bookmarkEnd w:id="31"/>
    <w:p>
      <w:pPr>
        <w:jc w:val="both"/>
        <w:ind w:firstLine="648"/>
        <w:spacing w:after="0" w:line="263" w:lineRule="auto"/>
        <w:rPr>
          <w:sz w:val="20"/>
          <w:szCs w:val="20"/>
          <w:color w:val="auto"/>
        </w:rPr>
      </w:pPr>
      <w:r>
        <w:rPr>
          <w:rFonts w:ascii="Arial" w:cs="Arial" w:eastAsia="Arial" w:hAnsi="Arial"/>
          <w:sz w:val="18"/>
          <w:szCs w:val="18"/>
          <w:color w:val="auto"/>
        </w:rPr>
        <w:t>We serve market-leading companies, so there is a good chance that if you leave your home today to shop, work, eat or play, you will encounter one or more of our digital signage experiences. Our solutions are increasingly visible because we help our enterprise customers achieve a range of business objectives including:</w:t>
      </w:r>
    </w:p>
    <w:p>
      <w:pPr>
        <w:spacing w:after="0" w:line="184"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brand awareness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Improved customer support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Enhanced employee productivity and satisfaction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revenue and profitability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Improved guest experience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customer/guest engagement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Improved patient outcomes</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Through a combination of organically grown platforms and a series of strategic acquisitions, including our recent acquisition of Reflect Systems, Inc. in February 2022, the Company assist clients to design, deploy, manage, and monetize their digital signage networks. The Company sources leads and opportunities for its solutions through its digital and content marketing initiatives, close relationships with key industry partners, specifically equipment manufacturers, and the direct efforts of its in-house industry sales experts. Client engagements focus on consultative conversations that ensure the Company’s solutions are positioned to help clients achieve their business objectives in the most cost-effective manner possible.</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When comparing Creative Realities to other digital signage providers, our customers value the following competitive advantages:</w:t>
      </w:r>
    </w:p>
    <w:p>
      <w:pPr>
        <w:spacing w:after="0" w:line="221" w:lineRule="exact"/>
        <w:rPr>
          <w:sz w:val="20"/>
          <w:szCs w:val="20"/>
          <w:color w:val="auto"/>
        </w:rPr>
      </w:pPr>
    </w:p>
    <w:p>
      <w:pPr>
        <w:jc w:val="both"/>
        <w:ind w:left="980" w:hanging="324"/>
        <w:spacing w:after="0" w:line="266"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Breadth of solutions </w:t>
      </w:r>
      <w:r>
        <w:rPr>
          <w:rFonts w:ascii="Arial" w:cs="Arial" w:eastAsia="Arial" w:hAnsi="Arial"/>
          <w:sz w:val="18"/>
          <w:szCs w:val="18"/>
          <w:color w:val="auto"/>
        </w:rPr>
        <w:t>– Creative Realities is one of only a few companies in the industry capable of providing the full portfolio of products</w:t>
      </w:r>
      <w:r>
        <w:rPr>
          <w:rFonts w:ascii="Arial" w:cs="Arial" w:eastAsia="Arial" w:hAnsi="Arial"/>
          <w:sz w:val="18"/>
          <w:szCs w:val="18"/>
          <w:b w:val="1"/>
          <w:bCs w:val="1"/>
          <w:color w:val="auto"/>
        </w:rPr>
        <w:t xml:space="preserve"> </w:t>
      </w:r>
      <w:r>
        <w:rPr>
          <w:rFonts w:ascii="Arial" w:cs="Arial" w:eastAsia="Arial" w:hAnsi="Arial"/>
          <w:sz w:val="18"/>
          <w:szCs w:val="18"/>
          <w:color w:val="auto"/>
        </w:rPr>
        <w:t>and services required to implement and run an effective digital signage network. We leverage a ‘single vendor’ approach, providing clients with a one-stop-shop for sourcing digital signage solutions from design through day two services.</w:t>
      </w:r>
    </w:p>
    <w:p>
      <w:pPr>
        <w:spacing w:after="0" w:line="175" w:lineRule="exact"/>
        <w:rPr>
          <w:rFonts w:ascii="Arial" w:cs="Arial" w:eastAsia="Arial" w:hAnsi="Arial"/>
          <w:sz w:val="18"/>
          <w:szCs w:val="18"/>
          <w:color w:val="auto"/>
        </w:rPr>
      </w:pPr>
    </w:p>
    <w:p>
      <w:pPr>
        <w:jc w:val="both"/>
        <w:ind w:left="980" w:hanging="324"/>
        <w:spacing w:after="0" w:line="266"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Managed labor pool </w:t>
      </w:r>
      <w:r>
        <w:rPr>
          <w:rFonts w:ascii="Arial" w:cs="Arial" w:eastAsia="Arial" w:hAnsi="Arial"/>
          <w:sz w:val="18"/>
          <w:szCs w:val="18"/>
          <w:color w:val="auto"/>
        </w:rPr>
        <w:t>– Unlike most companies in our industry, we have a curated labor pool including thousands of qualified and vetted field</w:t>
      </w:r>
      <w:r>
        <w:rPr>
          <w:rFonts w:ascii="Arial" w:cs="Arial" w:eastAsia="Arial" w:hAnsi="Arial"/>
          <w:sz w:val="18"/>
          <w:szCs w:val="18"/>
          <w:b w:val="1"/>
          <w:bCs w:val="1"/>
          <w:color w:val="auto"/>
        </w:rPr>
        <w:t xml:space="preserve"> </w:t>
      </w:r>
      <w:r>
        <w:rPr>
          <w:rFonts w:ascii="Arial" w:cs="Arial" w:eastAsia="Arial" w:hAnsi="Arial"/>
          <w:sz w:val="18"/>
          <w:szCs w:val="18"/>
          <w:color w:val="auto"/>
        </w:rPr>
        <w:t>technicians available to service clients quickly nationwide. We can meet tight schedules even in exceptionally large deployments and still ensure quality and consistency.</w:t>
      </w:r>
    </w:p>
    <w:p>
      <w:pPr>
        <w:spacing w:after="0" w:line="175" w:lineRule="exact"/>
        <w:rPr>
          <w:rFonts w:ascii="Arial" w:cs="Arial" w:eastAsia="Arial" w:hAnsi="Arial"/>
          <w:sz w:val="18"/>
          <w:szCs w:val="18"/>
          <w:color w:val="auto"/>
        </w:rPr>
      </w:pPr>
    </w:p>
    <w:p>
      <w:pPr>
        <w:jc w:val="both"/>
        <w:ind w:left="980" w:hanging="324"/>
        <w:spacing w:after="0" w:line="266"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In-house creative resources </w:t>
      </w:r>
      <w:r>
        <w:rPr>
          <w:rFonts w:ascii="Arial" w:cs="Arial" w:eastAsia="Arial" w:hAnsi="Arial"/>
          <w:sz w:val="18"/>
          <w:szCs w:val="18"/>
          <w:color w:val="auto"/>
        </w:rPr>
        <w:t>– We assist clients in repurposing existing content for digital signage experiences or creating new content, an</w:t>
      </w:r>
      <w:r>
        <w:rPr>
          <w:rFonts w:ascii="Arial" w:cs="Arial" w:eastAsia="Arial" w:hAnsi="Arial"/>
          <w:sz w:val="18"/>
          <w:szCs w:val="18"/>
          <w:b w:val="1"/>
          <w:bCs w:val="1"/>
          <w:color w:val="auto"/>
        </w:rPr>
        <w:t xml:space="preserve"> </w:t>
      </w:r>
      <w:r>
        <w:rPr>
          <w:rFonts w:ascii="Arial" w:cs="Arial" w:eastAsia="Arial" w:hAnsi="Arial"/>
          <w:sz w:val="18"/>
          <w:szCs w:val="18"/>
          <w:color w:val="auto"/>
        </w:rPr>
        <w:t>activity for which the Company has won several design awards in recent years. In each instance, our services can be essential in helping clients develop an effective content program.</w:t>
      </w:r>
    </w:p>
    <w:p>
      <w:pPr>
        <w:spacing w:after="0" w:line="175" w:lineRule="exact"/>
        <w:rPr>
          <w:rFonts w:ascii="Arial" w:cs="Arial" w:eastAsia="Arial" w:hAnsi="Arial"/>
          <w:sz w:val="18"/>
          <w:szCs w:val="18"/>
          <w:color w:val="auto"/>
        </w:rPr>
      </w:pPr>
    </w:p>
    <w:p>
      <w:pPr>
        <w:jc w:val="both"/>
        <w:ind w:left="980" w:hanging="324"/>
        <w:spacing w:after="0" w:line="261"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Network scalability and reliability </w:t>
      </w:r>
      <w:r>
        <w:rPr>
          <w:rFonts w:ascii="Arial" w:cs="Arial" w:eastAsia="Arial" w:hAnsi="Arial"/>
          <w:sz w:val="18"/>
          <w:szCs w:val="18"/>
          <w:color w:val="auto"/>
        </w:rPr>
        <w:t>– Our software as a service (“SaaS”) content management platforms power some of the largest and most</w:t>
      </w:r>
      <w:r>
        <w:rPr>
          <w:rFonts w:ascii="Arial" w:cs="Arial" w:eastAsia="Arial" w:hAnsi="Arial"/>
          <w:sz w:val="18"/>
          <w:szCs w:val="18"/>
          <w:b w:val="1"/>
          <w:bCs w:val="1"/>
          <w:color w:val="auto"/>
        </w:rPr>
        <w:t xml:space="preserve"> </w:t>
      </w:r>
      <w:r>
        <w:rPr>
          <w:rFonts w:ascii="Arial" w:cs="Arial" w:eastAsia="Arial" w:hAnsi="Arial"/>
          <w:sz w:val="18"/>
          <w:szCs w:val="18"/>
          <w:color w:val="auto"/>
        </w:rPr>
        <w:t>complex digital signage networks in North America evidencing our ability to manage enterprise scale projects. This also provides us purchasing power to source products and services for our customers, enabling us to deliver cost effective, reliable and powerful solutions to small and medium size business clients.</w:t>
      </w:r>
    </w:p>
    <w:p>
      <w:pPr>
        <w:spacing w:after="0" w:line="179" w:lineRule="exact"/>
        <w:rPr>
          <w:rFonts w:ascii="Arial" w:cs="Arial" w:eastAsia="Arial" w:hAnsi="Arial"/>
          <w:sz w:val="18"/>
          <w:szCs w:val="18"/>
          <w:color w:val="auto"/>
        </w:rPr>
      </w:pPr>
    </w:p>
    <w:p>
      <w:pPr>
        <w:jc w:val="both"/>
        <w:ind w:left="980" w:hanging="324"/>
        <w:spacing w:after="0" w:line="261"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Ad management platform </w:t>
      </w:r>
      <w:r>
        <w:rPr>
          <w:rFonts w:ascii="Arial" w:cs="Arial" w:eastAsia="Arial" w:hAnsi="Arial"/>
          <w:sz w:val="18"/>
          <w:szCs w:val="18"/>
          <w:color w:val="auto"/>
        </w:rPr>
        <w:t>– Our customers are increasingly interested in monetizing their digital signage networks through advertising</w:t>
      </w:r>
      <w:r>
        <w:rPr>
          <w:rFonts w:ascii="Arial" w:cs="Arial" w:eastAsia="Arial" w:hAnsi="Arial"/>
          <w:sz w:val="18"/>
          <w:szCs w:val="18"/>
          <w:b w:val="1"/>
          <w:bCs w:val="1"/>
          <w:color w:val="auto"/>
        </w:rPr>
        <w:t xml:space="preserve"> </w:t>
      </w:r>
      <w:r>
        <w:rPr>
          <w:rFonts w:ascii="Arial" w:cs="Arial" w:eastAsia="Arial" w:hAnsi="Arial"/>
          <w:sz w:val="18"/>
          <w:szCs w:val="18"/>
          <w:color w:val="auto"/>
        </w:rPr>
        <w:t>content. However, efficiently scheduling advertising content into digital signage playlists to meet campaign objectives can be a challenging and labor-intensive process. AdLogic, our home-grown, content management-agnostic platform, automates this process, allowing network owners to capture more revenue with less expense.</w:t>
      </w:r>
    </w:p>
    <w:p>
      <w:pPr>
        <w:spacing w:after="0" w:line="179" w:lineRule="exact"/>
        <w:rPr>
          <w:rFonts w:ascii="Arial" w:cs="Arial" w:eastAsia="Arial" w:hAnsi="Arial"/>
          <w:sz w:val="18"/>
          <w:szCs w:val="18"/>
          <w:color w:val="auto"/>
        </w:rPr>
      </w:pPr>
    </w:p>
    <w:p>
      <w:pPr>
        <w:jc w:val="both"/>
        <w:ind w:left="980" w:hanging="324"/>
        <w:spacing w:after="0" w:line="289" w:lineRule="auto"/>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b w:val="1"/>
          <w:bCs w:val="1"/>
          <w:color w:val="auto"/>
        </w:rPr>
        <w:t xml:space="preserve">Media sales </w:t>
      </w:r>
      <w:r>
        <w:rPr>
          <w:rFonts w:ascii="Arial" w:cs="Arial" w:eastAsia="Arial" w:hAnsi="Arial"/>
          <w:sz w:val="17"/>
          <w:szCs w:val="17"/>
          <w:color w:val="auto"/>
        </w:rPr>
        <w:t>– Few, if any other digital signage solution providers, can offer their clients media sales as a service. We have in-house media</w:t>
      </w:r>
      <w:r>
        <w:rPr>
          <w:rFonts w:ascii="Arial" w:cs="Arial" w:eastAsia="Arial" w:hAnsi="Arial"/>
          <w:sz w:val="17"/>
          <w:szCs w:val="17"/>
          <w:b w:val="1"/>
          <w:bCs w:val="1"/>
          <w:color w:val="auto"/>
        </w:rPr>
        <w:t xml:space="preserve"> </w:t>
      </w:r>
      <w:r>
        <w:rPr>
          <w:rFonts w:ascii="Arial" w:cs="Arial" w:eastAsia="Arial" w:hAnsi="Arial"/>
          <w:sz w:val="17"/>
          <w:szCs w:val="17"/>
          <w:color w:val="auto"/>
        </w:rPr>
        <w:t>sales expertise to elevate conversations with clients interested in better understanding network monetization. We believe this meaningful differentiation in the sales process provides an additional revenue stream to Creative Realities compared to our competitors.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2" w:name="page33"/>
    <w:bookmarkEnd w:id="32"/>
    <w:p>
      <w:pPr>
        <w:jc w:val="both"/>
        <w:ind w:left="980" w:hanging="324"/>
        <w:spacing w:after="0" w:line="303" w:lineRule="auto"/>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b w:val="1"/>
          <w:bCs w:val="1"/>
          <w:color w:val="auto"/>
        </w:rPr>
        <w:t xml:space="preserve">Market sector expertise </w:t>
      </w:r>
      <w:r>
        <w:rPr>
          <w:rFonts w:ascii="Arial" w:cs="Arial" w:eastAsia="Arial" w:hAnsi="Arial"/>
          <w:sz w:val="16"/>
          <w:szCs w:val="16"/>
          <w:color w:val="auto"/>
        </w:rPr>
        <w:t>– Creative Realities has in-house experts in key market segments such as automotive, retail, quick-serve restaurants</w:t>
      </w:r>
      <w:r>
        <w:rPr>
          <w:rFonts w:ascii="Arial" w:cs="Arial" w:eastAsia="Arial" w:hAnsi="Arial"/>
          <w:sz w:val="16"/>
          <w:szCs w:val="16"/>
          <w:b w:val="1"/>
          <w:bCs w:val="1"/>
          <w:color w:val="auto"/>
        </w:rPr>
        <w:t xml:space="preserve"> </w:t>
      </w:r>
      <w:r>
        <w:rPr>
          <w:rFonts w:ascii="Arial" w:cs="Arial" w:eastAsia="Arial" w:hAnsi="Arial"/>
          <w:sz w:val="16"/>
          <w:szCs w:val="16"/>
          <w:color w:val="auto"/>
        </w:rPr>
        <w:t>(QSR), convenience stores, and Digital Out of Home (DOOH) advertising. Our expertise in these business segments enables our teams to provide meaningful business conversations and offer tailored solutions with prospects and customers to their unique business objectives. These experts build industry relationships and create thought leadership that drives lead flow and new opportunities for our business.</w:t>
      </w:r>
    </w:p>
    <w:p>
      <w:pPr>
        <w:spacing w:after="0" w:line="150" w:lineRule="exact"/>
        <w:rPr>
          <w:rFonts w:ascii="Arial" w:cs="Arial" w:eastAsia="Arial" w:hAnsi="Arial"/>
          <w:sz w:val="16"/>
          <w:szCs w:val="16"/>
          <w:color w:val="auto"/>
        </w:rPr>
      </w:pPr>
    </w:p>
    <w:p>
      <w:pPr>
        <w:ind w:left="980" w:right="20" w:hanging="324"/>
        <w:spacing w:after="0" w:line="312" w:lineRule="auto"/>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b w:val="1"/>
          <w:bCs w:val="1"/>
          <w:color w:val="auto"/>
        </w:rPr>
        <w:t xml:space="preserve">Logistics </w:t>
      </w:r>
      <w:r>
        <w:rPr>
          <w:rFonts w:ascii="Arial" w:cs="Arial" w:eastAsia="Arial" w:hAnsi="Arial"/>
          <w:sz w:val="17"/>
          <w:szCs w:val="17"/>
          <w:color w:val="auto"/>
        </w:rPr>
        <w:t>– Implementing a large digital signage project can be a logistics nightmare that can stall an initiative even before deployment. Our</w:t>
      </w:r>
      <w:r>
        <w:rPr>
          <w:rFonts w:ascii="Arial" w:cs="Arial" w:eastAsia="Arial" w:hAnsi="Arial"/>
          <w:sz w:val="17"/>
          <w:szCs w:val="17"/>
          <w:b w:val="1"/>
          <w:bCs w:val="1"/>
          <w:color w:val="auto"/>
        </w:rPr>
        <w:t xml:space="preserve"> </w:t>
      </w:r>
      <w:r>
        <w:rPr>
          <w:rFonts w:ascii="Arial" w:cs="Arial" w:eastAsia="Arial" w:hAnsi="Arial"/>
          <w:sz w:val="17"/>
          <w:szCs w:val="17"/>
          <w:color w:val="auto"/>
        </w:rPr>
        <w:t>expertise in logistics improves deployment efficiency, reduces delays and problems, and saves customers time and money.</w:t>
      </w:r>
    </w:p>
    <w:p>
      <w:pPr>
        <w:spacing w:after="0" w:line="139" w:lineRule="exact"/>
        <w:rPr>
          <w:rFonts w:ascii="Arial" w:cs="Arial" w:eastAsia="Arial" w:hAnsi="Arial"/>
          <w:sz w:val="17"/>
          <w:szCs w:val="17"/>
          <w:color w:val="auto"/>
        </w:rPr>
      </w:pPr>
    </w:p>
    <w:p>
      <w:pPr>
        <w:jc w:val="both"/>
        <w:ind w:left="980" w:hanging="324"/>
        <w:spacing w:after="0" w:line="261"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Technical support </w:t>
      </w:r>
      <w:r>
        <w:rPr>
          <w:rFonts w:ascii="Arial" w:cs="Arial" w:eastAsia="Arial" w:hAnsi="Arial"/>
          <w:sz w:val="18"/>
          <w:szCs w:val="18"/>
          <w:color w:val="auto"/>
        </w:rPr>
        <w:t>– Digital signage networks present unique challenges for corporate IT departments. Creative Realities helps simplify and</w:t>
      </w:r>
      <w:r>
        <w:rPr>
          <w:rFonts w:ascii="Arial" w:cs="Arial" w:eastAsia="Arial" w:hAnsi="Arial"/>
          <w:sz w:val="18"/>
          <w:szCs w:val="18"/>
          <w:b w:val="1"/>
          <w:bCs w:val="1"/>
          <w:color w:val="auto"/>
        </w:rPr>
        <w:t xml:space="preserve"> </w:t>
      </w:r>
      <w:r>
        <w:rPr>
          <w:rFonts w:ascii="Arial" w:cs="Arial" w:eastAsia="Arial" w:hAnsi="Arial"/>
          <w:sz w:val="18"/>
          <w:szCs w:val="18"/>
          <w:color w:val="auto"/>
        </w:rPr>
        <w:t>improve end user support by leveraging our own Network Operations Center (“NOC”) in Louisville, Kentucky. The NOC resolves many issues remotely and when field support is required, it can be dispatched from the NOC, leveraging our managed labor pool to resolve customer issues quickly and effectively.</w:t>
      </w:r>
    </w:p>
    <w:p>
      <w:pPr>
        <w:spacing w:after="0" w:line="179" w:lineRule="exact"/>
        <w:rPr>
          <w:rFonts w:ascii="Arial" w:cs="Arial" w:eastAsia="Arial" w:hAnsi="Arial"/>
          <w:sz w:val="18"/>
          <w:szCs w:val="18"/>
          <w:color w:val="auto"/>
        </w:rPr>
      </w:pPr>
    </w:p>
    <w:p>
      <w:pPr>
        <w:jc w:val="both"/>
        <w:ind w:left="980" w:hanging="324"/>
        <w:spacing w:after="0" w:line="261"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Integrations and Application Development </w:t>
      </w:r>
      <w:r>
        <w:rPr>
          <w:rFonts w:ascii="Arial" w:cs="Arial" w:eastAsia="Arial" w:hAnsi="Arial"/>
          <w:sz w:val="18"/>
          <w:szCs w:val="18"/>
          <w:color w:val="auto"/>
        </w:rPr>
        <w:t>– The future of digital signage is not still images and videos on a screen. Interactive applications</w:t>
      </w:r>
      <w:r>
        <w:rPr>
          <w:rFonts w:ascii="Arial" w:cs="Arial" w:eastAsia="Arial" w:hAnsi="Arial"/>
          <w:sz w:val="18"/>
          <w:szCs w:val="18"/>
          <w:b w:val="1"/>
          <w:bCs w:val="1"/>
          <w:color w:val="auto"/>
        </w:rPr>
        <w:t xml:space="preserve"> </w:t>
      </w:r>
      <w:r>
        <w:rPr>
          <w:rFonts w:ascii="Arial" w:cs="Arial" w:eastAsia="Arial" w:hAnsi="Arial"/>
          <w:sz w:val="18"/>
          <w:szCs w:val="18"/>
          <w:color w:val="auto"/>
        </w:rPr>
        <w:t>and integrations with other data sources will dominate the future. From social media feeds to corporate data stores to Point of Sale (“POS”) systems, our proven ability to build scalable applications and integrations is a key advantage clients can leverage to deliver more compelling and engaging experiences for their customers.</w:t>
      </w:r>
    </w:p>
    <w:p>
      <w:pPr>
        <w:spacing w:after="0" w:line="179" w:lineRule="exact"/>
        <w:rPr>
          <w:rFonts w:ascii="Arial" w:cs="Arial" w:eastAsia="Arial" w:hAnsi="Arial"/>
          <w:sz w:val="18"/>
          <w:szCs w:val="18"/>
          <w:color w:val="auto"/>
        </w:rPr>
      </w:pPr>
    </w:p>
    <w:p>
      <w:pPr>
        <w:jc w:val="both"/>
        <w:ind w:left="980" w:hanging="324"/>
        <w:spacing w:after="0" w:line="261"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 xml:space="preserve">Hardware support </w:t>
      </w:r>
      <w:r>
        <w:rPr>
          <w:rFonts w:ascii="Arial" w:cs="Arial" w:eastAsia="Arial" w:hAnsi="Arial"/>
          <w:sz w:val="18"/>
          <w:szCs w:val="18"/>
          <w:color w:val="auto"/>
        </w:rPr>
        <w:t>– A number of digital signage providers sell a proprietary media player or align themselves with just one operating</w:t>
      </w:r>
      <w:r>
        <w:rPr>
          <w:rFonts w:ascii="Arial" w:cs="Arial" w:eastAsia="Arial" w:hAnsi="Arial"/>
          <w:sz w:val="18"/>
          <w:szCs w:val="18"/>
          <w:b w:val="1"/>
          <w:bCs w:val="1"/>
          <w:color w:val="auto"/>
        </w:rPr>
        <w:t xml:space="preserve"> </w:t>
      </w:r>
      <w:r>
        <w:rPr>
          <w:rFonts w:ascii="Arial" w:cs="Arial" w:eastAsia="Arial" w:hAnsi="Arial"/>
          <w:sz w:val="18"/>
          <w:szCs w:val="18"/>
          <w:color w:val="auto"/>
        </w:rPr>
        <w:t>system. We utilize a range of media players including Windows, Android and BrightSign to provide clients the flexibility they need to select the appropriate hardware for any application knowing the entire network can still be served by a single digital signage platform, reducing complexity and improving the productivity of their teams.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three primary sources of revenue for the Company are:</w:t>
      </w:r>
    </w:p>
    <w:p>
      <w:pPr>
        <w:spacing w:after="0" w:line="225"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Hardware sales from reselling digital signage hardware from original equipment manufacturers such as Samsung and BrightSign.</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Services revenue from helping customers design, deploy and manage their digital signage network, including:</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Hardware system design/engineering</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Hardware installation</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Content development</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Content scheduling</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Post-deployment network and field support</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Media sales, as a result of our acquisition of Reflect</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Recurring subscription licensing and support revenue from our digital signage software platforms, which are generally sold via a SaaS model. These include:</w:t>
      </w:r>
    </w:p>
    <w:p>
      <w:pPr>
        <w:spacing w:after="0" w:line="166" w:lineRule="exact"/>
        <w:rPr>
          <w:rFonts w:ascii="Arial" w:cs="Arial" w:eastAsia="Arial" w:hAnsi="Arial"/>
          <w:sz w:val="18"/>
          <w:szCs w:val="18"/>
          <w:color w:val="auto"/>
        </w:rPr>
      </w:pPr>
    </w:p>
    <w:p>
      <w:pPr>
        <w:ind w:left="1300" w:hanging="320"/>
        <w:spacing w:after="0"/>
        <w:tabs>
          <w:tab w:leader="none" w:pos="1300" w:val="left"/>
        </w:tabs>
        <w:numPr>
          <w:ilvl w:val="1"/>
          <w:numId w:val="18"/>
        </w:numPr>
        <w:rPr>
          <w:rFonts w:ascii="Arial" w:cs="Arial" w:eastAsia="Arial" w:hAnsi="Arial"/>
          <w:sz w:val="16"/>
          <w:szCs w:val="16"/>
          <w:color w:val="auto"/>
        </w:rPr>
      </w:pPr>
      <w:r>
        <w:rPr>
          <w:rFonts w:ascii="Arial" w:cs="Arial" w:eastAsia="Arial" w:hAnsi="Arial"/>
          <w:sz w:val="16"/>
          <w:szCs w:val="16"/>
          <w:b w:val="1"/>
          <w:bCs w:val="1"/>
          <w:color w:val="auto"/>
        </w:rPr>
        <w:t>ReflectView</w:t>
      </w:r>
      <w:r>
        <w:rPr>
          <w:rFonts w:ascii="Arial" w:cs="Arial" w:eastAsia="Arial" w:hAnsi="Arial"/>
          <w:sz w:val="16"/>
          <w:szCs w:val="16"/>
          <w:color w:val="auto"/>
        </w:rPr>
        <w:t>, the Company’s core digital signage platform for most applications, scalable and cost effective from 10 to 100,000+ devices</w:t>
      </w:r>
    </w:p>
    <w:p>
      <w:pPr>
        <w:spacing w:after="0" w:line="248" w:lineRule="exact"/>
        <w:rPr>
          <w:rFonts w:ascii="Arial" w:cs="Arial" w:eastAsia="Arial" w:hAnsi="Arial"/>
          <w:sz w:val="16"/>
          <w:szCs w:val="16"/>
          <w:color w:val="auto"/>
        </w:rPr>
      </w:pPr>
    </w:p>
    <w:p>
      <w:pPr>
        <w:ind w:left="1300" w:hanging="320"/>
        <w:spacing w:after="0" w:line="282"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b w:val="1"/>
          <w:bCs w:val="1"/>
          <w:color w:val="auto"/>
        </w:rPr>
        <w:t>Reflect Xperience</w:t>
      </w:r>
      <w:r>
        <w:rPr>
          <w:rFonts w:ascii="Arial" w:cs="Arial" w:eastAsia="Arial" w:hAnsi="Arial"/>
          <w:sz w:val="18"/>
          <w:szCs w:val="18"/>
          <w:color w:val="auto"/>
        </w:rPr>
        <w:t>, a web-based interface that allows customers to give content scheduling access to local users via the web or mobile</w:t>
      </w:r>
      <w:r>
        <w:rPr>
          <w:rFonts w:ascii="Arial" w:cs="Arial" w:eastAsia="Arial" w:hAnsi="Arial"/>
          <w:sz w:val="18"/>
          <w:szCs w:val="18"/>
          <w:b w:val="1"/>
          <w:bCs w:val="1"/>
          <w:color w:val="auto"/>
        </w:rPr>
        <w:t xml:space="preserve"> </w:t>
      </w:r>
      <w:r>
        <w:rPr>
          <w:rFonts w:ascii="Arial" w:cs="Arial" w:eastAsia="Arial" w:hAnsi="Arial"/>
          <w:sz w:val="18"/>
          <w:szCs w:val="18"/>
          <w:color w:val="auto"/>
        </w:rPr>
        <w:t>devices, while still maintaining centralized programming control</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3" w:name="page34"/>
    <w:bookmarkEnd w:id="33"/>
    <w:p>
      <w:pPr>
        <w:ind w:left="1300" w:right="20" w:hanging="320"/>
        <w:spacing w:after="0" w:line="282"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Reflect AdLogic</w:t>
      </w:r>
      <w:r>
        <w:rPr>
          <w:rFonts w:ascii="Arial" w:cs="Arial" w:eastAsia="Arial" w:hAnsi="Arial"/>
          <w:sz w:val="18"/>
          <w:szCs w:val="18"/>
          <w:color w:val="auto"/>
        </w:rPr>
        <w:t>, the Company’s ad management platform for digital signage networks, which presently delivers approximately 50</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ads daily</w:t>
      </w:r>
    </w:p>
    <w:p>
      <w:pPr>
        <w:spacing w:after="0" w:line="161" w:lineRule="exact"/>
        <w:rPr>
          <w:rFonts w:ascii="Arial" w:cs="Arial" w:eastAsia="Arial" w:hAnsi="Arial"/>
          <w:sz w:val="18"/>
          <w:szCs w:val="18"/>
          <w:color w:val="auto"/>
        </w:rPr>
      </w:pPr>
    </w:p>
    <w:p>
      <w:pPr>
        <w:ind w:left="1300" w:hanging="320"/>
        <w:spacing w:after="0" w:line="282"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Reflect Clarity</w:t>
      </w:r>
      <w:r>
        <w:rPr>
          <w:rFonts w:ascii="Arial" w:cs="Arial" w:eastAsia="Arial" w:hAnsi="Arial"/>
          <w:sz w:val="18"/>
          <w:szCs w:val="18"/>
          <w:color w:val="auto"/>
        </w:rPr>
        <w:t>, the Company’s menu board solution, which has become a market leader for a range of restaurant and convenience store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applications</w:t>
      </w:r>
    </w:p>
    <w:p>
      <w:pPr>
        <w:spacing w:after="0" w:line="161" w:lineRule="exact"/>
        <w:rPr>
          <w:rFonts w:ascii="Arial" w:cs="Arial" w:eastAsia="Arial" w:hAnsi="Arial"/>
          <w:sz w:val="18"/>
          <w:szCs w:val="18"/>
          <w:color w:val="auto"/>
        </w:rPr>
      </w:pPr>
    </w:p>
    <w:p>
      <w:pPr>
        <w:ind w:left="1300" w:hanging="320"/>
        <w:spacing w:after="0" w:line="282"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Reflect Zero Touch</w:t>
      </w:r>
      <w:r>
        <w:rPr>
          <w:rFonts w:ascii="Arial" w:cs="Arial" w:eastAsia="Arial" w:hAnsi="Arial"/>
          <w:sz w:val="18"/>
          <w:szCs w:val="18"/>
          <w:color w:val="auto"/>
        </w:rPr>
        <w:t>, which allows customers to turn any screen into an interactive experience by allowing guests to engage using their</w:t>
      </w:r>
      <w:r>
        <w:rPr>
          <w:rFonts w:ascii="Arial" w:cs="Arial" w:eastAsia="Arial" w:hAnsi="Arial"/>
          <w:sz w:val="18"/>
          <w:szCs w:val="18"/>
          <w:b w:val="1"/>
          <w:bCs w:val="1"/>
          <w:color w:val="auto"/>
        </w:rPr>
        <w:t xml:space="preserve"> </w:t>
      </w:r>
      <w:r>
        <w:rPr>
          <w:rFonts w:ascii="Arial" w:cs="Arial" w:eastAsia="Arial" w:hAnsi="Arial"/>
          <w:sz w:val="18"/>
          <w:szCs w:val="18"/>
          <w:color w:val="auto"/>
        </w:rPr>
        <w:t>mobile device</w:t>
      </w:r>
    </w:p>
    <w:p>
      <w:pPr>
        <w:spacing w:after="0" w:line="161" w:lineRule="exact"/>
        <w:rPr>
          <w:rFonts w:ascii="Arial" w:cs="Arial" w:eastAsia="Arial" w:hAnsi="Arial"/>
          <w:sz w:val="18"/>
          <w:szCs w:val="18"/>
          <w:color w:val="auto"/>
        </w:rPr>
      </w:pPr>
    </w:p>
    <w:p>
      <w:pPr>
        <w:ind w:left="1300" w:hanging="320"/>
        <w:spacing w:after="0" w:line="261"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iShowroomProX</w:t>
      </w:r>
      <w:r>
        <w:rPr>
          <w:rFonts w:ascii="Arial" w:cs="Arial" w:eastAsia="Arial" w:hAnsi="Arial"/>
          <w:sz w:val="18"/>
          <w:szCs w:val="18"/>
          <w:color w:val="auto"/>
        </w:rPr>
        <w:t>, an omni-channel digital sales support platform targeted at original equipment manufacturers in the transportation</w:t>
      </w:r>
      <w:r>
        <w:rPr>
          <w:rFonts w:ascii="Arial" w:cs="Arial" w:eastAsia="Arial" w:hAnsi="Arial"/>
          <w:sz w:val="18"/>
          <w:szCs w:val="18"/>
          <w:b w:val="1"/>
          <w:bCs w:val="1"/>
          <w:color w:val="auto"/>
        </w:rPr>
        <w:t xml:space="preserve"> </w:t>
      </w:r>
      <w:r>
        <w:rPr>
          <w:rFonts w:ascii="Arial" w:cs="Arial" w:eastAsia="Arial" w:hAnsi="Arial"/>
          <w:sz w:val="18"/>
          <w:szCs w:val="18"/>
          <w:color w:val="auto"/>
        </w:rPr>
        <w:t>sector, which integrates with dozens of key data services including dealer inventory at the VIN</w:t>
      </w:r>
    </w:p>
    <w:p>
      <w:pPr>
        <w:ind w:left="1300"/>
        <w:spacing w:after="0"/>
        <w:rPr>
          <w:rFonts w:ascii="Arial" w:cs="Arial" w:eastAsia="Arial" w:hAnsi="Arial"/>
          <w:sz w:val="18"/>
          <w:szCs w:val="18"/>
          <w:color w:val="auto"/>
        </w:rPr>
      </w:pPr>
      <w:r>
        <w:rPr>
          <w:rFonts w:ascii="Arial" w:cs="Arial" w:eastAsia="Arial" w:hAnsi="Arial"/>
          <w:sz w:val="18"/>
          <w:szCs w:val="18"/>
          <w:color w:val="auto"/>
        </w:rPr>
        <w:t>level</w:t>
      </w:r>
    </w:p>
    <w:p>
      <w:pPr>
        <w:spacing w:after="0" w:line="206" w:lineRule="exact"/>
        <w:rPr>
          <w:rFonts w:ascii="Arial" w:cs="Arial" w:eastAsia="Arial" w:hAnsi="Arial"/>
          <w:sz w:val="18"/>
          <w:szCs w:val="18"/>
          <w:color w:val="auto"/>
        </w:rPr>
      </w:pPr>
    </w:p>
    <w:p>
      <w:pPr>
        <w:ind w:left="1300" w:hanging="320"/>
        <w:spacing w:after="0" w:line="282"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OSx+</w:t>
      </w:r>
      <w:r>
        <w:rPr>
          <w:rFonts w:ascii="Arial" w:cs="Arial" w:eastAsia="Arial" w:hAnsi="Arial"/>
          <w:sz w:val="18"/>
          <w:szCs w:val="18"/>
          <w:color w:val="auto"/>
        </w:rPr>
        <w:t>, a digital VIN-level checklist used to assist in the tracking and delivery of new vehicles in the transportation sector, providing</w:t>
      </w:r>
      <w:r>
        <w:rPr>
          <w:rFonts w:ascii="Arial" w:cs="Arial" w:eastAsia="Arial" w:hAnsi="Arial"/>
          <w:sz w:val="18"/>
          <w:szCs w:val="18"/>
          <w:b w:val="1"/>
          <w:bCs w:val="1"/>
          <w:color w:val="auto"/>
        </w:rPr>
        <w:t xml:space="preserve"> </w:t>
      </w:r>
      <w:r>
        <w:rPr>
          <w:rFonts w:ascii="Arial" w:cs="Arial" w:eastAsia="Arial" w:hAnsi="Arial"/>
          <w:sz w:val="18"/>
          <w:szCs w:val="18"/>
          <w:color w:val="auto"/>
        </w:rPr>
        <w:t>measurable lift in customer satisfaction scores and connected vehicle enrollments and subscription activations.</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While hardware sales and support services revenues can fluctuate more significantly year over year based on new, large-scale network deployments, the Company expects to see continuous growth in recurring SaaS revenue for the foreseeable future as digital signage adoption/utilization continues to expand across the vertical markets we serve.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Please see Note 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Note 9 </w:t>
      </w:r>
      <w:r>
        <w:rPr>
          <w:rFonts w:ascii="Arial" w:cs="Arial" w:eastAsia="Arial" w:hAnsi="Arial"/>
          <w:sz w:val="18"/>
          <w:szCs w:val="18"/>
          <w:i w:val="1"/>
          <w:iCs w:val="1"/>
          <w:color w:val="auto"/>
        </w:rPr>
        <w:t>Loans Payable</w:t>
      </w:r>
      <w:r>
        <w:rPr>
          <w:rFonts w:ascii="Arial" w:cs="Arial" w:eastAsia="Arial" w:hAnsi="Arial"/>
          <w:sz w:val="18"/>
          <w:szCs w:val="18"/>
          <w:color w:val="auto"/>
        </w:rPr>
        <w:t xml:space="preserve">, Note 12 </w:t>
      </w:r>
      <w:r>
        <w:rPr>
          <w:rFonts w:ascii="Arial" w:cs="Arial" w:eastAsia="Arial" w:hAnsi="Arial"/>
          <w:sz w:val="18"/>
          <w:szCs w:val="18"/>
          <w:i w:val="1"/>
          <w:iCs w:val="1"/>
          <w:color w:val="auto"/>
        </w:rPr>
        <w:t>Warrants</w:t>
      </w:r>
      <w:r>
        <w:rPr>
          <w:rFonts w:ascii="Arial" w:cs="Arial" w:eastAsia="Arial" w:hAnsi="Arial"/>
          <w:sz w:val="18"/>
          <w:szCs w:val="18"/>
          <w:color w:val="auto"/>
        </w:rPr>
        <w:t xml:space="preserve">, and Note 13 </w:t>
      </w:r>
      <w:r>
        <w:rPr>
          <w:rFonts w:ascii="Arial" w:cs="Arial" w:eastAsia="Arial" w:hAnsi="Arial"/>
          <w:sz w:val="18"/>
          <w:szCs w:val="18"/>
          <w:i w:val="1"/>
          <w:iCs w:val="1"/>
          <w:color w:val="auto"/>
        </w:rPr>
        <w:t>Stock-based Compensation</w:t>
      </w:r>
      <w:r>
        <w:rPr>
          <w:rFonts w:ascii="Arial" w:cs="Arial" w:eastAsia="Arial" w:hAnsi="Arial"/>
          <w:sz w:val="18"/>
          <w:szCs w:val="18"/>
          <w:color w:val="auto"/>
        </w:rPr>
        <w:t xml:space="preserve"> to the Company’s Condensed Consolidated Financial Statements contained in this Report for a description of recent developments of the Company that occurred during the three months ended June 30,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Sources of Revenue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generate revenue through digital signage solution sales, which include system hardware, professional and implementation services, software design and development, software licensing, deployment, maintenance and support services, and media sales.</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currently market and sell our technology and solutions primarily through our sales and business development personnel, but we also utilize agents, strategic partners, and lead generators who provide us with access to additional sales, business development and licensing opportunities.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Expenses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expenses are primarily comprised of three categories: sales and marketing, research and development, and general and administrative. Sales and marketing expenses include salaries and benefits for our sales, business development solution management and marketing personnel, and commissions paid on sales. This category also includes amounts spent on marketing networking events, promotional materials, hardware and software to prospective new customers, including those expenses incurred in trade shows and product demonstrations, and other related expenses. Our research and development expenses represent the salaries and benefits of those individuals who develop and maintain our proprietary software platforms and other software applications we design and sell to our customers. Our general and administrative expenses consist of corporate overhead, including administrative salaries, real property lease payments, salaries and benefits for our corporate officers and other expenses such as legal and accounting fees.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The Company’s significant accounting policies are described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of the Company’s Condensed Consolidated Financial Statements included elsewhere in this Report. The Company’s Condensed Consolidated Financial Statements are prepared in conformity with accounting principles generally accepted in the United States. Certain accounting policies involve significant judgments, assumptions, and estimates by management that could have a material impact on the carrying value of certain assets and liabilities and disclosure of contingent assets and liabilities at the date of the condensed consolidated financial statements and the reported amounts of revenue and expenses during the reporting period. Our actual results could differ from those estimates.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Note: All dollar amounts reported in Results of Operations are in thousands, except share and per-share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2022 Compared to Three Months Ended June 30, 2021</w:t>
      </w:r>
    </w:p>
    <w:p>
      <w:pPr>
        <w:spacing w:after="0" w:line="22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tables presented below compare our results of operations and present the results for each period and the change in those results from one period to another in both dollars and percentage change.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w w:val="98"/>
              </w:rPr>
              <w:t>For the three months</w:t>
            </w: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ended June 30,</w:t>
            </w:r>
          </w:p>
        </w:tc>
        <w:tc>
          <w:tcPr>
            <w:tcW w:w="380" w:type="dxa"/>
            <w:vAlign w:val="bottom"/>
          </w:tcPr>
          <w:p>
            <w:pPr>
              <w:spacing w:after="0"/>
              <w:rPr>
                <w:sz w:val="20"/>
                <w:szCs w:val="20"/>
                <w:color w:val="auto"/>
              </w:rPr>
            </w:pPr>
          </w:p>
        </w:tc>
        <w:tc>
          <w:tcPr>
            <w:tcW w:w="1280" w:type="dxa"/>
            <w:vAlign w:val="bottom"/>
            <w:gridSpan w:val="3"/>
          </w:tcPr>
          <w:p>
            <w:pPr>
              <w:ind w:left="54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9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20"/>
                <w:szCs w:val="20"/>
                <w:color w:val="auto"/>
              </w:rPr>
            </w:pPr>
          </w:p>
        </w:tc>
        <w:tc>
          <w:tcPr>
            <w:tcW w:w="380" w:type="dxa"/>
            <w:vAlign w:val="bottom"/>
            <w:tcBorders>
              <w:top w:val="single" w:sz="8" w:color="auto"/>
              <w:bottom w:val="single" w:sz="8" w:color="CCEEFF"/>
            </w:tcBorders>
          </w:tcPr>
          <w:p>
            <w:pPr>
              <w:spacing w:after="0"/>
              <w:rPr>
                <w:sz w:val="20"/>
                <w:szCs w:val="20"/>
                <w:color w:val="auto"/>
              </w:rPr>
            </w:pPr>
          </w:p>
        </w:tc>
        <w:tc>
          <w:tcPr>
            <w:tcW w:w="74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3,277</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7,646</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6,261</w:t>
            </w:r>
          </w:p>
        </w:tc>
        <w:tc>
          <w:tcPr>
            <w:tcW w:w="24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1,402</w:t>
            </w:r>
          </w:p>
        </w:tc>
        <w:tc>
          <w:tcPr>
            <w:tcW w:w="380" w:type="dxa"/>
            <w:vAlign w:val="bottom"/>
          </w:tcPr>
          <w:p>
            <w:pPr>
              <w:spacing w:after="0"/>
              <w:rPr>
                <w:sz w:val="19"/>
                <w:szCs w:val="19"/>
                <w:color w:val="auto"/>
              </w:rPr>
            </w:pPr>
          </w:p>
        </w:tc>
        <w:tc>
          <w:tcPr>
            <w:tcW w:w="960" w:type="dxa"/>
            <w:vAlign w:val="bottom"/>
            <w:gridSpan w:val="2"/>
          </w:tcPr>
          <w:p>
            <w:pPr>
              <w:jc w:val="right"/>
              <w:ind w:right="141"/>
              <w:spacing w:after="0"/>
              <w:rPr>
                <w:sz w:val="20"/>
                <w:szCs w:val="20"/>
                <w:color w:val="auto"/>
              </w:rPr>
            </w:pPr>
            <w:r>
              <w:rPr>
                <w:rFonts w:ascii="Arial" w:cs="Arial" w:eastAsia="Arial" w:hAnsi="Arial"/>
                <w:sz w:val="18"/>
                <w:szCs w:val="18"/>
                <w:color w:val="auto"/>
              </w:rPr>
              <w:t>4,859</w:t>
            </w:r>
          </w:p>
        </w:tc>
        <w:tc>
          <w:tcPr>
            <w:tcW w:w="3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4,662</w:t>
            </w:r>
          </w:p>
        </w:tc>
        <w:tc>
          <w:tcPr>
            <w:tcW w:w="2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200" w:type="dxa"/>
            <w:vAlign w:val="bottom"/>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2,787</w:t>
            </w:r>
          </w:p>
        </w:tc>
        <w:tc>
          <w:tcPr>
            <w:tcW w:w="22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1,147</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169</w:t>
            </w:r>
          </w:p>
        </w:tc>
        <w:tc>
          <w:tcPr>
            <w:tcW w:w="380" w:type="dxa"/>
            <w:vAlign w:val="bottom"/>
          </w:tcPr>
          <w:p>
            <w:pPr>
              <w:spacing w:after="0"/>
              <w:rPr>
                <w:sz w:val="18"/>
                <w:szCs w:val="18"/>
                <w:color w:val="auto"/>
              </w:rPr>
            </w:pPr>
          </w:p>
        </w:tc>
        <w:tc>
          <w:tcPr>
            <w:tcW w:w="960" w:type="dxa"/>
            <w:vAlign w:val="bottom"/>
            <w:gridSpan w:val="2"/>
          </w:tcPr>
          <w:p>
            <w:pPr>
              <w:jc w:val="right"/>
              <w:ind w:right="141"/>
              <w:spacing w:after="0"/>
              <w:rPr>
                <w:sz w:val="20"/>
                <w:szCs w:val="20"/>
                <w:color w:val="auto"/>
              </w:rPr>
            </w:pPr>
            <w:r>
              <w:rPr>
                <w:rFonts w:ascii="Arial" w:cs="Arial" w:eastAsia="Arial" w:hAnsi="Arial"/>
                <w:sz w:val="18"/>
                <w:szCs w:val="18"/>
                <w:color w:val="auto"/>
              </w:rPr>
              <w:t>978</w:t>
            </w: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360</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2,562</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1,715</w:t>
            </w:r>
          </w:p>
        </w:tc>
        <w:tc>
          <w:tcPr>
            <w:tcW w:w="380" w:type="dxa"/>
            <w:vAlign w:val="bottom"/>
          </w:tcPr>
          <w:p>
            <w:pPr>
              <w:spacing w:after="0"/>
              <w:rPr>
                <w:sz w:val="18"/>
                <w:szCs w:val="18"/>
                <w:color w:val="auto"/>
              </w:rPr>
            </w:pPr>
          </w:p>
        </w:tc>
        <w:tc>
          <w:tcPr>
            <w:tcW w:w="960" w:type="dxa"/>
            <w:vAlign w:val="bottom"/>
            <w:gridSpan w:val="2"/>
          </w:tcPr>
          <w:p>
            <w:pPr>
              <w:jc w:val="right"/>
              <w:ind w:right="141"/>
              <w:spacing w:after="0"/>
              <w:rPr>
                <w:sz w:val="20"/>
                <w:szCs w:val="20"/>
                <w:color w:val="auto"/>
              </w:rPr>
            </w:pPr>
            <w:r>
              <w:rPr>
                <w:rFonts w:ascii="Arial" w:cs="Arial" w:eastAsia="Arial" w:hAnsi="Arial"/>
                <w:sz w:val="18"/>
                <w:szCs w:val="18"/>
                <w:color w:val="auto"/>
              </w:rPr>
              <w:t>847</w:t>
            </w: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344</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124</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r>
              <w:rPr>
                <w:rFonts w:ascii="Arial" w:cs="Arial" w:eastAsia="Arial" w:hAnsi="Arial"/>
                <w:sz w:val="18"/>
                <w:szCs w:val="18"/>
                <w:color w:val="auto"/>
              </w:rPr>
              <w:t>Deal and transaction expense</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960" w:type="dxa"/>
            <w:vAlign w:val="bottom"/>
            <w:gridSpan w:val="2"/>
          </w:tcPr>
          <w:p>
            <w:pPr>
              <w:jc w:val="right"/>
              <w:ind w:right="141"/>
              <w:spacing w:after="0"/>
              <w:rPr>
                <w:sz w:val="20"/>
                <w:szCs w:val="20"/>
                <w:color w:val="auto"/>
              </w:rPr>
            </w:pPr>
            <w:r>
              <w:rPr>
                <w:rFonts w:ascii="Arial" w:cs="Arial" w:eastAsia="Arial" w:hAnsi="Arial"/>
                <w:sz w:val="18"/>
                <w:szCs w:val="18"/>
                <w:color w:val="auto"/>
              </w:rPr>
              <w:t>37</w:t>
            </w:r>
          </w:p>
        </w:tc>
        <w:tc>
          <w:tcPr>
            <w:tcW w:w="32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6"/>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2,286</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3"/>
        </w:trPr>
        <w:tc>
          <w:tcPr>
            <w:tcW w:w="5980" w:type="dxa"/>
            <w:vAlign w:val="bottom"/>
          </w:tcPr>
          <w:p>
            <w:pPr>
              <w:spacing w:after="0" w:line="203" w:lineRule="exact"/>
              <w:rPr>
                <w:sz w:val="20"/>
                <w:szCs w:val="20"/>
                <w:color w:val="auto"/>
              </w:rPr>
            </w:pPr>
            <w:r>
              <w:rPr>
                <w:rFonts w:ascii="Arial" w:cs="Arial" w:eastAsia="Arial" w:hAnsi="Arial"/>
                <w:sz w:val="18"/>
                <w:szCs w:val="18"/>
                <w:color w:val="auto"/>
              </w:rPr>
              <w:t>Operating (loss)</w:t>
            </w: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30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(411)</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441</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(750)</w:t>
            </w: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(182)</w:t>
            </w:r>
          </w:p>
        </w:tc>
        <w:tc>
          <w:tcPr>
            <w:tcW w:w="380" w:type="dxa"/>
            <w:vAlign w:val="bottom"/>
          </w:tcPr>
          <w:p>
            <w:pPr>
              <w:spacing w:after="0"/>
              <w:rPr>
                <w:sz w:val="18"/>
                <w:szCs w:val="18"/>
                <w:color w:val="auto"/>
              </w:rPr>
            </w:pPr>
          </w:p>
        </w:tc>
        <w:tc>
          <w:tcPr>
            <w:tcW w:w="960" w:type="dxa"/>
            <w:vAlign w:val="bottom"/>
            <w:gridSpan w:val="2"/>
          </w:tcPr>
          <w:p>
            <w:pPr>
              <w:jc w:val="right"/>
              <w:ind w:right="81"/>
              <w:spacing w:after="0"/>
              <w:rPr>
                <w:sz w:val="20"/>
                <w:szCs w:val="20"/>
                <w:color w:val="auto"/>
              </w:rPr>
            </w:pPr>
            <w:r>
              <w:rPr>
                <w:rFonts w:ascii="Arial" w:cs="Arial" w:eastAsia="Arial" w:hAnsi="Arial"/>
                <w:sz w:val="18"/>
                <w:szCs w:val="18"/>
                <w:color w:val="auto"/>
              </w:rPr>
              <w:t>(568)</w:t>
            </w: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 Liability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2,433</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Change in Fair Value of Equity Guarantee</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(73)</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960" w:type="dxa"/>
            <w:vAlign w:val="bottom"/>
            <w:gridSpan w:val="2"/>
          </w:tcPr>
          <w:p>
            <w:pPr>
              <w:jc w:val="right"/>
              <w:ind w:right="81"/>
              <w:spacing w:after="0"/>
              <w:rPr>
                <w:sz w:val="20"/>
                <w:szCs w:val="20"/>
                <w:color w:val="auto"/>
              </w:rPr>
            </w:pPr>
            <w:r>
              <w:rPr>
                <w:rFonts w:ascii="Arial" w:cs="Arial" w:eastAsia="Arial" w:hAnsi="Arial"/>
                <w:sz w:val="18"/>
                <w:szCs w:val="18"/>
                <w:color w:val="auto"/>
              </w:rPr>
              <w:t>(73)</w:t>
            </w: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Loss on warrant amendment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(345)</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Gain on settlement of debt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1,628</w:t>
            </w:r>
          </w:p>
        </w:tc>
        <w:tc>
          <w:tcPr>
            <w:tcW w:w="380" w:type="dxa"/>
            <w:vAlign w:val="bottom"/>
          </w:tcPr>
          <w:p>
            <w:pPr>
              <w:spacing w:after="0"/>
              <w:rPr>
                <w:sz w:val="18"/>
                <w:szCs w:val="18"/>
                <w:color w:val="auto"/>
              </w:rPr>
            </w:pPr>
          </w:p>
        </w:tc>
        <w:tc>
          <w:tcPr>
            <w:tcW w:w="960" w:type="dxa"/>
            <w:vAlign w:val="bottom"/>
            <w:gridSpan w:val="2"/>
          </w:tcPr>
          <w:p>
            <w:pPr>
              <w:jc w:val="right"/>
              <w:ind w:right="81"/>
              <w:spacing w:after="0"/>
              <w:rPr>
                <w:sz w:val="20"/>
                <w:szCs w:val="20"/>
                <w:color w:val="auto"/>
              </w:rPr>
            </w:pPr>
            <w:r>
              <w:rPr>
                <w:rFonts w:ascii="Arial" w:cs="Arial" w:eastAsia="Arial" w:hAnsi="Arial"/>
                <w:sz w:val="18"/>
                <w:szCs w:val="18"/>
                <w:color w:val="auto"/>
              </w:rPr>
              <w:t>(1,607)</w:t>
            </w: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3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other income/(expense)</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1,285</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1,443</w:t>
            </w:r>
          </w:p>
        </w:tc>
        <w:tc>
          <w:tcPr>
            <w:tcW w:w="200" w:type="dxa"/>
            <w:vAlign w:val="bottom"/>
            <w:tcBorders>
              <w:top w:val="single" w:sz="8" w:color="CCEEFF"/>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(158</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w:t>
            </w:r>
          </w:p>
        </w:tc>
        <w:tc>
          <w:tcPr>
            <w:tcW w:w="160" w:type="dxa"/>
            <w:vAlign w:val="bottom"/>
            <w:tcBorders>
              <w:top w:val="single" w:sz="8" w:color="CCEEFF"/>
              <w:bottom w:val="single" w:sz="8" w:color="CCEEFF"/>
            </w:tcBorders>
          </w:tcPr>
          <w:p>
            <w:pPr>
              <w:jc w:val="right"/>
              <w:spacing w:after="0" w:line="203"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income/(loss) before income taxes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Provision from income taxes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(53)</w:t>
            </w:r>
          </w:p>
        </w:tc>
        <w:tc>
          <w:tcPr>
            <w:tcW w:w="2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380" w:type="dxa"/>
            <w:vAlign w:val="bottom"/>
          </w:tcPr>
          <w:p>
            <w:pPr>
              <w:spacing w:after="0"/>
              <w:rPr>
                <w:sz w:val="19"/>
                <w:szCs w:val="19"/>
                <w:color w:val="auto"/>
              </w:rPr>
            </w:pPr>
          </w:p>
        </w:tc>
        <w:tc>
          <w:tcPr>
            <w:tcW w:w="960" w:type="dxa"/>
            <w:vAlign w:val="bottom"/>
            <w:gridSpan w:val="2"/>
          </w:tcPr>
          <w:p>
            <w:pPr>
              <w:jc w:val="right"/>
              <w:ind w:right="81"/>
              <w:spacing w:after="0"/>
              <w:rPr>
                <w:sz w:val="20"/>
                <w:szCs w:val="20"/>
                <w:color w:val="auto"/>
              </w:rPr>
            </w:pPr>
            <w:r>
              <w:rPr>
                <w:rFonts w:ascii="Arial" w:cs="Arial" w:eastAsia="Arial" w:hAnsi="Arial"/>
                <w:sz w:val="18"/>
                <w:szCs w:val="18"/>
                <w:color w:val="auto"/>
              </w:rPr>
              <w:t>(46)</w:t>
            </w:r>
          </w:p>
        </w:tc>
        <w:tc>
          <w:tcPr>
            <w:tcW w:w="3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income/(loss)</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1,025</w:t>
            </w:r>
          </w:p>
        </w:tc>
        <w:tc>
          <w:tcPr>
            <w:tcW w:w="3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237</w:t>
            </w:r>
          </w:p>
        </w:tc>
        <w:tc>
          <w:tcPr>
            <w:tcW w:w="3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Sales were $10,923, representing an increase of $7,646, or 233%, as compared to the same period in 2021, driven in part by the acquisition of Reflect on February 17, 2022, and the Company’s successful sales activities as a combined company post-Merger. While the addition of Reflect revenue is contributing to the growth in revenue, the combined company grew revenues approximately 74% organically during the three months ended June 30, 2022, as compared to the pro forma combined results during the three months ended June 30, 2021.</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Hardware revenues were $5,667 in 2022, an increase of $4,371, or 337%, as compared to the prior year, driven by continued large scale LED deployments continued in the quarter by multiple customers. Services and other revenues were $5,256 in the three months ended June 30, 2022, an increase of $3,275, or 165%, with the inclusion of Reflect’s operations in the Company’s consolidated results for such period. Managed services revenue, which includes both software-as-a-service (“SaaS”) and help desk technical subscription services, were $3,832 in the three months ended June 30, 2022 as compared to $1,391 in the same period in 2021, driven by the addition of Reflect’s SaaS subscription revenue in the current year. This represents a year-over-year growth rate of 175% in our higher margin, typically subscription-based, managed services revenue.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Gross profit increased by $2,787, or 149% during the three months ended June 30, 2022 as compared to the same period in 2021 driven by an increase in revenue but offset by a reduction in gross profit margin. Gross profit margin decreased to 42.7% from 57.2% driven by a shift in revenue mix to 52% hardware during the three months ended June 30, 2022 related to several material customer hardware rollouts active during the first half of the year. We expect this contraction in gross profit margin to be less severe as we move into the second half of 2022 and beyond. The gross profit margin increased in three months ended June 30, 2022 to 42.7% from 36.2% in the three months ended March 31, 2022, which experienced significant short-term significant pressure driven by a single, large-scale/hardware-heavy deployment. We believe the gross profit margin for the three months ended June 30, 2022 to be more representative of our normalized gross profit margins.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Sales and marketing expenses generally include the salaries, taxes, and benefits of our sales and marketing personnel, as well as trade show activities, travel, and other related sales and marketing costs. Sales and marketing expenses increased by $978, or 579%, driven primarily by (i) the inclusion in the prior year of a benefit of $182 related Employee Retention Credits (“ERC”) related to the retention and payment of salaries to sales personnel throughout 2020 and the six months ended June 30, 2021, (ii) the acquisition of Reflect via the Merger on February 17, 2022, and (iii) the Company’s enhanced investments into sales and marketing activities post-COVID. Immediately following the Merger, the Company integrated the sales and marketing functions and did not disaggregate expenses between the two legacy companies. Following the Merger and through integration activities, the Company adopted certain tools, technology, and processes – particularly with respect to lead generation and brand marketing – that were undercapitalized historically by the Company. Additionally, the Company engaged an investor relations firm and has increased investor relations activities, including conferences and presentations. As a result, we expect the sales and marketing expenses of the Company for the three months ended June 30, 2022 to adequately reflect the pace for spend in these areas in future reporting periods.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Research and development expenses increased $360, or 621% in 2022, driven primarily by (i) the inclusion in the prior year of a benefit of $147 related ERC, and (ii) the acquisition of Reflect via the Merger on February 17, 2022. Through the Merger, we acquired a fully staffed, experienced software development team and elected to keep that team in-tact, particularly given employment market conditions with respect to talented software engineers. We have integrated the pre-existing CRI development team with the acquired team and have experienced enhanced speed to market on new feature and functionality development activities from increasing this resource pool. We expect this elevated level of expense during the three months ended June 30, 2022 to continue into the future as we develop our current and future product set.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General and administrative expenses increased $847, or 49%, driven primarily by (i) the inclusion in the prior year of a benefit of $508 related ERC, and (ii) increased headcount and operations as a result of the acquisition of Reflect on February 17, 2022. While the Company anticipates carrying higher G&amp;A expenses moving forward as a result of the acquisition, the integration activities include several projects (including but not limited to consolidation of CMS tools, cloud hosting environments, IT tools, and rightsizing leases for office space) that we expect will be realized by the end of 2022. The Company also reinstituted its 401k matching program for employees in the fourth quarter of 2021, which represents an increase of $42 versus the prior year.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Depreciation and Amortization Expenses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Depreciation and amortization expenses increased by $124, or 36%, in the three months ended June 30, 2022 compared to the same period in 2021. This was driven by the addition of $17,160 in amortizing intangible assets as a result of the Merger. The increase would have been $305, or 88%, but was partially offset by a reduction in amortization expense recorded as a period expense in the three months ended June 30, 2022 resulting from a measurement period adjustment reducing acquired intangible assets by $4,340.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See Note 9 </w:t>
      </w:r>
      <w:r>
        <w:rPr>
          <w:rFonts w:ascii="Arial" w:cs="Arial" w:eastAsia="Arial" w:hAnsi="Arial"/>
          <w:sz w:val="18"/>
          <w:szCs w:val="18"/>
          <w:i w:val="1"/>
          <w:iCs w:val="1"/>
          <w:color w:val="auto"/>
        </w:rPr>
        <w:t>Loans Payable</w:t>
      </w:r>
      <w:r>
        <w:rPr>
          <w:rFonts w:ascii="Arial" w:cs="Arial" w:eastAsia="Arial" w:hAnsi="Arial"/>
          <w:sz w:val="18"/>
          <w:szCs w:val="18"/>
          <w:color w:val="auto"/>
        </w:rPr>
        <w:t xml:space="preserve"> to the Condensed Consolidated Financial Statements for a discussion of the Company’s debt and related interest expense obligations.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Fair Value of Warrant Liability; Loss on Warrant Amendment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three months ended June 30, 2022, the Company recorded a gain of $2,433 as the result of assessing the fair value of warrant liabilities associated with the Company’s issuance of warrants (the Common Stock Warrant, Lender Warrant and Purchaser Warrant) in its debt and equity offerings completed in February 2022 to finance the Merger. These warrants were initially assessed at fair value through Black Scholes calculation and were subsequently re-assessed at June 30, 2022, resulting in the gain.</w:t>
      </w:r>
    </w:p>
    <w:p>
      <w:pPr>
        <w:spacing w:after="0" w:line="18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Effective June 30, 2022, the Company amended the terms of such warrants, which removed the holder’s option to exercise such warrants on a cashless basis utilizing the VWAP of the Company’s common stock on the trading day immediately preceding the date of a notice of cashless exercise in certain circumstances, and removed the condition to exercising such warrants that the Company’s shareholders approve the exercise thereof (which has already been obtained). The amendments to the warrants extended the term of such warrants for an additional one year. As a result of the extension in term provided in exchange for the amendment, the Company reassessed the fair value of those warrants, resulting in the Company recording a loss on the fair value of these warrants of $345. The foregoing amendments to the warrants resulted in such warrants to be accounted for as equity instruments on the Company’s financial statements as of June 30, 2022. As such, following recording the gains and losses with respect to these warrant amendments, the Company reclassified the warrant liability of $5,709 from noncurrent liabilities to additional paid-in-capital as of June 30, 2022.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Settlement of Debt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May 13, 2021, the Company and Seller entered into a settlement agreement wherein neither party admitted liability, and the Company agreed to pay, and Seller agreed to accept, $100 as settlement in full for the outstanding balance of principal and accrued interest under the Amended and Restated Seller Note and a mutual release of all claims related to the Amended and Restated Seller Note and sale transaction under the Allure Purchase Agreement and all related agreements.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a result of this settlement, the full principal amount of the Amended and Restated Seller Note and the accrued interest have been eliminated, resulting in a gain in the Condensed Consolidated Financial statements of $1,624, representing $1,538 related to the Amended and Restated Seller Note and $86 of related interest thereon, during the three months ended June 30, 2021.</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Six Months Ended June 30, 2022 Compared to Six Months Ended June 30, 2021</w:t>
      </w:r>
    </w:p>
    <w:p>
      <w:pPr>
        <w:spacing w:after="0" w:line="22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tables presented below compare our results of operations and present the results for each period and the change in those results from one period to another in both dollars and percentage change.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5"/>
          </w:tcPr>
          <w:p>
            <w:pPr>
              <w:jc w:val="right"/>
              <w:ind w:right="720"/>
              <w:spacing w:after="0"/>
              <w:rPr>
                <w:sz w:val="20"/>
                <w:szCs w:val="20"/>
                <w:color w:val="auto"/>
              </w:rPr>
            </w:pPr>
            <w:r>
              <w:rPr>
                <w:rFonts w:ascii="Arial" w:cs="Arial" w:eastAsia="Arial" w:hAnsi="Arial"/>
                <w:sz w:val="18"/>
                <w:szCs w:val="18"/>
                <w:b w:val="1"/>
                <w:bCs w:val="1"/>
                <w:color w:val="auto"/>
              </w:rPr>
              <w:t>For the six months</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ended June 30,</w:t>
            </w:r>
          </w:p>
        </w:tc>
        <w:tc>
          <w:tcPr>
            <w:tcW w:w="360" w:type="dxa"/>
            <w:vAlign w:val="bottom"/>
          </w:tcPr>
          <w:p>
            <w:pPr>
              <w:spacing w:after="0"/>
              <w:rPr>
                <w:sz w:val="20"/>
                <w:szCs w:val="20"/>
                <w:color w:val="auto"/>
              </w:rPr>
            </w:pPr>
          </w:p>
        </w:tc>
        <w:tc>
          <w:tcPr>
            <w:tcW w:w="1300" w:type="dxa"/>
            <w:vAlign w:val="bottom"/>
            <w:gridSpan w:val="3"/>
          </w:tcPr>
          <w:p>
            <w:pPr>
              <w:ind w:left="56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9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20"/>
                <w:szCs w:val="20"/>
                <w:color w:val="auto"/>
              </w:rPr>
            </w:pPr>
          </w:p>
        </w:tc>
        <w:tc>
          <w:tcPr>
            <w:tcW w:w="360" w:type="dxa"/>
            <w:vAlign w:val="bottom"/>
            <w:tcBorders>
              <w:top w:val="single" w:sz="8" w:color="auto"/>
              <w:bottom w:val="single" w:sz="8" w:color="CCEEFF"/>
            </w:tcBorders>
          </w:tcPr>
          <w:p>
            <w:pPr>
              <w:spacing w:after="0"/>
              <w:rPr>
                <w:sz w:val="20"/>
                <w:szCs w:val="20"/>
                <w:color w:val="auto"/>
              </w:rPr>
            </w:pPr>
          </w:p>
        </w:tc>
        <w:tc>
          <w:tcPr>
            <w:tcW w:w="76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21,680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8,281</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13,399</w:t>
            </w:r>
          </w:p>
        </w:tc>
        <w:tc>
          <w:tcPr>
            <w:tcW w:w="3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Cost of sales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13,126</w:t>
            </w:r>
          </w:p>
        </w:tc>
        <w:tc>
          <w:tcPr>
            <w:tcW w:w="24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4,172</w:t>
            </w:r>
          </w:p>
        </w:tc>
        <w:tc>
          <w:tcPr>
            <w:tcW w:w="36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8,954</w:t>
            </w:r>
          </w:p>
        </w:tc>
        <w:tc>
          <w:tcPr>
            <w:tcW w:w="320" w:type="dxa"/>
            <w:vAlign w:val="bottom"/>
          </w:tcPr>
          <w:p>
            <w:pPr>
              <w:spacing w:after="0"/>
              <w:rPr>
                <w:sz w:val="19"/>
                <w:szCs w:val="19"/>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gridSpan w:val="2"/>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8,554</w:t>
            </w:r>
          </w:p>
        </w:tc>
        <w:tc>
          <w:tcPr>
            <w:tcW w:w="2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4,109</w:t>
            </w:r>
          </w:p>
        </w:tc>
        <w:tc>
          <w:tcPr>
            <w:tcW w:w="200" w:type="dxa"/>
            <w:vAlign w:val="bottom"/>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4,445</w:t>
            </w:r>
          </w:p>
        </w:tc>
        <w:tc>
          <w:tcPr>
            <w:tcW w:w="22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1,854</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504</w:t>
            </w: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1,350</w:t>
            </w:r>
          </w:p>
        </w:tc>
        <w:tc>
          <w:tcPr>
            <w:tcW w:w="320" w:type="dxa"/>
            <w:vAlign w:val="bottom"/>
          </w:tcPr>
          <w:p>
            <w:pPr>
              <w:spacing w:after="0"/>
              <w:rPr>
                <w:sz w:val="18"/>
                <w:szCs w:val="18"/>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229</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430</w:t>
            </w:r>
          </w:p>
        </w:tc>
        <w:tc>
          <w:tcPr>
            <w:tcW w:w="3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5,316</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3,775</w:t>
            </w: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1,541</w:t>
            </w:r>
          </w:p>
        </w:tc>
        <w:tc>
          <w:tcPr>
            <w:tcW w:w="320" w:type="dxa"/>
            <w:vAlign w:val="bottom"/>
          </w:tcPr>
          <w:p>
            <w:pPr>
              <w:spacing w:after="0"/>
              <w:rPr>
                <w:sz w:val="18"/>
                <w:szCs w:val="18"/>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Bad debt expense/(recovery)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(463)</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569</w:t>
            </w:r>
          </w:p>
        </w:tc>
        <w:tc>
          <w:tcPr>
            <w:tcW w:w="3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1,175</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688</w:t>
            </w: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487</w:t>
            </w:r>
          </w:p>
        </w:tc>
        <w:tc>
          <w:tcPr>
            <w:tcW w:w="320" w:type="dxa"/>
            <w:vAlign w:val="bottom"/>
          </w:tcPr>
          <w:p>
            <w:pPr>
              <w:spacing w:after="0"/>
              <w:rPr>
                <w:sz w:val="18"/>
                <w:szCs w:val="18"/>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Deal and transaction expenses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428</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428</w:t>
            </w:r>
          </w:p>
        </w:tc>
        <w:tc>
          <w:tcPr>
            <w:tcW w:w="320" w:type="dxa"/>
            <w:vAlign w:val="bottom"/>
            <w:shd w:val="clear" w:color="auto" w:fill="CCEEFF"/>
          </w:tcPr>
          <w:p>
            <w:pPr>
              <w:spacing w:after="0"/>
              <w:rPr>
                <w:sz w:val="21"/>
                <w:szCs w:val="21"/>
                <w:color w:val="auto"/>
              </w:rPr>
            </w:pP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9,538</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4,733</w:t>
            </w:r>
          </w:p>
        </w:tc>
        <w:tc>
          <w:tcPr>
            <w:tcW w:w="200" w:type="dxa"/>
            <w:vAlign w:val="bottom"/>
            <w:tcBorders>
              <w:top w:val="single" w:sz="8" w:color="CCEEFF"/>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4,805</w:t>
            </w:r>
          </w:p>
        </w:tc>
        <w:tc>
          <w:tcPr>
            <w:tcW w:w="2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102</w:t>
            </w:r>
          </w:p>
        </w:tc>
        <w:tc>
          <w:tcPr>
            <w:tcW w:w="160" w:type="dxa"/>
            <w:vAlign w:val="bottom"/>
            <w:tcBorders>
              <w:top w:val="single" w:sz="8" w:color="CCEEFF"/>
              <w:bottom w:val="single" w:sz="8" w:color="CCEEFF"/>
            </w:tcBorders>
            <w:gridSpan w:val="2"/>
          </w:tcPr>
          <w:p>
            <w:pPr>
              <w:jc w:val="right"/>
              <w:ind w:right="20"/>
              <w:spacing w:after="0" w:line="203"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Other income/(expenses):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(431)</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(768)</w:t>
            </w:r>
          </w:p>
        </w:tc>
        <w:tc>
          <w:tcPr>
            <w:tcW w:w="3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Change in Fair Value of Warrant Liability</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7,902</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7,902</w:t>
            </w:r>
          </w:p>
        </w:tc>
        <w:tc>
          <w:tcPr>
            <w:tcW w:w="320" w:type="dxa"/>
            <w:vAlign w:val="bottom"/>
          </w:tcPr>
          <w:p>
            <w:pPr>
              <w:spacing w:after="0"/>
              <w:rPr>
                <w:sz w:val="18"/>
                <w:szCs w:val="18"/>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Equity Guarantee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w:t>
            </w:r>
          </w:p>
        </w:tc>
        <w:tc>
          <w:tcPr>
            <w:tcW w:w="3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Loss on debt waiver consent</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(1,212)</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(1,212)</w:t>
            </w:r>
          </w:p>
        </w:tc>
        <w:tc>
          <w:tcPr>
            <w:tcW w:w="320" w:type="dxa"/>
            <w:vAlign w:val="bottom"/>
          </w:tcPr>
          <w:p>
            <w:pPr>
              <w:spacing w:after="0"/>
              <w:rPr>
                <w:sz w:val="18"/>
                <w:szCs w:val="18"/>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Loss on warrant amendment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(345)</w:t>
            </w:r>
          </w:p>
        </w:tc>
        <w:tc>
          <w:tcPr>
            <w:tcW w:w="3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Change in fair value of Convertible Loan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166</w:t>
            </w:r>
          </w:p>
        </w:tc>
        <w:tc>
          <w:tcPr>
            <w:tcW w:w="3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(166)</w:t>
            </w:r>
          </w:p>
        </w:tc>
        <w:tc>
          <w:tcPr>
            <w:tcW w:w="320" w:type="dxa"/>
            <w:vAlign w:val="bottom"/>
          </w:tcPr>
          <w:p>
            <w:pPr>
              <w:spacing w:after="0"/>
              <w:rPr>
                <w:sz w:val="18"/>
                <w:szCs w:val="18"/>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Gain/(loss) on restructuring/settlement of debt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3,193</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(3,467)</w:t>
            </w:r>
          </w:p>
        </w:tc>
        <w:tc>
          <w:tcPr>
            <w:tcW w:w="3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r>
              <w:rPr>
                <w:rFonts w:ascii="Arial" w:cs="Arial" w:eastAsia="Arial" w:hAnsi="Arial"/>
                <w:sz w:val="18"/>
                <w:szCs w:val="18"/>
                <w:color w:val="auto"/>
              </w:rPr>
              <w:t>Other income/(expense)</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20"/>
                <w:szCs w:val="20"/>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36"/>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income/(expense)</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2,929</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6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3"/>
        </w:trPr>
        <w:tc>
          <w:tcPr>
            <w:tcW w:w="5980" w:type="dxa"/>
            <w:vAlign w:val="bottom"/>
          </w:tcPr>
          <w:p>
            <w:pPr>
              <w:spacing w:after="0" w:line="203" w:lineRule="exact"/>
              <w:rPr>
                <w:sz w:val="20"/>
                <w:szCs w:val="20"/>
                <w:color w:val="auto"/>
              </w:rPr>
            </w:pPr>
            <w:r>
              <w:rPr>
                <w:rFonts w:ascii="Arial" w:cs="Arial" w:eastAsia="Arial" w:hAnsi="Arial"/>
                <w:sz w:val="18"/>
                <w:szCs w:val="18"/>
                <w:color w:val="auto"/>
              </w:rPr>
              <w:t>Net income/(loss) before income taxes</w:t>
            </w: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3,820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2,305</w:t>
            </w: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1,515</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gridSpan w:val="3"/>
          </w:tcPr>
          <w:p>
            <w:pPr>
              <w:jc w:val="right"/>
              <w:ind w:right="20"/>
              <w:spacing w:after="0" w:line="203"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Provision from income taxes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3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w:t>
            </w:r>
          </w:p>
        </w:tc>
        <w:tc>
          <w:tcPr>
            <w:tcW w:w="32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Net income/(loss)</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gridSpan w:val="2"/>
            <w:vMerge w:val="restart"/>
          </w:tcPr>
          <w:p>
            <w:pPr>
              <w:jc w:val="right"/>
              <w:ind w:right="2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237"/>
        </w:trPr>
        <w:tc>
          <w:tcPr>
            <w:tcW w:w="5980" w:type="dxa"/>
            <w:vAlign w:val="bottom"/>
            <w:vMerge w:val="continue"/>
          </w:tcPr>
          <w:p>
            <w:pPr>
              <w:spacing w:after="0"/>
              <w:rPr>
                <w:sz w:val="20"/>
                <w:szCs w:val="20"/>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3,764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2,297</w:t>
            </w:r>
          </w:p>
        </w:tc>
        <w:tc>
          <w:tcPr>
            <w:tcW w:w="3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1,467</w:t>
            </w: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w:t>
            </w:r>
          </w:p>
        </w:tc>
        <w:tc>
          <w:tcPr>
            <w:tcW w:w="1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Sales were $21,680, representing an increase of $13,399, or 162%, as compared to the same period in 2021 driven in part by the acquisition of Reflect on February 17, 2022, and the Company’s successful sales activities as a combined company post-Merger. While the addition of Reflect revenue is contributing to the growth in revenue, the combined company has grown revenues approximately 58% organically during the six months ended June 30, 2022, as compared to the pro forma combined results during the six months ended June 30, 2021.</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Hardware revenues were $12,126 in 2022, an increase of $8,014, or 195%, as compared to the prior year, driven by large scale LED deployments by multiple customers. Services and other revenues were $9,554 in the six months ended June 30, 2022, an increase of $5,385, or 129%, with the inclusion of Reflect’s operations in the Company’s consolidated results for such period. Managed services revenue, which includes both software-as-a-service (“SaaS”) and help desk technical subscription services, were $6,535 in the six months ended June 30, 2022 as compared to $2,730 in the same period in 2021, driven by the addition of Reflect’s SaaS subscription revenue in the current year. This represents a year-over-year growth rate of 139% in our higher margin, typically subscription-based, managed services revenue.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Gross profit increased by $4,445, or 108% during the six months ended June 30, 2022 as compared to the same period in 2021 driven by an increase in revenue but offset by a reduction in gross profit margin. Gross profit margin decreased to 39.5% from 49.6% driven by a shift in revenue mix to 56% hardware during the six months ended June 30, 2022 related to several material customer hardware rollouts active during the first half of the year. We expect this contraction in gross profit margin to be less severe as we move into the second half of 2022 and beyond. The gross profit margin increased in three months ended June 30, 2022 to 42.7% from 36.2% in the three months ended March 31, 2022, which experienced significant short-term significant pressure driven by a single, large-scale/hardware-heavy deployment. We expect the gross profit margin for the three months ended June 30, 2022 to be more representative of our normalized gross profit margins.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Sales and marketing expenses generally include the salaries, taxes, and benefits of our sales and marketing personnel, as well as trade show activities, travel, and other related sales and marketing costs. Sales and marketing expenses increased by $1,350, or 268%, driven primarily by (i) the inclusion in the prior year of a benefit of $182 related Employee Retention Credits (“ERC”) related to the retention and payment of salaries to sales personnel throughout 2020 and the six months ended June 30, 2021, (ii) the acquisition of Reflect on February 17, 2022, and (iii) the Company’s enhanced investments into sales and marketing activities post-COVID. Immediately following the acquisition of Reflect, the Company integrated the sales and marketing functions and did not disaggregate expenses between the two legacy companies. Following the Merger and through integration activities, the Company adopted certain tools, technology, and processes – particularly with respect to lead generation and brand marketing – that were undercapitalized historically by the Company. Additionally, the Company engaged an Investor Relations firm and has increased investor relations activities, including conferences and presentations. As a result, we expect the sales and marketing expenses of the Company for the six months ended June 30, 2022 to adequately reflect the pace for spend in these areas in future periods.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Research and development expenses increased $430, or 188% in 2022, driven primarily by (i) the inclusion in the prior year of a benefit of $147 related ERC, and (ii) the acquisition of Reflect on February 17, 2022. Through the acquisition of Reflect, we acquired a fully staffed, experienced software development team and elected to keep that team in-tact, in full, particularly given employment market conditions with respect to talented software engineers. We have integrated the pre-existing CRI development team with the acquired team and have experienced enhanced speed to market on new feature and functionality development activities from increasing this resource pool. We expect this elevated level of expense during the three months ended June 30, 2022 to continue into the future as we develop our current and future product set.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General and administrative expenses – excluding bad debt expense – increased $1,541, or 41%, driven primarily by (i) the inclusion in the prior year of a benefit of $508 related ERC, and (ii) increased headcount and operations as a result of the acquisition of Reflect on February 17, 2022. While the Company anticipates carrying higher G&amp;A expenses moving forward as a result of the acquisition, the integration activities include several projects (including but not limited to consolidation of CMS tools, cloud hosting environments, IT tools, and rightsizing leases for office space) that we expect will be realized by the end of 2022. The Company also reinstituted its 401k matching program for employees in the fourth quarter of 2021, which represents an increase of $65 versus the prior year, and launched several investor relations initiatives, increasing spend $155 year-to-date in 2022 versus the prior year.</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Bad Debt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Expenses related to the Company’s allowance for bad debts increased by $569, or (123%) for the six months ended June 30, 2022 compared to 2021. This increase was primarily driven by a prior period cash recovery of $555 related to a customer bankruptcy for which the Company previously recorded a reserve. The bad debt expense recorded for the six months ended June 30, 2022 is representative of the Company’s actual history with uncollectable accounts receivable.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Expenses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Depreciation and amortization expenses increased by $487, or 71%, in 2022 compared to 2021. This was driven by the addition of $17,160 in amortizing intangible assets as a result of the Merger.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Change in fair value of Convertible Loan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See Note 9 </w:t>
      </w:r>
      <w:r>
        <w:rPr>
          <w:rFonts w:ascii="Arial" w:cs="Arial" w:eastAsia="Arial" w:hAnsi="Arial"/>
          <w:sz w:val="18"/>
          <w:szCs w:val="18"/>
          <w:i w:val="1"/>
          <w:iCs w:val="1"/>
          <w:color w:val="auto"/>
        </w:rPr>
        <w:t>Loans Payable</w:t>
      </w:r>
      <w:r>
        <w:rPr>
          <w:rFonts w:ascii="Arial" w:cs="Arial" w:eastAsia="Arial" w:hAnsi="Arial"/>
          <w:sz w:val="18"/>
          <w:szCs w:val="18"/>
          <w:color w:val="auto"/>
        </w:rPr>
        <w:t xml:space="preserve"> to the Condensed Consolidated Financial Statements for a discussion of the Company’s debt and related interest expense obligations.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June 30, 2021, we updated our fair value analysis of the Convertible Loan, resulting in recognition of a $166 during the six months ended June 30,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Fair Value of Warrant Liability; Loss on Warrant Amendment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six months ended June 30, 2022, the Company recorded a gain of $7,902 as the result of assessing the fair value of warrant liabilities associated with the Company’s issuance of warrants in its debt and equity offerings completed in February 2022 to finance the Merger. These warrants were initially assessed at fair value through Black Scholes calculation and were subsequently re-assessed at March 31, 2022 and June 30, 2022, resulting in the gain.</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Effective June 30, 2022, the Company amended the terms of certain warrants previously issued to its creditor and an investor, which removed the holder’s option to exercise such warrants on a cashless basis utilizing the VWAP of the Company’s common stock on the trading day immediately preceding the date of a notice of cashless exercise in certain circumstances, and removed the condition to exercising such warrants that the Company’s shareholders approve the exercise thereof (which has already been obtained). The amendments to the warrants extended the term of such warrants for an additional one year. As a result of the extension in term provided in exchange for the amendment, the Company reassessed the fair value of those warrants, resulting in the Company recording a loss on the fair value of these warrants of $345. The foregoing amendments to the warrants resulted in such warrants to be accounted for as equity instruments on the Company’s financial statements as of June 30, 2022. As such, following recording the gains and losses with respect to these warrant amendments, the Company reclassified the warrant liability of $5,709 from noncurrent liabilities to additional paid-in-capital as of June 30, 2022.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Settlement of Debt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On February 17, 2022, the Company refinanced its debt facilities with Slipstream. The Company assessed the combination of the pre-existing senior secured term loan and secured convertible loan in accordance with ASC 470 </w:t>
      </w:r>
      <w:r>
        <w:rPr>
          <w:rFonts w:ascii="Arial" w:cs="Arial" w:eastAsia="Arial" w:hAnsi="Arial"/>
          <w:sz w:val="18"/>
          <w:szCs w:val="18"/>
          <w:i w:val="1"/>
          <w:iCs w:val="1"/>
          <w:color w:val="auto"/>
        </w:rPr>
        <w:t>Debt</w:t>
      </w:r>
      <w:r>
        <w:rPr>
          <w:rFonts w:ascii="Arial" w:cs="Arial" w:eastAsia="Arial" w:hAnsi="Arial"/>
          <w:sz w:val="18"/>
          <w:szCs w:val="18"/>
          <w:color w:val="auto"/>
        </w:rPr>
        <w:t xml:space="preserve"> and determined the transaction should be accounted for as an extinguishment, in part as the Consolidation Term Loan eliminated a substantive conversion feature. In aggregate the Company recorded a loss on extinguishment of $295, primarily associated with the write-off of pre-existing debt discounts.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January 11, 2021, the Company received a notice from Old National Bank regarding forgiveness of the loan in the principal amount of $1,552 (the “PPP Loan”) that was made pursuant to the Small Business Administration Paycheck Protection Program under the Coronavirus Aid, Relief and Economic Security Act of 2020. According to such notice, the full principal amount of the PPP Loan and the accrued interest have been forgiven, resulting in a gain of $1,552 during the six months ended June 30, 2021.</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0" w:name="page41"/>
    <w:bookmarkEnd w:id="40"/>
    <w:p>
      <w:pPr>
        <w:jc w:val="both"/>
        <w:ind w:firstLine="648"/>
        <w:spacing w:after="0" w:line="259" w:lineRule="auto"/>
        <w:rPr>
          <w:sz w:val="20"/>
          <w:szCs w:val="20"/>
          <w:color w:val="auto"/>
        </w:rPr>
      </w:pPr>
      <w:r>
        <w:rPr>
          <w:rFonts w:ascii="Arial" w:cs="Arial" w:eastAsia="Arial" w:hAnsi="Arial"/>
          <w:sz w:val="18"/>
          <w:szCs w:val="18"/>
          <w:color w:val="auto"/>
        </w:rPr>
        <w:t>On May 13, 2021, the Company and Seller entered into a settlement agreement wherein neither party admitted liability, and the Company agreed to pay, and Seller agreed to accept, $100 as settlement in full for the outstanding balance of principal and accrued interest under the Amended and Restated Seller Note and a mutual release of all claims related to the Amended and Restated Seller Note and sale transaction under the Allure Purchase Agreement and all related agreements.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a result of this settlement, the full principal amount of the Amended and Restated Seller Note and the accrued interest have been eliminated, resulting in a gain in the Condensed Consolidated Financial statements of $1,624, representing $1,538 related to the Amended and Restated Seller Note and $86 of related interest thereon, during the six months ended June 30,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Operating Results on a Non-GAAP Basis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following non-GAAP data, which adjusts for the categories of expenses described below, is a non-GAAP financial measure. Our management believes that this non-GAAP financial measure is useful information for investors, shareholders and other stakeholders of our company in gauging our results of operations on an ongoing basis. We believe that EBITDA is a performance measure and not a liquidity measure, and therefore a reconciliation between net loss/income and EBITDA and Adjusted EBITDA has been provided. EBITDA should not be considered as an alternative to net loss/income as an indicator of performance or as an alternative to cash flows from operating activities as an indicator of cash flows, in each case as determined in accordance with GAAP, or as a measure of liquidity. In addition, EBITDA does not take into account changes in certain assets and liabilities as well as interest and income taxes that can affect cash flows. We do not intend the presentation of these non-GAAP measures to be considered in isolation or as a substitute for results prepared in accordance with GAAP. These non-GAAP measures should be read only in conjunction with our consolidated financial statements prepared in accordance with GAAP.</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ind w:right="121"/>
              <w:spacing w:after="0"/>
              <w:rPr>
                <w:sz w:val="20"/>
                <w:szCs w:val="20"/>
                <w:color w:val="auto"/>
              </w:rPr>
            </w:pPr>
            <w:r>
              <w:rPr>
                <w:rFonts w:ascii="Arial" w:cs="Arial" w:eastAsia="Arial" w:hAnsi="Arial"/>
                <w:sz w:val="18"/>
                <w:szCs w:val="18"/>
                <w:b w:val="1"/>
                <w:bCs w:val="1"/>
                <w:color w:val="auto"/>
                <w:w w:val="93"/>
              </w:rPr>
              <w:t>Quarters Ended</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520"/>
              <w:spacing w:after="0" w:line="198" w:lineRule="exact"/>
              <w:rPr>
                <w:sz w:val="20"/>
                <w:szCs w:val="20"/>
                <w:color w:val="auto"/>
              </w:rPr>
            </w:pPr>
            <w:r>
              <w:rPr>
                <w:rFonts w:ascii="Arial" w:cs="Arial" w:eastAsia="Arial" w:hAnsi="Arial"/>
                <w:sz w:val="18"/>
                <w:szCs w:val="18"/>
                <w:b w:val="1"/>
                <w:bCs w:val="1"/>
                <w:color w:val="auto"/>
                <w:w w:val="98"/>
              </w:rPr>
              <w:t>June 30</w:t>
            </w:r>
          </w:p>
        </w:tc>
        <w:tc>
          <w:tcPr>
            <w:tcW w:w="140" w:type="dxa"/>
            <w:vAlign w:val="bottom"/>
          </w:tcPr>
          <w:p>
            <w:pPr>
              <w:spacing w:after="0"/>
              <w:rPr>
                <w:sz w:val="17"/>
                <w:szCs w:val="17"/>
                <w:color w:val="auto"/>
              </w:rPr>
            </w:pPr>
          </w:p>
        </w:tc>
        <w:tc>
          <w:tcPr>
            <w:tcW w:w="1080" w:type="dxa"/>
            <w:vAlign w:val="bottom"/>
            <w:gridSpan w:val="2"/>
          </w:tcPr>
          <w:p>
            <w:pPr>
              <w:jc w:val="right"/>
              <w:ind w:right="280"/>
              <w:spacing w:after="0" w:line="198" w:lineRule="exact"/>
              <w:rPr>
                <w:sz w:val="20"/>
                <w:szCs w:val="20"/>
                <w:color w:val="auto"/>
              </w:rPr>
            </w:pPr>
            <w:r>
              <w:rPr>
                <w:rFonts w:ascii="Arial" w:cs="Arial" w:eastAsia="Arial" w:hAnsi="Arial"/>
                <w:sz w:val="18"/>
                <w:szCs w:val="18"/>
                <w:b w:val="1"/>
                <w:bCs w:val="1"/>
                <w:color w:val="auto"/>
                <w:w w:val="99"/>
              </w:rPr>
              <w:t>March 31</w:t>
            </w:r>
          </w:p>
        </w:tc>
        <w:tc>
          <w:tcPr>
            <w:tcW w:w="160" w:type="dxa"/>
            <w:vAlign w:val="bottom"/>
          </w:tcPr>
          <w:p>
            <w:pPr>
              <w:spacing w:after="0"/>
              <w:rPr>
                <w:sz w:val="17"/>
                <w:szCs w:val="17"/>
                <w:color w:val="auto"/>
              </w:rPr>
            </w:pPr>
          </w:p>
        </w:tc>
        <w:tc>
          <w:tcPr>
            <w:tcW w:w="1320" w:type="dxa"/>
            <w:vAlign w:val="bottom"/>
            <w:gridSpan w:val="3"/>
          </w:tcPr>
          <w:p>
            <w:pPr>
              <w:jc w:val="right"/>
              <w:ind w:right="181"/>
              <w:spacing w:after="0" w:line="198" w:lineRule="exact"/>
              <w:rPr>
                <w:sz w:val="20"/>
                <w:szCs w:val="20"/>
                <w:color w:val="auto"/>
              </w:rPr>
            </w:pPr>
            <w:r>
              <w:rPr>
                <w:rFonts w:ascii="Arial" w:cs="Arial" w:eastAsia="Arial" w:hAnsi="Arial"/>
                <w:sz w:val="18"/>
                <w:szCs w:val="18"/>
                <w:b w:val="1"/>
                <w:bCs w:val="1"/>
                <w:color w:val="auto"/>
                <w:w w:val="92"/>
              </w:rPr>
              <w:t>December 31</w:t>
            </w:r>
          </w:p>
        </w:tc>
        <w:tc>
          <w:tcPr>
            <w:tcW w:w="1320" w:type="dxa"/>
            <w:vAlign w:val="bottom"/>
            <w:gridSpan w:val="3"/>
          </w:tcPr>
          <w:p>
            <w:pPr>
              <w:jc w:val="right"/>
              <w:ind w:right="240"/>
              <w:spacing w:after="0" w:line="198" w:lineRule="exact"/>
              <w:rPr>
                <w:sz w:val="20"/>
                <w:szCs w:val="20"/>
                <w:color w:val="auto"/>
              </w:rPr>
            </w:pPr>
            <w:r>
              <w:rPr>
                <w:rFonts w:ascii="Arial" w:cs="Arial" w:eastAsia="Arial" w:hAnsi="Arial"/>
                <w:sz w:val="18"/>
                <w:szCs w:val="18"/>
                <w:b w:val="1"/>
                <w:bCs w:val="1"/>
                <w:color w:val="auto"/>
                <w:w w:val="89"/>
              </w:rPr>
              <w:t>September 30</w:t>
            </w:r>
          </w:p>
        </w:tc>
        <w:tc>
          <w:tcPr>
            <w:tcW w:w="180" w:type="dxa"/>
            <w:vAlign w:val="bottom"/>
          </w:tcPr>
          <w:p>
            <w:pPr>
              <w:spacing w:after="0"/>
              <w:rPr>
                <w:sz w:val="17"/>
                <w:szCs w:val="17"/>
                <w:color w:val="auto"/>
              </w:rPr>
            </w:pPr>
          </w:p>
        </w:tc>
        <w:tc>
          <w:tcPr>
            <w:tcW w:w="940" w:type="dxa"/>
            <w:vAlign w:val="bottom"/>
          </w:tcPr>
          <w:p>
            <w:pPr>
              <w:jc w:val="right"/>
              <w:ind w:right="170"/>
              <w:spacing w:after="0" w:line="198" w:lineRule="exact"/>
              <w:rPr>
                <w:sz w:val="20"/>
                <w:szCs w:val="20"/>
                <w:color w:val="auto"/>
              </w:rPr>
            </w:pPr>
            <w:r>
              <w:rPr>
                <w:rFonts w:ascii="Arial" w:cs="Arial" w:eastAsia="Arial" w:hAnsi="Arial"/>
                <w:sz w:val="18"/>
                <w:szCs w:val="18"/>
                <w:b w:val="1"/>
                <w:bCs w:val="1"/>
                <w:color w:val="auto"/>
                <w:w w:val="98"/>
              </w:rPr>
              <w:t>June 30</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Quarters ended</w:t>
            </w:r>
          </w:p>
        </w:tc>
        <w:tc>
          <w:tcPr>
            <w:tcW w:w="180" w:type="dxa"/>
            <w:vAlign w:val="bottom"/>
          </w:tcPr>
          <w:p>
            <w:pPr>
              <w:spacing w:after="0"/>
              <w:rPr>
                <w:sz w:val="20"/>
                <w:szCs w:val="20"/>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GAAP net income (loss)</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2,502</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(1,722)</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Amortization of debt discount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Other interest, net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390</w:t>
            </w: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268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160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158</w:t>
            </w: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Depreciation/amortization:</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Amortization of intangible assets</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431</w:t>
            </w: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680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302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320</w:t>
            </w: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Amortization of employee share-based awards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324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329</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Depreciation of property, equipment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expense/(benefit)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8"/>
                <w:szCs w:val="18"/>
                <w:color w:val="auto"/>
              </w:rPr>
              <w:t>EBITDA</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620" w:type="dxa"/>
            <w:vAlign w:val="bottom"/>
            <w:gridSpan w:val="2"/>
            <w:vMerge w:val="continue"/>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2,849</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(867</w:t>
            </w:r>
          </w:p>
        </w:tc>
        <w:tc>
          <w:tcPr>
            <w:tcW w:w="220" w:type="dxa"/>
            <w:vAlign w:val="bottom"/>
            <w:vMerge w:val="continue"/>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521</w:t>
            </w:r>
          </w:p>
        </w:tc>
        <w:tc>
          <w:tcPr>
            <w:tcW w:w="18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1,887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Adjustments</w:t>
            </w: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(Gain)/loss on fair value of warrant liability</w:t>
            </w: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(2,433)</w:t>
            </w:r>
          </w:p>
        </w:tc>
        <w:tc>
          <w:tcPr>
            <w:tcW w:w="14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(5,469)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(Gain)/loss on settlement of obligations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(256)</w:t>
            </w: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(1,628)</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(Gain)/loss on debt waiver consent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1,212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(Gain)/loss on warrant amendment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(Gain)/loss on fair value of equity guarantee</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73</w:t>
            </w: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Deal and transaction expenses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518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Other income</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Stock-based compensation – Director grants</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318</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8"/>
                <w:szCs w:val="18"/>
                <w:color w:val="auto"/>
              </w:rPr>
              <w:t>Adjusted EBITDA</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20" w:type="dxa"/>
            <w:vAlign w:val="bottom"/>
            <w:gridSpan w:val="2"/>
            <w:vMerge w:val="continue"/>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933</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vMerge w:val="continue"/>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292</w:t>
            </w:r>
          </w:p>
        </w:tc>
        <w:tc>
          <w:tcPr>
            <w:tcW w:w="18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286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See Note 1 </w:t>
      </w:r>
      <w:r>
        <w:rPr>
          <w:rFonts w:ascii="Arial" w:cs="Arial" w:eastAsia="Arial" w:hAnsi="Arial"/>
          <w:sz w:val="18"/>
          <w:szCs w:val="18"/>
          <w:i w:val="1"/>
          <w:iCs w:val="1"/>
          <w:color w:val="auto"/>
        </w:rPr>
        <w:t>Nature of Organization and Operations</w:t>
      </w:r>
      <w:r>
        <w:rPr>
          <w:rFonts w:ascii="Arial" w:cs="Arial" w:eastAsia="Arial" w:hAnsi="Arial"/>
          <w:sz w:val="18"/>
          <w:szCs w:val="18"/>
          <w:color w:val="auto"/>
        </w:rPr>
        <w:t xml:space="preserve"> to the accompanying Condensed Consolidated Financial Statements for a detailed discussion of liquidity and financial resources.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cash used in operating activities were $63 for the six months ended June 30, 2022 compared to $363 for the same period in 2021. We produced net income of $3,764. Following the Merger, our business has significantly expanded, particularly with respect to managed services revenue. Other than net income, cash provided by operating activities was driven by growth of $1,178 of deferred revenue and $2,487 of accounts payable, partially offset by an expansion of accounts receivable and inventory of $4,035 and $562,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Net cash used in investing activities during the six months ended June 30, 2022 was $19,546 compared to $204 during the same period in 2021. The use of cash in the current year was driven by (1) completion of the Merger and (2) continued investments in our software platforms. We currently do not have any material commitments for capital expenditures as of June 30, 2022; however, we anticipate continued elevated capital expenditures in excess of historical trends through as a result of the Merger, which included acquisition of a software development team and various new content management and advertising technology platforms.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592"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Net cash provided by financing activities during the six months ended June 30, 2022 was $19,566 compared to $1,745 for the same period in 2021. The increase is the result of the Company’s completion of the Equity Financing and the Debt Financing (each as described in Note 1 </w:t>
      </w:r>
      <w:r>
        <w:rPr>
          <w:rFonts w:ascii="Arial" w:cs="Arial" w:eastAsia="Arial" w:hAnsi="Arial"/>
          <w:sz w:val="18"/>
          <w:szCs w:val="18"/>
          <w:i w:val="1"/>
          <w:iCs w:val="1"/>
          <w:color w:val="auto"/>
        </w:rPr>
        <w:t>Nature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Organization and Operations </w:t>
      </w:r>
      <w:r>
        <w:rPr>
          <w:rFonts w:ascii="Arial" w:cs="Arial" w:eastAsia="Arial" w:hAnsi="Arial"/>
          <w:sz w:val="18"/>
          <w:szCs w:val="18"/>
          <w:color w:val="auto"/>
        </w:rPr>
        <w:t>to the accompanying Condensed Consolidated Financial Statements) in the period to facilitate the Merger, which provided</w:t>
      </w:r>
      <w:r>
        <w:rPr>
          <w:rFonts w:ascii="Arial" w:cs="Arial" w:eastAsia="Arial" w:hAnsi="Arial"/>
          <w:sz w:val="18"/>
          <w:szCs w:val="18"/>
          <w:i w:val="1"/>
          <w:iCs w:val="1"/>
          <w:color w:val="auto"/>
        </w:rPr>
        <w:t xml:space="preserve"> </w:t>
      </w:r>
      <w:r>
        <w:rPr>
          <w:rFonts w:ascii="Arial" w:cs="Arial" w:eastAsia="Arial" w:hAnsi="Arial"/>
          <w:sz w:val="18"/>
          <w:szCs w:val="18"/>
          <w:color w:val="auto"/>
        </w:rPr>
        <w:t>net cash of $10,109 and $9,868,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have no material commitments for capital expenditures, and we do not anticipate any significant capital expenditures for the remainder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three months ended March 31, 2022, we did not engage in any off-balance sheet arrangements set forth in Item 303(a) (4) of Regulation S-K.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An evaluation was performed under the supervision and with the participation of our management, including our Chief Executive Officer (principal executive officer) and Chief Financial Officer (principal financial officer), of the effectiveness of our disclosure controls and procedures, as defined in Rules 13a-15(e) and 15d-15(e) under the Securities Exchange Act of 1934, as amended (“Exchange Act”), as of the end of the period covered by this report. Based on that evaluation, our management, including our Chief Executive Officer and Chief Financial Officer, concluded that our disclosure controls and procedures were effective as of June 30, 2022, and designed to ensure that information required to be disclosed by us in reports that we file or submit under the Exchange Act, is recorded, processed, summarized and reported within the time periods specified in the rules and forms of the Securities and Exchange Commission and that such information is accumulated and communicated to our management, including our Chief Executive Officer and Chief Financial Officer, as appropriate to allow timely decisions regarding required disclosure.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June 30, 2022 that have materially affected, or are reasonably likely to materially affect, our internal control over financial reporting.</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44" w:lineRule="exact"/>
        <w:rPr>
          <w:sz w:val="20"/>
          <w:szCs w:val="20"/>
          <w:color w:val="auto"/>
        </w:rPr>
      </w:pPr>
    </w:p>
    <w:p>
      <w:pPr>
        <w:jc w:val="center"/>
        <w:ind w:right="9240"/>
        <w:spacing w:after="0"/>
        <w:rPr>
          <w:sz w:val="20"/>
          <w:szCs w:val="20"/>
          <w:color w:val="auto"/>
        </w:rPr>
      </w:pPr>
      <w:r>
        <w:rPr>
          <w:rFonts w:ascii="Arial" w:cs="Arial" w:eastAsia="Arial" w:hAnsi="Arial"/>
          <w:sz w:val="16"/>
          <w:szCs w:val="16"/>
          <w:b w:val="1"/>
          <w:bCs w:val="1"/>
          <w:color w:val="auto"/>
        </w:rPr>
        <w:t>Item 1. Legal Proceedings</w:t>
      </w:r>
    </w:p>
    <w:p>
      <w:pPr>
        <w:spacing w:after="0" w:line="171" w:lineRule="exact"/>
        <w:rPr>
          <w:sz w:val="20"/>
          <w:szCs w:val="20"/>
          <w:color w:val="auto"/>
        </w:rPr>
      </w:pPr>
    </w:p>
    <w:p>
      <w:pPr>
        <w:jc w:val="center"/>
        <w:ind w:right="9500"/>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jc w:val="center"/>
        <w:ind w:right="9540"/>
        <w:spacing w:after="0"/>
        <w:rPr>
          <w:sz w:val="20"/>
          <w:szCs w:val="20"/>
          <w:color w:val="auto"/>
        </w:rPr>
      </w:pPr>
      <w:r>
        <w:rPr>
          <w:rFonts w:ascii="Arial" w:cs="Arial" w:eastAsia="Arial" w:hAnsi="Arial"/>
          <w:sz w:val="16"/>
          <w:szCs w:val="16"/>
          <w:b w:val="1"/>
          <w:bCs w:val="1"/>
          <w:color w:val="auto"/>
        </w:rPr>
        <w:t>Item 1A. Risk Factors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a smaller reporting company, we are not required to provide the information required by this Item; however, the discussion of our business and operations should be read together with the Risk Factors set forth in our Annual Report on Form 10-K filed with the SEC on March 22, 2022. Such risks and uncertainties have the potential to affect our business, financial condition, results of operations, cash flow, strategies or prospects in a material and adverse manner.</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Release</w:t>
      </w:r>
    </w:p>
    <w:p>
      <w:pPr>
        <w:spacing w:after="0" w:line="14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August 15, 2022, the Company issued a press release announcing its financial condition and results of operations for the three and six months ended June 30, 2022. A copy of the press release is furnished as Exhibit 99.1 and is incorporated by reference into this Item 5 in lieu of separately furnishing such press release under Item 2.02 of Form 8-K. This disclosure, including Exhibit 99.1 hereto, shall not be deemed “filed” for purposes of Section 18 of the Securities Exchange Act of 1934, as amended (the “Exchange Act”), or otherwise subject to the liabilities of that section, nor shall it be deemed incorporated by reference into any of the Company’s filings under the Securities Act of 1933, as amended, or the Exchange Act, except as expressly set forth by specific reference in such filing.</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120" w:type="dxa"/>
            <w:vAlign w:val="bottom"/>
            <w:gridSpan w:val="9"/>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75"/>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100" w:type="dxa"/>
            <w:vAlign w:val="bottom"/>
            <w:tcBorders>
              <w:top w:val="single" w:sz="8" w:color="auto"/>
              <w:bottom w:val="single" w:sz="8" w:color="0000EE"/>
              <w:right w:val="single" w:sz="8" w:color="CCEEFF"/>
            </w:tcBorders>
            <w:gridSpan w:val="8"/>
            <w:shd w:val="clear" w:color="auto" w:fill="CCEEFF"/>
          </w:tcPr>
          <w:p>
            <w:pPr>
              <w:spacing w:after="0" w:line="176" w:lineRule="exact"/>
              <w:rPr>
                <w:rFonts w:ascii="Arial" w:cs="Arial" w:eastAsia="Arial" w:hAnsi="Arial"/>
                <w:sz w:val="18"/>
                <w:szCs w:val="18"/>
                <w:color w:val="0000EE"/>
                <w:w w:val="93"/>
              </w:rPr>
            </w:pPr>
            <w:hyperlink r:id="rId62">
              <w:r>
                <w:rPr>
                  <w:rFonts w:ascii="Arial" w:cs="Arial" w:eastAsia="Arial" w:hAnsi="Arial"/>
                  <w:sz w:val="18"/>
                  <w:szCs w:val="18"/>
                  <w:color w:val="0000EE"/>
                  <w:w w:val="93"/>
                </w:rPr>
                <w:t>Amendment to Stock Option Agreement dated June 15, 2022 between the Company and Rick Mills(incorporated by reference to Exhibit</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8"/>
            <w:shd w:val="clear" w:color="auto" w:fill="CCEEFF"/>
          </w:tcPr>
          <w:p>
            <w:pPr>
              <w:spacing w:after="0" w:line="196" w:lineRule="exact"/>
              <w:rPr>
                <w:rFonts w:ascii="Arial" w:cs="Arial" w:eastAsia="Arial" w:hAnsi="Arial"/>
                <w:sz w:val="18"/>
                <w:szCs w:val="18"/>
                <w:color w:val="0000EE"/>
              </w:rPr>
            </w:pPr>
            <w:hyperlink r:id="rId62">
              <w:r>
                <w:rPr>
                  <w:rFonts w:ascii="Arial" w:cs="Arial" w:eastAsia="Arial" w:hAnsi="Arial"/>
                  <w:sz w:val="18"/>
                  <w:szCs w:val="18"/>
                  <w:color w:val="0000EE"/>
                </w:rPr>
                <w:t>10.</w:t>
              </w:r>
              <w:r>
                <w:rPr>
                  <w:rFonts w:ascii="Arial" w:cs="Arial" w:eastAsia="Arial" w:hAnsi="Arial"/>
                  <w:sz w:val="18"/>
                  <w:szCs w:val="18"/>
                  <w:u w:val="single" w:color="auto"/>
                  <w:color w:val="0000EE"/>
                </w:rPr>
                <w:t>1</w:t>
              </w:r>
              <w:r>
                <w:rPr>
                  <w:rFonts w:ascii="Arial" w:cs="Arial" w:eastAsia="Arial" w:hAnsi="Arial"/>
                  <w:sz w:val="18"/>
                  <w:szCs w:val="18"/>
                  <w:color w:val="0000EE"/>
                </w:rPr>
                <w:t xml:space="preserve"> to the Company’s Current Report on Form 8-K filed June 17, 2022)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0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2600" w:type="dxa"/>
            <w:vAlign w:val="bottom"/>
            <w:tcBorders>
              <w:top w:val="single" w:sz="8" w:color="0000EE"/>
            </w:tcBorders>
          </w:tcPr>
          <w:p>
            <w:pPr>
              <w:spacing w:after="0"/>
              <w:rPr>
                <w:sz w:val="11"/>
                <w:szCs w:val="11"/>
                <w:color w:val="auto"/>
              </w:rPr>
            </w:pPr>
          </w:p>
        </w:tc>
        <w:tc>
          <w:tcPr>
            <w:tcW w:w="1820" w:type="dxa"/>
            <w:vAlign w:val="bottom"/>
            <w:tcBorders>
              <w:top w:val="single" w:sz="8" w:color="0000EE"/>
            </w:tcBorders>
          </w:tcPr>
          <w:p>
            <w:pPr>
              <w:spacing w:after="0"/>
              <w:rPr>
                <w:sz w:val="11"/>
                <w:szCs w:val="11"/>
                <w:color w:val="auto"/>
              </w:rPr>
            </w:pPr>
          </w:p>
        </w:tc>
        <w:tc>
          <w:tcPr>
            <w:tcW w:w="800" w:type="dxa"/>
            <w:vAlign w:val="bottom"/>
            <w:tcBorders>
              <w:top w:val="single" w:sz="8" w:color="0000EE"/>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40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4340" w:type="dxa"/>
            <w:vAlign w:val="bottom"/>
            <w:tcBorders>
              <w:top w:val="single" w:sz="8" w:color="CCEEFF"/>
            </w:tcBorders>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8"/>
            <w:shd w:val="clear" w:color="auto" w:fill="CCEEFF"/>
          </w:tcPr>
          <w:p>
            <w:pPr>
              <w:spacing w:after="0" w:line="176" w:lineRule="exact"/>
              <w:rPr>
                <w:rFonts w:ascii="Arial" w:cs="Arial" w:eastAsia="Arial" w:hAnsi="Arial"/>
                <w:sz w:val="18"/>
                <w:szCs w:val="18"/>
                <w:color w:val="0000EE"/>
                <w:w w:val="92"/>
              </w:rPr>
            </w:pPr>
            <w:hyperlink r:id="rId63">
              <w:r>
                <w:rPr>
                  <w:rFonts w:ascii="Arial" w:cs="Arial" w:eastAsia="Arial" w:hAnsi="Arial"/>
                  <w:sz w:val="18"/>
                  <w:szCs w:val="18"/>
                  <w:color w:val="0000EE"/>
                  <w:w w:val="92"/>
                </w:rPr>
                <w:t>Amendment to Stock Option Agreement dated June 15, 2022 between the Company and Will Logan (incorporated by reference to Exhibit</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8"/>
            <w:shd w:val="clear" w:color="auto" w:fill="CCEEFF"/>
          </w:tcPr>
          <w:p>
            <w:pPr>
              <w:spacing w:after="0" w:line="196" w:lineRule="exact"/>
              <w:rPr>
                <w:rFonts w:ascii="Arial" w:cs="Arial" w:eastAsia="Arial" w:hAnsi="Arial"/>
                <w:sz w:val="18"/>
                <w:szCs w:val="18"/>
                <w:color w:val="0000EE"/>
              </w:rPr>
            </w:pPr>
            <w:hyperlink r:id="rId63">
              <w:r>
                <w:rPr>
                  <w:rFonts w:ascii="Arial" w:cs="Arial" w:eastAsia="Arial" w:hAnsi="Arial"/>
                  <w:sz w:val="18"/>
                  <w:szCs w:val="18"/>
                  <w:color w:val="0000EE"/>
                </w:rPr>
                <w:t>10.</w:t>
              </w:r>
              <w:r>
                <w:rPr>
                  <w:rFonts w:ascii="Arial" w:cs="Arial" w:eastAsia="Arial" w:hAnsi="Arial"/>
                  <w:sz w:val="18"/>
                  <w:szCs w:val="18"/>
                  <w:u w:val="single" w:color="auto"/>
                  <w:color w:val="0000EE"/>
                </w:rPr>
                <w:t>2</w:t>
              </w:r>
              <w:r>
                <w:rPr>
                  <w:rFonts w:ascii="Arial" w:cs="Arial" w:eastAsia="Arial" w:hAnsi="Arial"/>
                  <w:sz w:val="18"/>
                  <w:szCs w:val="18"/>
                  <w:color w:val="0000EE"/>
                </w:rPr>
                <w:t xml:space="preserve"> to the Company’s Current Report on Form 8-K filed June 17, 2022)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0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2600" w:type="dxa"/>
            <w:vAlign w:val="bottom"/>
            <w:tcBorders>
              <w:top w:val="single" w:sz="8" w:color="0000EE"/>
            </w:tcBorders>
          </w:tcPr>
          <w:p>
            <w:pPr>
              <w:spacing w:after="0"/>
              <w:rPr>
                <w:sz w:val="11"/>
                <w:szCs w:val="11"/>
                <w:color w:val="auto"/>
              </w:rPr>
            </w:pPr>
          </w:p>
        </w:tc>
        <w:tc>
          <w:tcPr>
            <w:tcW w:w="1820" w:type="dxa"/>
            <w:vAlign w:val="bottom"/>
            <w:tcBorders>
              <w:top w:val="single" w:sz="8" w:color="0000EE"/>
            </w:tcBorders>
          </w:tcPr>
          <w:p>
            <w:pPr>
              <w:spacing w:after="0"/>
              <w:rPr>
                <w:sz w:val="11"/>
                <w:szCs w:val="11"/>
                <w:color w:val="auto"/>
              </w:rPr>
            </w:pPr>
          </w:p>
        </w:tc>
        <w:tc>
          <w:tcPr>
            <w:tcW w:w="800" w:type="dxa"/>
            <w:vAlign w:val="bottom"/>
            <w:tcBorders>
              <w:top w:val="single" w:sz="8" w:color="0000EE"/>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40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4340" w:type="dxa"/>
            <w:vAlign w:val="bottom"/>
            <w:tcBorders>
              <w:top w:val="single" w:sz="8" w:color="CCEEFF"/>
            </w:tcBorders>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8"/>
            <w:shd w:val="clear" w:color="auto" w:fill="CCEEFF"/>
          </w:tcPr>
          <w:p>
            <w:pPr>
              <w:spacing w:after="0" w:line="176" w:lineRule="exact"/>
              <w:rPr>
                <w:rFonts w:ascii="Arial" w:cs="Arial" w:eastAsia="Arial" w:hAnsi="Arial"/>
                <w:sz w:val="18"/>
                <w:szCs w:val="18"/>
                <w:color w:val="0000EE"/>
                <w:w w:val="95"/>
              </w:rPr>
            </w:pPr>
            <w:hyperlink r:id="rId64">
              <w:r>
                <w:rPr>
                  <w:rFonts w:ascii="Arial" w:cs="Arial" w:eastAsia="Arial" w:hAnsi="Arial"/>
                  <w:sz w:val="18"/>
                  <w:szCs w:val="18"/>
                  <w:color w:val="0000EE"/>
                  <w:w w:val="95"/>
                </w:rPr>
                <w:t>Stock Option Agreement dated June 15, 2022 between the Company and Rick Mills (incorporated by reference to Exhibit 10.3 to the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8"/>
            <w:shd w:val="clear" w:color="auto" w:fill="CCEEFF"/>
          </w:tcPr>
          <w:p>
            <w:pPr>
              <w:spacing w:after="0" w:line="196" w:lineRule="exact"/>
              <w:rPr>
                <w:rFonts w:ascii="Arial" w:cs="Arial" w:eastAsia="Arial" w:hAnsi="Arial"/>
                <w:sz w:val="18"/>
                <w:szCs w:val="18"/>
                <w:color w:val="0000EE"/>
              </w:rPr>
            </w:pPr>
            <w:hyperlink r:id="rId64">
              <w:r>
                <w:rPr>
                  <w:rFonts w:ascii="Arial" w:cs="Arial" w:eastAsia="Arial" w:hAnsi="Arial"/>
                  <w:sz w:val="18"/>
                  <w:szCs w:val="18"/>
                  <w:color w:val="0000EE"/>
                </w:rPr>
                <w:t>Company’s Current Report on Form 8-K filed June 17, 2022)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0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2600" w:type="dxa"/>
            <w:vAlign w:val="bottom"/>
            <w:tcBorders>
              <w:top w:val="single" w:sz="8" w:color="0000EE"/>
            </w:tcBorders>
          </w:tcPr>
          <w:p>
            <w:pPr>
              <w:spacing w:after="0"/>
              <w:rPr>
                <w:sz w:val="11"/>
                <w:szCs w:val="11"/>
                <w:color w:val="auto"/>
              </w:rPr>
            </w:pPr>
          </w:p>
        </w:tc>
        <w:tc>
          <w:tcPr>
            <w:tcW w:w="1820" w:type="dxa"/>
            <w:vAlign w:val="bottom"/>
            <w:tcBorders>
              <w:top w:val="single" w:sz="8" w:color="0000EE"/>
            </w:tcBorders>
          </w:tcPr>
          <w:p>
            <w:pPr>
              <w:spacing w:after="0"/>
              <w:rPr>
                <w:sz w:val="11"/>
                <w:szCs w:val="11"/>
                <w:color w:val="auto"/>
              </w:rPr>
            </w:pPr>
          </w:p>
        </w:tc>
        <w:tc>
          <w:tcPr>
            <w:tcW w:w="80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40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4340" w:type="dxa"/>
            <w:vAlign w:val="bottom"/>
            <w:tcBorders>
              <w:top w:val="single" w:sz="8" w:color="CCEEFF"/>
            </w:tcBorders>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5"/>
                <w:szCs w:val="15"/>
                <w:color w:val="auto"/>
              </w:rPr>
            </w:pPr>
          </w:p>
        </w:tc>
        <w:tc>
          <w:tcPr>
            <w:tcW w:w="10100" w:type="dxa"/>
            <w:vAlign w:val="bottom"/>
            <w:tcBorders>
              <w:right w:val="single" w:sz="8" w:color="CCEEFF"/>
            </w:tcBorders>
            <w:gridSpan w:val="8"/>
            <w:shd w:val="clear" w:color="auto" w:fill="CCEEFF"/>
          </w:tcPr>
          <w:p>
            <w:pPr>
              <w:spacing w:after="0" w:line="176" w:lineRule="exact"/>
              <w:rPr>
                <w:rFonts w:ascii="Arial" w:cs="Arial" w:eastAsia="Arial" w:hAnsi="Arial"/>
                <w:sz w:val="18"/>
                <w:szCs w:val="18"/>
                <w:color w:val="0000EE"/>
                <w:w w:val="94"/>
              </w:rPr>
            </w:pPr>
            <w:hyperlink r:id="rId65">
              <w:r>
                <w:rPr>
                  <w:rFonts w:ascii="Arial" w:cs="Arial" w:eastAsia="Arial" w:hAnsi="Arial"/>
                  <w:sz w:val="18"/>
                  <w:szCs w:val="18"/>
                  <w:color w:val="0000EE"/>
                  <w:w w:val="94"/>
                </w:rPr>
                <w:t>Stock Option Agreement dated June 15, 2022 between the Company and Will Logan (incorporated by reference to Exhibit 10.4 to the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100" w:type="dxa"/>
            <w:vAlign w:val="bottom"/>
            <w:tcBorders>
              <w:top w:val="single" w:sz="8" w:color="0000EE"/>
              <w:right w:val="single" w:sz="8" w:color="CCEEFF"/>
            </w:tcBorders>
            <w:gridSpan w:val="8"/>
            <w:shd w:val="clear" w:color="auto" w:fill="CCEEFF"/>
          </w:tcPr>
          <w:p>
            <w:pPr>
              <w:spacing w:after="0" w:line="196" w:lineRule="exact"/>
              <w:rPr>
                <w:rFonts w:ascii="Arial" w:cs="Arial" w:eastAsia="Arial" w:hAnsi="Arial"/>
                <w:sz w:val="18"/>
                <w:szCs w:val="18"/>
                <w:color w:val="0000EE"/>
              </w:rPr>
            </w:pPr>
            <w:hyperlink r:id="rId65">
              <w:r>
                <w:rPr>
                  <w:rFonts w:ascii="Arial" w:cs="Arial" w:eastAsia="Arial" w:hAnsi="Arial"/>
                  <w:sz w:val="18"/>
                  <w:szCs w:val="18"/>
                  <w:color w:val="0000EE"/>
                </w:rPr>
                <w:t>Company’s Current Report on Form 8-K filed June 17, 2022)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0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2600" w:type="dxa"/>
            <w:vAlign w:val="bottom"/>
            <w:tcBorders>
              <w:top w:val="single" w:sz="8" w:color="0000EE"/>
            </w:tcBorders>
          </w:tcPr>
          <w:p>
            <w:pPr>
              <w:spacing w:after="0"/>
              <w:rPr>
                <w:sz w:val="11"/>
                <w:szCs w:val="11"/>
                <w:color w:val="auto"/>
              </w:rPr>
            </w:pPr>
          </w:p>
        </w:tc>
        <w:tc>
          <w:tcPr>
            <w:tcW w:w="1820" w:type="dxa"/>
            <w:vAlign w:val="bottom"/>
            <w:tcBorders>
              <w:top w:val="single" w:sz="8" w:color="0000EE"/>
            </w:tcBorders>
          </w:tcPr>
          <w:p>
            <w:pPr>
              <w:spacing w:after="0"/>
              <w:rPr>
                <w:sz w:val="11"/>
                <w:szCs w:val="11"/>
                <w:color w:val="auto"/>
              </w:rPr>
            </w:pPr>
          </w:p>
        </w:tc>
        <w:tc>
          <w:tcPr>
            <w:tcW w:w="80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40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4340" w:type="dxa"/>
            <w:vAlign w:val="bottom"/>
            <w:tcBorders>
              <w:top w:val="single" w:sz="8" w:color="CCEEFF"/>
            </w:tcBorders>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31.1</w:t>
            </w:r>
          </w:p>
        </w:tc>
        <w:tc>
          <w:tcPr>
            <w:tcW w:w="12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8"/>
            <w:shd w:val="clear" w:color="auto" w:fill="CCEEFF"/>
          </w:tcPr>
          <w:p>
            <w:pPr>
              <w:spacing w:after="0" w:line="176" w:lineRule="exact"/>
              <w:rPr>
                <w:sz w:val="20"/>
                <w:szCs w:val="20"/>
                <w:color w:val="auto"/>
              </w:rPr>
            </w:pPr>
            <w:r>
              <w:rPr>
                <w:rFonts w:ascii="Arial" w:cs="Arial" w:eastAsia="Arial" w:hAnsi="Arial"/>
                <w:sz w:val="18"/>
                <w:szCs w:val="18"/>
                <w:color w:val="0000EE"/>
              </w:rPr>
              <w:t>Chief Executive Officer Certification pursuant to Exchange Act Rule 13a-14(a).</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0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2600" w:type="dxa"/>
            <w:vAlign w:val="bottom"/>
            <w:tcBorders>
              <w:top w:val="single" w:sz="8" w:color="0000EE"/>
            </w:tcBorders>
          </w:tcPr>
          <w:p>
            <w:pPr>
              <w:spacing w:after="0"/>
              <w:rPr>
                <w:sz w:val="11"/>
                <w:szCs w:val="11"/>
                <w:color w:val="auto"/>
              </w:rPr>
            </w:pPr>
          </w:p>
        </w:tc>
        <w:tc>
          <w:tcPr>
            <w:tcW w:w="1820" w:type="dxa"/>
            <w:vAlign w:val="bottom"/>
            <w:tcBorders>
              <w:top w:val="single" w:sz="8" w:color="0000EE"/>
            </w:tcBorders>
          </w:tcPr>
          <w:p>
            <w:pPr>
              <w:spacing w:after="0"/>
              <w:rPr>
                <w:sz w:val="11"/>
                <w:szCs w:val="11"/>
                <w:color w:val="auto"/>
              </w:rPr>
            </w:pPr>
          </w:p>
        </w:tc>
        <w:tc>
          <w:tcPr>
            <w:tcW w:w="80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4340" w:type="dxa"/>
            <w:vAlign w:val="bottom"/>
            <w:tcBorders>
              <w:top w:val="single" w:sz="8" w:color="CCEEFF"/>
            </w:tcBorders>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31.2</w:t>
            </w:r>
          </w:p>
        </w:tc>
        <w:tc>
          <w:tcPr>
            <w:tcW w:w="12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8"/>
            <w:shd w:val="clear" w:color="auto" w:fill="CCEEFF"/>
          </w:tcPr>
          <w:p>
            <w:pPr>
              <w:spacing w:after="0" w:line="176" w:lineRule="exact"/>
              <w:rPr>
                <w:sz w:val="20"/>
                <w:szCs w:val="20"/>
                <w:color w:val="auto"/>
              </w:rPr>
            </w:pPr>
            <w:r>
              <w:rPr>
                <w:rFonts w:ascii="Arial" w:cs="Arial" w:eastAsia="Arial" w:hAnsi="Arial"/>
                <w:sz w:val="18"/>
                <w:szCs w:val="18"/>
                <w:color w:val="0000EE"/>
              </w:rPr>
              <w:t>Chief Financial Officer Certification pursuant to Exchange Act Rule 13a-14(a).</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0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2600" w:type="dxa"/>
            <w:vAlign w:val="bottom"/>
            <w:tcBorders>
              <w:top w:val="single" w:sz="8" w:color="0000EE"/>
            </w:tcBorders>
          </w:tcPr>
          <w:p>
            <w:pPr>
              <w:spacing w:after="0"/>
              <w:rPr>
                <w:sz w:val="11"/>
                <w:szCs w:val="11"/>
                <w:color w:val="auto"/>
              </w:rPr>
            </w:pPr>
          </w:p>
        </w:tc>
        <w:tc>
          <w:tcPr>
            <w:tcW w:w="1820" w:type="dxa"/>
            <w:vAlign w:val="bottom"/>
            <w:tcBorders>
              <w:top w:val="single" w:sz="8" w:color="0000EE"/>
            </w:tcBorders>
          </w:tcPr>
          <w:p>
            <w:pPr>
              <w:spacing w:after="0"/>
              <w:rPr>
                <w:sz w:val="11"/>
                <w:szCs w:val="11"/>
                <w:color w:val="auto"/>
              </w:rPr>
            </w:pPr>
          </w:p>
        </w:tc>
        <w:tc>
          <w:tcPr>
            <w:tcW w:w="80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4340" w:type="dxa"/>
            <w:vAlign w:val="bottom"/>
            <w:tcBorders>
              <w:top w:val="single" w:sz="8" w:color="CCEEFF"/>
            </w:tcBorders>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32.1</w:t>
            </w:r>
          </w:p>
        </w:tc>
        <w:tc>
          <w:tcPr>
            <w:tcW w:w="12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8"/>
            <w:shd w:val="clear" w:color="auto" w:fill="CCEEFF"/>
          </w:tcPr>
          <w:p>
            <w:pPr>
              <w:spacing w:after="0" w:line="176" w:lineRule="exact"/>
              <w:rPr>
                <w:sz w:val="20"/>
                <w:szCs w:val="20"/>
                <w:color w:val="auto"/>
              </w:rPr>
            </w:pPr>
            <w:r>
              <w:rPr>
                <w:rFonts w:ascii="Arial" w:cs="Arial" w:eastAsia="Arial" w:hAnsi="Arial"/>
                <w:sz w:val="18"/>
                <w:szCs w:val="18"/>
                <w:color w:val="0000EE"/>
              </w:rPr>
              <w:t>Chief Executive Officer Certification pursuant to 18 U.S.C. Section 1350.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0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2600" w:type="dxa"/>
            <w:vAlign w:val="bottom"/>
            <w:tcBorders>
              <w:top w:val="single" w:sz="8" w:color="0000EE"/>
            </w:tcBorders>
          </w:tcPr>
          <w:p>
            <w:pPr>
              <w:spacing w:after="0"/>
              <w:rPr>
                <w:sz w:val="11"/>
                <w:szCs w:val="11"/>
                <w:color w:val="auto"/>
              </w:rPr>
            </w:pPr>
          </w:p>
        </w:tc>
        <w:tc>
          <w:tcPr>
            <w:tcW w:w="1820" w:type="dxa"/>
            <w:vAlign w:val="bottom"/>
            <w:tcBorders>
              <w:top w:val="single" w:sz="8" w:color="0000EE"/>
            </w:tcBorders>
          </w:tcPr>
          <w:p>
            <w:pPr>
              <w:spacing w:after="0"/>
              <w:rPr>
                <w:sz w:val="11"/>
                <w:szCs w:val="11"/>
                <w:color w:val="auto"/>
              </w:rPr>
            </w:pPr>
          </w:p>
        </w:tc>
        <w:tc>
          <w:tcPr>
            <w:tcW w:w="80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40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4340" w:type="dxa"/>
            <w:vAlign w:val="bottom"/>
            <w:tcBorders>
              <w:top w:val="single" w:sz="8" w:color="CCEEFF"/>
            </w:tcBorders>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32.2</w:t>
            </w:r>
          </w:p>
        </w:tc>
        <w:tc>
          <w:tcPr>
            <w:tcW w:w="12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8"/>
            <w:shd w:val="clear" w:color="auto" w:fill="CCEEFF"/>
          </w:tcPr>
          <w:p>
            <w:pPr>
              <w:spacing w:after="0" w:line="176" w:lineRule="exact"/>
              <w:rPr>
                <w:sz w:val="20"/>
                <w:szCs w:val="20"/>
                <w:color w:val="auto"/>
              </w:rPr>
            </w:pPr>
            <w:r>
              <w:rPr>
                <w:rFonts w:ascii="Arial" w:cs="Arial" w:eastAsia="Arial" w:hAnsi="Arial"/>
                <w:sz w:val="18"/>
                <w:szCs w:val="18"/>
                <w:color w:val="0000EE"/>
              </w:rPr>
              <w:t>Chief Financial Officer Certification pursuant to 18 U.S.C. Section 1350.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0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2600" w:type="dxa"/>
            <w:vAlign w:val="bottom"/>
            <w:tcBorders>
              <w:top w:val="single" w:sz="8" w:color="0000EE"/>
            </w:tcBorders>
          </w:tcPr>
          <w:p>
            <w:pPr>
              <w:spacing w:after="0"/>
              <w:rPr>
                <w:sz w:val="11"/>
                <w:szCs w:val="11"/>
                <w:color w:val="auto"/>
              </w:rPr>
            </w:pPr>
          </w:p>
        </w:tc>
        <w:tc>
          <w:tcPr>
            <w:tcW w:w="1820" w:type="dxa"/>
            <w:vAlign w:val="bottom"/>
            <w:tcBorders>
              <w:top w:val="single" w:sz="8" w:color="0000EE"/>
            </w:tcBorders>
          </w:tcPr>
          <w:p>
            <w:pPr>
              <w:spacing w:after="0"/>
              <w:rPr>
                <w:sz w:val="11"/>
                <w:szCs w:val="11"/>
                <w:color w:val="auto"/>
              </w:rPr>
            </w:pPr>
          </w:p>
        </w:tc>
        <w:tc>
          <w:tcPr>
            <w:tcW w:w="80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40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4340" w:type="dxa"/>
            <w:vAlign w:val="bottom"/>
            <w:tcBorders>
              <w:top w:val="single" w:sz="8" w:color="CCEEFF"/>
            </w:tcBorders>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12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8"/>
            <w:shd w:val="clear" w:color="auto" w:fill="CCEEFF"/>
          </w:tcPr>
          <w:p>
            <w:pPr>
              <w:spacing w:after="0" w:line="176" w:lineRule="exact"/>
              <w:rPr>
                <w:sz w:val="20"/>
                <w:szCs w:val="20"/>
                <w:color w:val="auto"/>
              </w:rPr>
            </w:pPr>
            <w:r>
              <w:rPr>
                <w:rFonts w:ascii="Arial" w:cs="Arial" w:eastAsia="Arial" w:hAnsi="Arial"/>
                <w:sz w:val="18"/>
                <w:szCs w:val="18"/>
                <w:color w:val="0000EE"/>
              </w:rPr>
              <w:t>Press release dated August 15, 2022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102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2600" w:type="dxa"/>
            <w:vAlign w:val="bottom"/>
            <w:tcBorders>
              <w:top w:val="single" w:sz="8" w:color="0000EE"/>
            </w:tcBorders>
          </w:tcPr>
          <w:p>
            <w:pPr>
              <w:spacing w:after="0"/>
              <w:rPr>
                <w:sz w:val="11"/>
                <w:szCs w:val="11"/>
                <w:color w:val="auto"/>
              </w:rPr>
            </w:pPr>
          </w:p>
        </w:tc>
        <w:tc>
          <w:tcPr>
            <w:tcW w:w="1820" w:type="dxa"/>
            <w:vAlign w:val="bottom"/>
            <w:tcBorders>
              <w:top w:val="single" w:sz="8" w:color="CCEEFF"/>
            </w:tcBorders>
          </w:tcPr>
          <w:p>
            <w:pPr>
              <w:spacing w:after="0"/>
              <w:rPr>
                <w:sz w:val="11"/>
                <w:szCs w:val="11"/>
                <w:color w:val="auto"/>
              </w:rPr>
            </w:pPr>
          </w:p>
        </w:tc>
        <w:tc>
          <w:tcPr>
            <w:tcW w:w="800" w:type="dxa"/>
            <w:vAlign w:val="bottom"/>
            <w:tcBorders>
              <w:top w:val="single" w:sz="8" w:color="CCEEFF"/>
            </w:tcBorders>
          </w:tcPr>
          <w:p>
            <w:pPr>
              <w:spacing w:after="0"/>
              <w:rPr>
                <w:sz w:val="11"/>
                <w:szCs w:val="11"/>
                <w:color w:val="auto"/>
              </w:rPr>
            </w:pPr>
          </w:p>
        </w:tc>
        <w:tc>
          <w:tcPr>
            <w:tcW w:w="6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40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4340" w:type="dxa"/>
            <w:vAlign w:val="bottom"/>
            <w:tcBorders>
              <w:top w:val="single" w:sz="8" w:color="CCEEFF"/>
            </w:tcBorders>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101.INS</w:t>
            </w:r>
          </w:p>
        </w:tc>
        <w:tc>
          <w:tcPr>
            <w:tcW w:w="10100" w:type="dxa"/>
            <w:vAlign w:val="bottom"/>
            <w:tcBorders>
              <w:right w:val="single" w:sz="8" w:color="CCEEFF"/>
            </w:tcBorders>
            <w:gridSpan w:val="8"/>
            <w:shd w:val="clear" w:color="auto" w:fill="CCEEFF"/>
          </w:tcPr>
          <w:p>
            <w:pPr>
              <w:spacing w:after="0"/>
              <w:rPr>
                <w:sz w:val="20"/>
                <w:szCs w:val="20"/>
                <w:color w:val="auto"/>
              </w:rPr>
            </w:pPr>
            <w:r>
              <w:rPr>
                <w:rFonts w:ascii="Arial" w:cs="Arial" w:eastAsia="Arial" w:hAnsi="Arial"/>
                <w:sz w:val="18"/>
                <w:szCs w:val="18"/>
                <w:color w:val="auto"/>
              </w:rPr>
              <w:t>Inline XBRL Instance Document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101.SCH</w:t>
            </w:r>
          </w:p>
        </w:tc>
        <w:tc>
          <w:tcPr>
            <w:tcW w:w="10100" w:type="dxa"/>
            <w:vAlign w:val="bottom"/>
            <w:tcBorders>
              <w:right w:val="single" w:sz="8" w:color="CCEEFF"/>
            </w:tcBorders>
            <w:gridSpan w:val="8"/>
            <w:shd w:val="clear" w:color="auto" w:fill="CCEEFF"/>
          </w:tcPr>
          <w:p>
            <w:pPr>
              <w:spacing w:after="0"/>
              <w:rPr>
                <w:sz w:val="20"/>
                <w:szCs w:val="20"/>
                <w:color w:val="auto"/>
              </w:rPr>
            </w:pPr>
            <w:r>
              <w:rPr>
                <w:rFonts w:ascii="Arial" w:cs="Arial" w:eastAsia="Arial" w:hAnsi="Arial"/>
                <w:sz w:val="18"/>
                <w:szCs w:val="18"/>
                <w:color w:val="auto"/>
              </w:rPr>
              <w:t>Inline XBRL Taxonomy Extension Schema.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101.CAL</w:t>
            </w:r>
          </w:p>
        </w:tc>
        <w:tc>
          <w:tcPr>
            <w:tcW w:w="10100" w:type="dxa"/>
            <w:vAlign w:val="bottom"/>
            <w:tcBorders>
              <w:right w:val="single" w:sz="8" w:color="CCEEFF"/>
            </w:tcBorders>
            <w:gridSpan w:val="8"/>
            <w:shd w:val="clear" w:color="auto" w:fill="CCEEFF"/>
          </w:tcPr>
          <w:p>
            <w:pPr>
              <w:spacing w:after="0"/>
              <w:rPr>
                <w:sz w:val="20"/>
                <w:szCs w:val="20"/>
                <w:color w:val="auto"/>
              </w:rPr>
            </w:pPr>
            <w:r>
              <w:rPr>
                <w:rFonts w:ascii="Arial" w:cs="Arial" w:eastAsia="Arial" w:hAnsi="Arial"/>
                <w:sz w:val="18"/>
                <w:szCs w:val="18"/>
                <w:color w:val="auto"/>
              </w:rPr>
              <w:t>Inline XBRL Taxonomy Extension Calculation Linkbase.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101.DEF</w:t>
            </w:r>
          </w:p>
        </w:tc>
        <w:tc>
          <w:tcPr>
            <w:tcW w:w="10100" w:type="dxa"/>
            <w:vAlign w:val="bottom"/>
            <w:tcBorders>
              <w:right w:val="single" w:sz="8" w:color="CCEEFF"/>
            </w:tcBorders>
            <w:gridSpan w:val="8"/>
            <w:shd w:val="clear" w:color="auto" w:fill="CCEEFF"/>
          </w:tcPr>
          <w:p>
            <w:pPr>
              <w:spacing w:after="0"/>
              <w:rPr>
                <w:sz w:val="20"/>
                <w:szCs w:val="20"/>
                <w:color w:val="auto"/>
              </w:rPr>
            </w:pPr>
            <w:r>
              <w:rPr>
                <w:rFonts w:ascii="Arial" w:cs="Arial" w:eastAsia="Arial" w:hAnsi="Arial"/>
                <w:sz w:val="18"/>
                <w:szCs w:val="18"/>
                <w:color w:val="auto"/>
              </w:rPr>
              <w:t>Inline XBRL Taxonomy Extension Definition Linkbase.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101.LAB</w:t>
            </w:r>
          </w:p>
        </w:tc>
        <w:tc>
          <w:tcPr>
            <w:tcW w:w="10100" w:type="dxa"/>
            <w:vAlign w:val="bottom"/>
            <w:tcBorders>
              <w:right w:val="single" w:sz="8" w:color="CCEEFF"/>
            </w:tcBorders>
            <w:gridSpan w:val="8"/>
            <w:shd w:val="clear" w:color="auto" w:fill="CCEEFF"/>
          </w:tcPr>
          <w:p>
            <w:pPr>
              <w:spacing w:after="0"/>
              <w:rPr>
                <w:sz w:val="20"/>
                <w:szCs w:val="20"/>
                <w:color w:val="auto"/>
              </w:rPr>
            </w:pPr>
            <w:r>
              <w:rPr>
                <w:rFonts w:ascii="Arial" w:cs="Arial" w:eastAsia="Arial" w:hAnsi="Arial"/>
                <w:sz w:val="18"/>
                <w:szCs w:val="18"/>
                <w:color w:val="auto"/>
              </w:rPr>
              <w:t>Inline XBRL Taxonomy Extension Label Linkbase.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101.PRE</w:t>
            </w:r>
          </w:p>
        </w:tc>
        <w:tc>
          <w:tcPr>
            <w:tcW w:w="10100" w:type="dxa"/>
            <w:vAlign w:val="bottom"/>
            <w:tcBorders>
              <w:right w:val="single" w:sz="8" w:color="CCEEFF"/>
            </w:tcBorders>
            <w:gridSpan w:val="8"/>
            <w:shd w:val="clear" w:color="auto" w:fill="CCEEFF"/>
          </w:tcPr>
          <w:p>
            <w:pPr>
              <w:spacing w:after="0"/>
              <w:rPr>
                <w:sz w:val="20"/>
                <w:szCs w:val="20"/>
                <w:color w:val="auto"/>
              </w:rPr>
            </w:pPr>
            <w:r>
              <w:rPr>
                <w:rFonts w:ascii="Arial" w:cs="Arial" w:eastAsia="Arial" w:hAnsi="Arial"/>
                <w:sz w:val="18"/>
                <w:szCs w:val="18"/>
                <w:color w:val="auto"/>
              </w:rPr>
              <w:t>Inline XBRL Taxonomy Extension Presentation Linkbase.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5540" w:right="3540" w:hanging="5532"/>
        <w:spacing w:after="0" w:line="684" w:lineRule="auto"/>
        <w:tabs>
          <w:tab w:leader="none" w:pos="1148"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-739140</wp:posOffset>
            </wp:positionV>
            <wp:extent cx="71323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928"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Creative Realities, Inc.</w:t>
      </w:r>
    </w:p>
    <w:p>
      <w:pPr>
        <w:spacing w:after="0" w:line="225"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August 15,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Richard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Richard Mills</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tab/>
        <w:t>/s/ Will Logan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Will Logan</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CHIEF EXECUTIVE OFFICER CERTIFICATION</w:t>
      </w:r>
    </w:p>
    <w:p>
      <w:pPr>
        <w:spacing w:after="0" w:line="27"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PURSUANT TO EXCHANGE ACT RULE 13a-14(a)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Richard Mills, certify that:</w:t>
      </w:r>
    </w:p>
    <w:p>
      <w:pPr>
        <w:spacing w:after="0" w:line="225"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three and six months ended June 30, 2022, of Creative Realities,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2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15, 2022</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Richard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5628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Richard Mills</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1"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CHIEF FINANCIAL OFFICER CERTIFICATION</w:t>
      </w:r>
    </w:p>
    <w:p>
      <w:pPr>
        <w:spacing w:after="0" w:line="27"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PURSUANT TO EXCHANGE ACT RULE 13a-14(a)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Will Logan, certify that:</w:t>
      </w:r>
    </w:p>
    <w:p>
      <w:pPr>
        <w:spacing w:after="0" w:line="225"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three and six months ended June 30, 2022, of Creative Realities,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2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15, 2022</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Will Logan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5628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Will Logan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1"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Creative Realities, Inc. (the “Company”) on Form 10-Q for the three and six months ended June 30, 2022, as filed with the Securities and Exchange Commission on the date hereof (the “Report”), I, Richard Mills, certify, pursuant to 18 U.S.C. Section 1350, as adopted pursuant to Section 906 of the Sarbanes-Oxley Act of 2002, that:</w:t>
      </w:r>
    </w:p>
    <w:p>
      <w:pPr>
        <w:spacing w:after="0" w:line="184" w:lineRule="exact"/>
        <w:rPr>
          <w:sz w:val="20"/>
          <w:szCs w:val="20"/>
          <w:color w:val="auto"/>
        </w:rPr>
      </w:pPr>
    </w:p>
    <w:p>
      <w:pPr>
        <w:ind w:left="360" w:hanging="352"/>
        <w:spacing w:after="0"/>
        <w:tabs>
          <w:tab w:leader="none" w:pos="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15, 2022</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Richard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5628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Richard Mills</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1"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CHIEF FINANCIAL OFFICER CERTIFICATION</w:t>
      </w:r>
    </w:p>
    <w:p>
      <w:pPr>
        <w:spacing w:after="0" w:line="2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PURSUANT TO 18 U.S.C. SECTION 1350</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Creative Realities, Inc. (the “Company”) on Form 10-Q for the three and six months ended June 30, 2022, as filed with the Securities and Exchange Commission on the date hereof (the “Report”), I, Will Logan, certify, pursuant to 18 U.S.C. Section 1350, as adopted pursuant to Section 906 of the Sarbanes-Oxley Act of 2002, that:</w:t>
      </w:r>
    </w:p>
    <w:p>
      <w:pPr>
        <w:spacing w:after="0" w:line="184" w:lineRule="exact"/>
        <w:rPr>
          <w:sz w:val="20"/>
          <w:szCs w:val="20"/>
          <w:color w:val="auto"/>
        </w:rPr>
      </w:pPr>
    </w:p>
    <w:p>
      <w:pPr>
        <w:ind w:left="360" w:hanging="352"/>
        <w:spacing w:after="0"/>
        <w:tabs>
          <w:tab w:leader="none" w:pos="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15, 2022</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Will Logan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5628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Will Logan</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1"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Creative Realities Reports Second Quarter 2022 Results</w:t>
      </w:r>
    </w:p>
    <w:p>
      <w:pPr>
        <w:spacing w:after="0" w:line="27" w:lineRule="exact"/>
        <w:rPr>
          <w:sz w:val="20"/>
          <w:szCs w:val="20"/>
          <w:color w:val="auto"/>
        </w:rPr>
      </w:pPr>
    </w:p>
    <w:p>
      <w:pPr>
        <w:ind w:left="1960" w:hanging="332"/>
        <w:spacing w:after="0"/>
        <w:tabs>
          <w:tab w:leader="none" w:pos="196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Announces record revenue of $10.9 million</w:t>
      </w:r>
    </w:p>
    <w:p>
      <w:pPr>
        <w:spacing w:after="0" w:line="9" w:lineRule="exact"/>
        <w:rPr>
          <w:rFonts w:ascii="Arial" w:cs="Arial" w:eastAsia="Arial" w:hAnsi="Arial"/>
          <w:sz w:val="18"/>
          <w:szCs w:val="18"/>
          <w:color w:val="auto"/>
        </w:rPr>
      </w:pPr>
    </w:p>
    <w:p>
      <w:pPr>
        <w:ind w:left="1960" w:hanging="332"/>
        <w:spacing w:after="0"/>
        <w:tabs>
          <w:tab w:leader="none" w:pos="196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Announces growth of annual recurring revenue to $14.5 million run-rate</w:t>
      </w:r>
    </w:p>
    <w:p>
      <w:pPr>
        <w:spacing w:after="0" w:line="9" w:lineRule="exact"/>
        <w:rPr>
          <w:rFonts w:ascii="Arial" w:cs="Arial" w:eastAsia="Arial" w:hAnsi="Arial"/>
          <w:sz w:val="18"/>
          <w:szCs w:val="18"/>
          <w:color w:val="auto"/>
        </w:rPr>
      </w:pPr>
    </w:p>
    <w:p>
      <w:pPr>
        <w:ind w:left="1960" w:hanging="332"/>
        <w:spacing w:after="0"/>
        <w:tabs>
          <w:tab w:leader="none" w:pos="196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Reaffirms 2022 Revenue Guidance to Exceed $43 million</w:t>
      </w:r>
    </w:p>
    <w:p>
      <w:pPr>
        <w:spacing w:after="0" w:line="20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LOUISVILLE, KY – August 15, 2022 </w:t>
      </w:r>
      <w:r>
        <w:rPr>
          <w:rFonts w:ascii="Arial" w:cs="Arial" w:eastAsia="Arial" w:hAnsi="Arial"/>
          <w:sz w:val="18"/>
          <w:szCs w:val="18"/>
          <w:color w:val="auto"/>
        </w:rPr>
        <w:t>– Creative Realities, Inc. (“Creative Realities,” “CRI,” or the “Company”) (NASDAQ: CREX, CREXW), a</w:t>
      </w:r>
      <w:r>
        <w:rPr>
          <w:rFonts w:ascii="Arial" w:cs="Arial" w:eastAsia="Arial" w:hAnsi="Arial"/>
          <w:sz w:val="18"/>
          <w:szCs w:val="18"/>
          <w:b w:val="1"/>
          <w:bCs w:val="1"/>
          <w:color w:val="auto"/>
        </w:rPr>
        <w:t xml:space="preserve"> </w:t>
      </w:r>
      <w:r>
        <w:rPr>
          <w:rFonts w:ascii="Arial" w:cs="Arial" w:eastAsia="Arial" w:hAnsi="Arial"/>
          <w:sz w:val="18"/>
          <w:szCs w:val="18"/>
          <w:color w:val="auto"/>
        </w:rPr>
        <w:t>leading provider of digital signage solutions, announced its financial results for the three- and six-months ended June 30, 2022.</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Rick Mills, Chief Executive Officer, commented “I am pleased to report that the Company generated record revenue of $10.9 million for the second quarter of 2022, a $7.6 million, or 233%, improvement over the same period in 2021. Importantly, this represents a $4.7 million increase over the pro forma combination of Creative Realities and Reflect Systems in 2021, indicative of both organic and strategic growth through the merger of the companies. The Company’s run-rate on annual recurring revenue is also at a record level of $14.5 million, again well exceeding the $12.0 million for the combined companies at the end of 2021 and the $13.5 million run-rate reported as of the first quarter of this year. EBITDA and Adjusted EBITDA for the second quarter amounted to $2.8 million and $0.9 million, respectively. We believe these results aptly evidence the strength of the platform created by the combination of Creative Realities and Reflect Systems and demonstrate the Company’s ability to drive value for our shareholders. Our current client base continues to expand and the pipeline for clients appears robust.”</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Mr. Mills continued, “Our primary focus continues to be expanding the number of devices managed via our digital signage software platforms generated SaaS revenue, thereby increasing the value of our Company through our growing annual recurring services revenue. As we grow the software subscription base and continue to integrate Creative Realities and Reflect, we expect to further enhance our profit margins over operating leverage and improve financial results.”</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“With the expansion of our SaaS revenue and the momentum within our pipeline, we reiterate our expected target to generate revenue in excess of $43 million during 2022, which would amount to an organic growth rate in excess of 40% on a pro forma combined company basis, as compared to 2021. We are ahead of schedule on delivering the goal of 25% growth in our annual recurring revenue on a pro forma, combined company basis in 2022.”</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Mr. Mills concluded, “The results for the first and second quarters of 2022 demonstrate sustained organic and inorganic revenue growth. We believe we have reached an inflection point where our incremental revenue growth will have a profound effect on profit. We remain engaged and excited about the platform that we have created and our prospects for ongoing value creation. Creative Realities is uniquely positioned to service enterprise customers with our end-to-end offering and to drive profitability through our increased scale.”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Second Quarter 2022 Financial Overview</w:t>
      </w:r>
    </w:p>
    <w:p>
      <w:pPr>
        <w:spacing w:after="0" w:line="23"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All results herein represent the financial results of Creative Realities, Inc. and include financial results for Reflect Systems, Inc., a wholly owned subsidiary of Creative Realities following their merger on February 17,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i w:val="1"/>
          <w:iCs w:val="1"/>
          <w:color w:val="auto"/>
        </w:rPr>
        <w:t>Key Highlights:</w:t>
      </w:r>
    </w:p>
    <w:p>
      <w:pPr>
        <w:spacing w:after="0" w:line="23"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Year-over-year revenue growth of $7.7 million, or 233%</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Annual Recurring Revenue run-rate exceeds $14.5 million – 7.4% growth since March 31,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gross profit, and gross margin:</w:t>
      </w:r>
    </w:p>
    <w:p>
      <w:pPr>
        <w:spacing w:after="0" w:line="23" w:lineRule="exact"/>
        <w:rPr>
          <w:sz w:val="20"/>
          <w:szCs w:val="20"/>
          <w:color w:val="auto"/>
        </w:rPr>
      </w:pPr>
    </w:p>
    <w:p>
      <w:pPr>
        <w:jc w:val="both"/>
        <w:ind w:left="660" w:hanging="328"/>
        <w:spacing w:after="0" w:line="271"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Revenues for the three months ended June 30, 2022 were $10.9 million, representing an increase of $7.6 million, or 233%, as compared to the same period in 2021 driven in part by the merger with Reflect Systems on February 17, 2022, and the Company’s successful sales activities as a combined company post-merger. During the three months ended June 30, 2021, the pro forma combined results of Creative Realities and Reflect Systems produced $6.3 million in revenues. The current year combined company results for the three months ended June 30, 2022 represent an increase of $4.7 million, or 74%, over the pro forma combined results for the same period in 2021.</w:t>
      </w:r>
    </w:p>
    <w:p>
      <w:pPr>
        <w:spacing w:after="0" w:line="178" w:lineRule="exact"/>
        <w:rPr>
          <w:rFonts w:ascii="Arial" w:cs="Arial" w:eastAsia="Arial" w:hAnsi="Arial"/>
          <w:sz w:val="17"/>
          <w:szCs w:val="17"/>
          <w:color w:val="auto"/>
        </w:rPr>
      </w:pPr>
    </w:p>
    <w:p>
      <w:pPr>
        <w:jc w:val="both"/>
        <w:ind w:left="660" w:hanging="328"/>
        <w:spacing w:after="0" w:line="25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Revenues for the six months ended June 30, 2022 were $21.7 million, representing an increase of $13.4 million, or 162%, as compared to the same period in 2021 driven in part by the merger with Reflect Systems on February 17, 2022, and the Company’s successful sales activities as a combined company post-merger. During the six months ended June 30, 2021, the pro forma combined results of Creative Realities and Reflect Systems produced $13.7 million in revenues. The current year combined company results for the six months ended June 30, 2022 represent an increase of $8.0 million, or 58%, over the pro forma combined results for the same period in 2021. Effectively, the organic growth rate for the combined company through six months ended June 30, 2022 is 58%. This is in-line with our previously stated expectations to produce organic growth of 40% for the full year 2022.</w:t>
      </w:r>
    </w:p>
    <w:p>
      <w:pPr>
        <w:spacing w:after="0" w:line="194"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Hardware revenues were $5.7 million in the three months ended June 30, 2022, representing an increase of $4.4 million, or 337%, as compared to the prior year, driven by the merger with Reflect and continued growth in large scale LED deployments in the quarter by multiple customers.</w:t>
      </w:r>
    </w:p>
    <w:p>
      <w:pPr>
        <w:spacing w:after="0" w:line="123" w:lineRule="exact"/>
        <w:rPr>
          <w:rFonts w:ascii="Arial" w:cs="Arial" w:eastAsia="Arial" w:hAnsi="Arial"/>
          <w:sz w:val="16"/>
          <w:szCs w:val="16"/>
          <w:color w:val="auto"/>
        </w:rPr>
      </w:pPr>
    </w:p>
    <w:p>
      <w:pPr>
        <w:jc w:val="both"/>
        <w:ind w:left="660" w:hanging="328"/>
        <w:spacing w:after="0" w:line="25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Services and other revenues were $5.3 million in the three months ended June 30, 2022, an increase of $3.3 million, or 165%. Managed services revenue, which includes both software-as-a-service (“SaaS”) and help desk technical subscription services, were $3.8 million in the three months ended June 30, 2022 as compared to $1.4 million in the same period in 2021, driven by the merger with Reflect and the continued expansion in our SaaS software subscription base. This represents a year-over-year growth rate of 175% in our higher margin, typically subscription-based, managed services revenue.</w:t>
      </w:r>
    </w:p>
    <w:p>
      <w:pPr>
        <w:spacing w:after="0" w:line="187" w:lineRule="exact"/>
        <w:rPr>
          <w:rFonts w:ascii="Arial" w:cs="Arial" w:eastAsia="Arial" w:hAnsi="Arial"/>
          <w:sz w:val="18"/>
          <w:szCs w:val="18"/>
          <w:color w:val="auto"/>
        </w:rPr>
      </w:pPr>
    </w:p>
    <w:p>
      <w:pPr>
        <w:jc w:val="both"/>
        <w:ind w:left="660" w:hanging="328"/>
        <w:spacing w:after="0" w:line="289"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Gross profit increased by $2.8 million, or 147% during the three months ended June 30, 2022 as compared to the same period in 2021 driven by an increase in revenue in part as a result of the merger with Reflect, but offset by a reduction in gross profit margin. Gross profit margin decreased to 42.7% from 57.2% driven primarily by a shift in revenue mix to 52% hardware during the three months ended June 30, 2022 from 40% hardware during the three months ended June 30, 2021 related to several material customer hardware rollouts active during the first half of 2022. We expect gross profit margin to stabilize as we move into the second half of 2022 and beyond, as was the case from first quarter to second quarter 2022. The gross profit margin increased for the three months ended June 30, 2022 to 42.7% from 36.2% in the three months ended March 31, 2022, which experienced significant short-term significant pressure driven by a single, large-scale/hardware-heavy deployment. We continue to view the long tail of hardware revenue as a leading indicator of future SaaS and other services revenue. We believe the gross profit margin for the three months ended June 30, 2022 to be more representative of our normalized gross profit margins.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i w:val="1"/>
          <w:iCs w:val="1"/>
          <w:color w:val="auto"/>
        </w:rPr>
        <w:t>Operating expenses:</w:t>
      </w:r>
    </w:p>
    <w:p>
      <w:pPr>
        <w:spacing w:after="0" w:line="23" w:lineRule="exact"/>
        <w:rPr>
          <w:sz w:val="20"/>
          <w:szCs w:val="20"/>
          <w:color w:val="auto"/>
        </w:rPr>
      </w:pPr>
    </w:p>
    <w:p>
      <w:pPr>
        <w:jc w:val="both"/>
        <w:ind w:left="660" w:hanging="328"/>
        <w:spacing w:after="0" w:line="267"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Sales and marketing expenses generally include the salaries, taxes, and benefits of our sales and marketing personnel, as well as trade show activities, travel, and other related sales and marketing costs. Sales and marketing expenses increased by $1.0 million, or 597%, driven primarily by (i) the inclusion in the prior year of a benefit of $0.2 million related Employee Retention Credits (“ERC”) that did not recur in the current year, (ii) the merger with Reflect on February 17, 2022, and (iii) the Company’s enhanced investments into sales and marketing activities post-COVID-19 pandemic as related limitations on such activities have eased. Excluding the impact of the ERC, the increase was $0.8 million, or 371%. Immediately following the merger with Reflect, the Company integrated the sales and marketing functions and did not disaggregate expenses between the two legacy companies. Following the Merger and through integration activities, the Company adopted certain tools, technology, and processes – particularly with respect to lead generation and brand marketing – that were underutilized historically by the Company. Additionally, the Company engaged an investor relations firm and has increased investor relations activities, including conferences and presentations. As a result, we expect the sales and marketing expenses of the Company for the three months ended June 30, 2022 to adequately reflect the pace for expenses in these areas in future periods.</w:t>
      </w:r>
    </w:p>
    <w:p>
      <w:pPr>
        <w:spacing w:after="0" w:line="185" w:lineRule="exact"/>
        <w:rPr>
          <w:rFonts w:ascii="Arial" w:cs="Arial" w:eastAsia="Arial" w:hAnsi="Arial"/>
          <w:sz w:val="17"/>
          <w:szCs w:val="17"/>
          <w:color w:val="auto"/>
        </w:rPr>
      </w:pPr>
    </w:p>
    <w:p>
      <w:pPr>
        <w:jc w:val="both"/>
        <w:ind w:left="660" w:hanging="328"/>
        <w:spacing w:after="0" w:line="291"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Research and development expenses increased $0.4 million, or 621% in 2022, driven primarily by (i) the inclusion in the prior year of a benefit of $0.1 million related to ERC, which did not recur in the current year, and (ii) the merger with Reflect on February 17, 2022. Excluding the impact of the ERC, the increase was $0.2 million, or 367%. Through the merger with Reflect, we acquired a fully staffed, experienced software development team and elected to keep that team in-tact, particularly given employment market conditions with respect to talented software engineers. We have integrated the pre-existing CRI development team with the acquired team and have experienced enhanced speed to market on new feature and functionality development activities from increasing this resource pool. We expect this level of expense during the three months ended June 30, 2022 to be representative of our future operations as we continue to develop and enhance our current and future product set.</w:t>
      </w:r>
    </w:p>
    <w:p>
      <w:pPr>
        <w:spacing w:after="0" w:line="166" w:lineRule="exact"/>
        <w:rPr>
          <w:rFonts w:ascii="Arial" w:cs="Arial" w:eastAsia="Arial" w:hAnsi="Arial"/>
          <w:sz w:val="16"/>
          <w:szCs w:val="16"/>
          <w:color w:val="auto"/>
        </w:rPr>
      </w:pPr>
    </w:p>
    <w:p>
      <w:pPr>
        <w:jc w:val="both"/>
        <w:ind w:left="660" w:hanging="328"/>
        <w:spacing w:after="0" w:line="255"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 and administrative expenses increased $0.8 million thousand, or 49%, driven primarily by (i) the inclusion in the prior year of a benefit of $0.5 million related ERC which did not recur in the current year, and (ii) increased headcount and operations as a result of the merger with Reflect on February 17, 2022. Excluding the impact of the ERC, the increase was $0.3 million, or 19.8%. While the Company anticipates carrying higher general and administrative expenses moving forward as compared to its history as a result of the merger with Reflect, our integration activities include numerous projects targeted at controlling further expansion of these expenses from the level realized in the three months ended June 30, 2022.</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loss, net income, and EBITDA:</w:t>
      </w:r>
    </w:p>
    <w:p>
      <w:pPr>
        <w:spacing w:after="0" w:line="23" w:lineRule="exact"/>
        <w:rPr>
          <w:sz w:val="20"/>
          <w:szCs w:val="20"/>
          <w:color w:val="auto"/>
        </w:rPr>
      </w:pPr>
    </w:p>
    <w:p>
      <w:pPr>
        <w:ind w:left="660" w:hanging="328"/>
        <w:spacing w:after="0" w:line="26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Operating income was $30 thousand during the three months ended June 30, 2022, inclusive of $0.4 million in non-cash charges for both amortization of intangible assets and non-cash employee and director stock compensation.</w:t>
      </w:r>
    </w:p>
    <w:p>
      <w:pPr>
        <w:spacing w:after="0" w:line="18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Net income was $1.2 million during the three months ended June 30, 2022, which included:</w:t>
      </w:r>
    </w:p>
    <w:p>
      <w:pPr>
        <w:spacing w:after="0" w:line="23" w:lineRule="exact"/>
        <w:rPr>
          <w:sz w:val="20"/>
          <w:szCs w:val="20"/>
          <w:color w:val="auto"/>
        </w:rPr>
      </w:pPr>
    </w:p>
    <w:p>
      <w:pPr>
        <w:ind w:left="1300" w:hanging="320"/>
        <w:spacing w:after="0"/>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$2.4 million gain on marking outstanding liability warrants to fair value (prior to their conversion to equity warrants)</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$0.3 million charge related to the amendment of outstanding warrants through extension of useful life; and</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$0.8 million of interest expense.</w:t>
      </w:r>
    </w:p>
    <w:p>
      <w:pPr>
        <w:spacing w:after="0" w:line="21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EBITDA was $2.8 million and Adjusted EBITDA was $0.9 million for the three months ended June 30, 20222. Adjusted EBITDA margin was 8.3% during this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A reconciliation of the GAAP-basis net income/(loss) to Adjusted EBITDA is provided in the table at the end of this press release.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Details</w:t>
      </w:r>
    </w:p>
    <w:p>
      <w:pPr>
        <w:spacing w:after="0" w:line="27"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 Company will host a conference call to review the results and provide additional commentary about the Company’s recent performance and the Reflect merger, which is scheduled for Tuesday, August 16, 2022 at 9:00 am Eastern Time.</w:t>
      </w:r>
    </w:p>
    <w:p>
      <w:pPr>
        <w:spacing w:after="0" w:line="18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Prior to the call, participants should register at https://bit.ly/criearnings2022Q2. Once registered, participants can use the dial-in information provided in the registration email to listen to the Company’s prepared remarks and participate in the live question and answer session. An archived edition of the conference call will also be posted on our website at www.cri.com later that same day and will remain available to interested parties via the same link for one year.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Creative Realities, Inc.</w:t>
      </w:r>
    </w:p>
    <w:p>
      <w:pPr>
        <w:spacing w:after="0" w:line="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Creative Realities helps clients use place-based digital media to achieve business objectives such as increased revenue, enhanced customer experiences, and improved productivity. The company designs, develops and deploys digital signage experiences for enterprise-level networks, and is actively providing recurring SaaS and support services across diverse vertical markets, including but not limited to retail, automotive, digital-out-of-home (DOOH) advertising networks, convenience stores, foodservice/QSR, gaming, theater, and stadium venues.</w:t>
      </w:r>
    </w:p>
    <w:p>
      <w:pPr>
        <w:spacing w:after="0" w:line="17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With its recent acquisition of Reflect Systems, Inc., a leading provider of digital signage software platforms, the company is poised to extend its product and service offering and accelerate growth in SaaS revenue. While Reflect provided a broad range of digital signage solutions, Reflect’s flagship products are the market-leading ReflectView digital signage platform and Reflect AdLogic ad management platform. ReflectView is the industry’s most comprehensive, scalable, enterprise-grade digital signage platform, powering enterprise customer networks. Meanwhile, Reflect AdLogic has become the benchmark for digital signage powered ad networks, delivering nearly 50 million ads daily. The acquisition of Reflect also brought to the Company a media sales division with the expertise and relationships to help any digital signage venue owner develop and execute a monetization plan for their network.</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combined company has operations across North America with active installations in more than 10 countries.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Measures and Operating Measures</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Creative Realities, Inc. prepares its consolidated financial statements in accordance with United States generally accepted accounting principles (“GAAP”). In addition to disclosing financial results prepared in accordance with GAAP, the Company discloses information regarding “EBITDA” and “Adjusted EBITDA.” CRI defines “EBITDA” as earnings before interest, income taxes, depreciation and amortization of intangibles. CRI defines “Adjusted EBITDA” as EBITDA excluding stock-based compensation, fair value adjustments and both cash and non-cash non-recurring gains and charges. EBITDA and Adjusted EBITDA are not measures of performance defined in accordance with GAAP. However, EBITDA and Adjusted EBITDA are used internally in planning and evaluating the Company’s operating performance. Accordingly, management believes that disclosure of these metrics offers investors, bankers and other stakeholders an additional view of the Company’s operations that, when coupled with the GAAP results, provides a more complete understanding of the Company’s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2" w:name="page53"/>
    <w:bookmarkEnd w:id="52"/>
    <w:p>
      <w:pPr>
        <w:jc w:val="both"/>
        <w:spacing w:after="0" w:line="279" w:lineRule="auto"/>
        <w:rPr>
          <w:sz w:val="20"/>
          <w:szCs w:val="20"/>
          <w:color w:val="auto"/>
        </w:rPr>
      </w:pPr>
      <w:r>
        <w:rPr>
          <w:rFonts w:ascii="Arial" w:cs="Arial" w:eastAsia="Arial" w:hAnsi="Arial"/>
          <w:sz w:val="17"/>
          <w:szCs w:val="17"/>
          <w:color w:val="auto"/>
        </w:rPr>
        <w:t>EBITDA and Adjusted EBITDA should not be considered as an alternative to net income/(loss) or to net cash used in operating activities as measures of operating results or liquidity. Our calculation of EBITDA and Adjusted EBITDA may not be comparable to similarly titled measures used by other companies, and the measures exclude financial information that some may consider important in evaluating the Company’s performance. A reconciliation of GAAP net income/(loss) to EBITDA and Adjusted EBITDA is included in the accompanying financial schedules.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“Annual recurring revenue,” or “ARR,” represents the annualized revenue run rate of our subscription (1) software-as-a-service (“SaaS”) contracts, (2) maintenance and support of perpetual license contracts, and (3) content management service contracts at the end of the final calendar month included in a reporting period, assuming these contracts are renewed on their existing terms for customers that are under subscription contracts with us. We believe that ARR is a key operating metric to measure our business because it is driven by our ability to acquire new subscription customers and to maintain and expand our relationship with existing subscription customers. ARR should be viewed independently of revenue and deferred revenue as ARR is a performance metric and is not intended to be combined with any of these items.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further information, please refer to Creative Realities, Inc.’s filings available online at www.sec.gov, including its Annual Report on Form 10-K filed with the Securities and Exchange Commission on March 22,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on Forward-Looking Statements</w:t>
      </w:r>
    </w:p>
    <w:p>
      <w:pPr>
        <w:spacing w:after="0" w:line="2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This press release contains "forward-looking statements" within the meaning of Section 27A of the Securities Act of 1933, as amended, Section 21E of the Securities Exchange Act of 1934, as amended, and the Private Securities Litigation Reform Act of 1995, and includes, among other things, discussions of our business strategies, product releases, future operations and capital resources. Words such as "estimates," "projected," "expects," "anticipates," "forecasts," "plans," "intends," "believes," "seeks," "may," "will," "should," "future," "propose" and variations of these words or similar expressions (or the negative versions of such words or expressions) are intended to identify forward-looking statements. Forward-looking statements are not guarantees of future performance, conditions or results. They are based on the opinions, estimates and beliefs of management as of the date such statements are made, and they are subject to known and unknown risks, uncertainties, assumptions and other factors, many of which are outside of our control, that may cause the actual results, level of activity, performance or achievements to be materially different from those expressed or implied by such forward-looking statements. Some of these risks are discussed in the “Risk Factors” section contained in Item 1A of our Annual Report on Form 10-K for the year ended December 31, 2021 and the Company’s subsequent filings with the U.S. Securities and Exchange Commission. Important factors, among others, that may affect actual results or outcomes include: our ability to effectively integrate Reflect’s business operations, our strategy for customer retention, growth, product development, market position, financial results and reserves, our ability to execute on our business plan, our ability to retain key personnel, potential litigation, supply chain shortages, and general economic and market conditions impacting demand for our products and services, including those as a result of the COVID-19 pandemic. Readers should not place undue reliance upon any forward-looking statements. We assume no obligation to update or revise the forward-looking statements, whether as a result of new information, future events or otherwise, except as required by law.</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Christina Davies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cdavies@ideagrove.com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ir@cri.com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https://investors.cri.com/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RECONCILIATION OF GAAP NET LOSS TO ADJUSTED EBITDA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unaudited)</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Creative Realities, Inc. prepares its consolidated financial statements in accordance with United States generally accepted accounting principles (“GAAP”).</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 addition to disclosing financial results prepared in accordance with GAAP, the Company discloses information regarding “EBITDA” and “Adjusted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EBITDA.” CRI defines “EBITDA” as earnings before interest, income taxes, depreciation and amortization of intangibles. CRI defines “Adjusted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EBITDA” as EBITDA excluding stock-based compensation, fair value adjustments and both cash and non-cash non-recurring gains and charges.</w:t>
      </w:r>
    </w:p>
    <w:p>
      <w:pPr>
        <w:spacing w:after="0" w:line="22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EBITDA and Adjusted EBITDA are non-GAAP financial measures and should not be considered as a substitute for net income (loss), operating income (loss) or any other performance measure derived in accordance with United States generally accepted accounting principles (“GAAP”) or as an alternative to net cash provided by operating activities as a measure of CRI’s profitability or liquidity. CRI’s management believes EBITDA and Adjusted EBITDA are useful financial metrics because they allow external users of CRI’s financial statements, such as industry analysts, investors, lenders and rating agencies, to more effectively evaluate CRI’s operating performance, compare the results of its operations from period to period and against CRI’s peers without regard to CRI’s financing methods, hedging positions or capital structure and because it highlights trends in CRI’s business that may not otherwise be apparent when relying solely on GAAP measures. CRI also presents EBITDA and Adjusted EBITDA because it believes EBITDA and Adjusted EBITDA are important supplemental measures of its performance that are frequently used by others in evaluating companies in its industry. Because EBITDA and Adjusted EBITDA exclude some, but not all, items that affect net income (loss) and may vary among companies, the EBITDA and Adjusted EBITDA CRI presents may not be comparable to similarly titled measures of other companies.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a reconciliation of EBITDA and Adjusted EBITDA from net loss, CRI’s most directly comparable financial measure calculated and presented in accordance with GAAP.</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ind w:right="121"/>
              <w:spacing w:after="0"/>
              <w:rPr>
                <w:sz w:val="20"/>
                <w:szCs w:val="20"/>
                <w:color w:val="auto"/>
              </w:rPr>
            </w:pPr>
            <w:r>
              <w:rPr>
                <w:rFonts w:ascii="Arial" w:cs="Arial" w:eastAsia="Arial" w:hAnsi="Arial"/>
                <w:sz w:val="18"/>
                <w:szCs w:val="18"/>
                <w:b w:val="1"/>
                <w:bCs w:val="1"/>
                <w:color w:val="auto"/>
                <w:w w:val="93"/>
              </w:rPr>
              <w:t>Quarters Ended</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520"/>
              <w:spacing w:after="0" w:line="198" w:lineRule="exact"/>
              <w:rPr>
                <w:sz w:val="20"/>
                <w:szCs w:val="20"/>
                <w:color w:val="auto"/>
              </w:rPr>
            </w:pPr>
            <w:r>
              <w:rPr>
                <w:rFonts w:ascii="Arial" w:cs="Arial" w:eastAsia="Arial" w:hAnsi="Arial"/>
                <w:sz w:val="18"/>
                <w:szCs w:val="18"/>
                <w:b w:val="1"/>
                <w:bCs w:val="1"/>
                <w:color w:val="auto"/>
                <w:w w:val="98"/>
              </w:rPr>
              <w:t>June 30</w:t>
            </w:r>
          </w:p>
        </w:tc>
        <w:tc>
          <w:tcPr>
            <w:tcW w:w="140" w:type="dxa"/>
            <w:vAlign w:val="bottom"/>
          </w:tcPr>
          <w:p>
            <w:pPr>
              <w:spacing w:after="0"/>
              <w:rPr>
                <w:sz w:val="17"/>
                <w:szCs w:val="17"/>
                <w:color w:val="auto"/>
              </w:rPr>
            </w:pPr>
          </w:p>
        </w:tc>
        <w:tc>
          <w:tcPr>
            <w:tcW w:w="1080" w:type="dxa"/>
            <w:vAlign w:val="bottom"/>
            <w:gridSpan w:val="2"/>
          </w:tcPr>
          <w:p>
            <w:pPr>
              <w:jc w:val="right"/>
              <w:ind w:right="280"/>
              <w:spacing w:after="0" w:line="198" w:lineRule="exact"/>
              <w:rPr>
                <w:sz w:val="20"/>
                <w:szCs w:val="20"/>
                <w:color w:val="auto"/>
              </w:rPr>
            </w:pPr>
            <w:r>
              <w:rPr>
                <w:rFonts w:ascii="Arial" w:cs="Arial" w:eastAsia="Arial" w:hAnsi="Arial"/>
                <w:sz w:val="18"/>
                <w:szCs w:val="18"/>
                <w:b w:val="1"/>
                <w:bCs w:val="1"/>
                <w:color w:val="auto"/>
                <w:w w:val="99"/>
              </w:rPr>
              <w:t>March 31</w:t>
            </w:r>
          </w:p>
        </w:tc>
        <w:tc>
          <w:tcPr>
            <w:tcW w:w="160" w:type="dxa"/>
            <w:vAlign w:val="bottom"/>
          </w:tcPr>
          <w:p>
            <w:pPr>
              <w:spacing w:after="0"/>
              <w:rPr>
                <w:sz w:val="17"/>
                <w:szCs w:val="17"/>
                <w:color w:val="auto"/>
              </w:rPr>
            </w:pPr>
          </w:p>
        </w:tc>
        <w:tc>
          <w:tcPr>
            <w:tcW w:w="1320" w:type="dxa"/>
            <w:vAlign w:val="bottom"/>
            <w:gridSpan w:val="3"/>
          </w:tcPr>
          <w:p>
            <w:pPr>
              <w:jc w:val="right"/>
              <w:ind w:right="181"/>
              <w:spacing w:after="0" w:line="198" w:lineRule="exact"/>
              <w:rPr>
                <w:sz w:val="20"/>
                <w:szCs w:val="20"/>
                <w:color w:val="auto"/>
              </w:rPr>
            </w:pPr>
            <w:r>
              <w:rPr>
                <w:rFonts w:ascii="Arial" w:cs="Arial" w:eastAsia="Arial" w:hAnsi="Arial"/>
                <w:sz w:val="18"/>
                <w:szCs w:val="18"/>
                <w:b w:val="1"/>
                <w:bCs w:val="1"/>
                <w:color w:val="auto"/>
                <w:w w:val="92"/>
              </w:rPr>
              <w:t>December 31</w:t>
            </w:r>
          </w:p>
        </w:tc>
        <w:tc>
          <w:tcPr>
            <w:tcW w:w="1320" w:type="dxa"/>
            <w:vAlign w:val="bottom"/>
            <w:gridSpan w:val="3"/>
          </w:tcPr>
          <w:p>
            <w:pPr>
              <w:jc w:val="right"/>
              <w:ind w:right="240"/>
              <w:spacing w:after="0" w:line="198" w:lineRule="exact"/>
              <w:rPr>
                <w:sz w:val="20"/>
                <w:szCs w:val="20"/>
                <w:color w:val="auto"/>
              </w:rPr>
            </w:pPr>
            <w:r>
              <w:rPr>
                <w:rFonts w:ascii="Arial" w:cs="Arial" w:eastAsia="Arial" w:hAnsi="Arial"/>
                <w:sz w:val="18"/>
                <w:szCs w:val="18"/>
                <w:b w:val="1"/>
                <w:bCs w:val="1"/>
                <w:color w:val="auto"/>
                <w:w w:val="89"/>
              </w:rPr>
              <w:t>September 30</w:t>
            </w:r>
          </w:p>
        </w:tc>
        <w:tc>
          <w:tcPr>
            <w:tcW w:w="180" w:type="dxa"/>
            <w:vAlign w:val="bottom"/>
          </w:tcPr>
          <w:p>
            <w:pPr>
              <w:spacing w:after="0"/>
              <w:rPr>
                <w:sz w:val="17"/>
                <w:szCs w:val="17"/>
                <w:color w:val="auto"/>
              </w:rPr>
            </w:pPr>
          </w:p>
        </w:tc>
        <w:tc>
          <w:tcPr>
            <w:tcW w:w="940" w:type="dxa"/>
            <w:vAlign w:val="bottom"/>
          </w:tcPr>
          <w:p>
            <w:pPr>
              <w:jc w:val="right"/>
              <w:ind w:right="170"/>
              <w:spacing w:after="0" w:line="198" w:lineRule="exact"/>
              <w:rPr>
                <w:sz w:val="20"/>
                <w:szCs w:val="20"/>
                <w:color w:val="auto"/>
              </w:rPr>
            </w:pPr>
            <w:r>
              <w:rPr>
                <w:rFonts w:ascii="Arial" w:cs="Arial" w:eastAsia="Arial" w:hAnsi="Arial"/>
                <w:sz w:val="18"/>
                <w:szCs w:val="18"/>
                <w:b w:val="1"/>
                <w:bCs w:val="1"/>
                <w:color w:val="auto"/>
                <w:w w:val="98"/>
              </w:rPr>
              <w:t>June 30</w:t>
            </w:r>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Quarters ended</w:t>
            </w:r>
          </w:p>
        </w:tc>
        <w:tc>
          <w:tcPr>
            <w:tcW w:w="180" w:type="dxa"/>
            <w:vAlign w:val="bottom"/>
          </w:tcPr>
          <w:p>
            <w:pPr>
              <w:spacing w:after="0"/>
              <w:rPr>
                <w:sz w:val="20"/>
                <w:szCs w:val="20"/>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GAAP net income (loss)</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2,502</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(1,722)</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Amortization of debt discount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Other interest, net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390</w:t>
            </w: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268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160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158</w:t>
            </w: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Depreciation/amortization:</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Amortization of intangible assets</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431</w:t>
            </w: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680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302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320</w:t>
            </w: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Amortization of employee share-based awards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324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329</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Depreciation of property, equipment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expense/(benefit)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8"/>
                <w:szCs w:val="18"/>
                <w:color w:val="auto"/>
              </w:rPr>
              <w:t>EBITDA</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620" w:type="dxa"/>
            <w:vAlign w:val="bottom"/>
            <w:gridSpan w:val="2"/>
            <w:vMerge w:val="continue"/>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2,849</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(867</w:t>
            </w:r>
          </w:p>
        </w:tc>
        <w:tc>
          <w:tcPr>
            <w:tcW w:w="220" w:type="dxa"/>
            <w:vAlign w:val="bottom"/>
            <w:vMerge w:val="continue"/>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521</w:t>
            </w:r>
          </w:p>
        </w:tc>
        <w:tc>
          <w:tcPr>
            <w:tcW w:w="18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1,887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Adjustments</w:t>
            </w: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(Gain)/loss on fair value of warrant liability</w:t>
            </w: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(2,433)</w:t>
            </w:r>
          </w:p>
        </w:tc>
        <w:tc>
          <w:tcPr>
            <w:tcW w:w="14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(5,469)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(Gain)/loss on settlement of obligations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(256)</w:t>
            </w:r>
          </w:p>
        </w:tc>
        <w:tc>
          <w:tcPr>
            <w:tcW w:w="1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(1,628)</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(Gain)/loss on debt waiver consent</w:t>
            </w:r>
          </w:p>
        </w:tc>
        <w:tc>
          <w:tcPr>
            <w:tcW w:w="18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1,212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(Gain)/loss on warrant amendment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345</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(Gain)/loss on fair value of equity guarantee</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73</w:t>
            </w:r>
          </w:p>
        </w:tc>
        <w:tc>
          <w:tcPr>
            <w:tcW w:w="1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Deal and transaction expenses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518</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Other income</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Stock-based compensation – Director grants</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318</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8"/>
                <w:szCs w:val="18"/>
                <w:color w:val="auto"/>
              </w:rPr>
              <w:t>Adjusted EBITDA</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20" w:type="dxa"/>
            <w:vAlign w:val="bottom"/>
            <w:gridSpan w:val="2"/>
            <w:vMerge w:val="continue"/>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933</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vMerge w:val="continue"/>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292</w:t>
            </w:r>
          </w:p>
        </w:tc>
        <w:tc>
          <w:tcPr>
            <w:tcW w:w="18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286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4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94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lvl w:ilvl="1">
      <w:lvlJc w:val="left"/>
      <w:lvlText w:val="☒"/>
      <w:numFmt w:val="bullet"/>
      <w:start w:val="1"/>
    </w:lvl>
  </w:abstractNum>
  <w:abstractNum w:abstractNumId="1">
    <w:nsid w:val="6B68079A"/>
    <w:multiLevelType w:val="hybridMultilevel"/>
    <w:lvl w:ilvl="0">
      <w:lvlJc w:val="left"/>
      <w:lvlText w:val="(%1)"/>
      <w:numFmt w:val="lowerRoman"/>
      <w:start w:val="2"/>
    </w:lvl>
  </w:abstractNum>
  <w:abstractNum w:abstractNumId="2">
    <w:nsid w:val="4E6AFB66"/>
    <w:multiLevelType w:val="hybridMultilevel"/>
    <w:lvl w:ilvl="0">
      <w:lvlJc w:val="left"/>
      <w:lvlText w:val="(%1)"/>
      <w:numFmt w:val="lowerRoman"/>
      <w:start w:val="2"/>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1)"/>
      <w:numFmt w:val="decimal"/>
      <w:start w:val="1"/>
    </w:lvl>
  </w:abstractNum>
  <w:abstractNum w:abstractNumId="7">
    <w:nsid w:val="7C83E458"/>
    <w:multiLevelType w:val="hybridMultilevel"/>
    <w:lvl w:ilvl="0">
      <w:lvlJc w:val="left"/>
      <w:lvlText w:val="(%1)"/>
      <w:numFmt w:val="lowerLetter"/>
      <w:start w:val="9"/>
    </w:lvl>
    <w:lvl w:ilvl="1">
      <w:lvlJc w:val="left"/>
      <w:lvlText w:val="(%2)"/>
      <w:numFmt w:val="lowerLetter"/>
      <w:start w:val="1"/>
    </w:lvl>
  </w:abstractNum>
  <w:abstractNum w:abstractNumId="8">
    <w:nsid w:val="257130A3"/>
    <w:multiLevelType w:val="hybridMultilevel"/>
    <w:lvl w:ilvl="0">
      <w:lvlJc w:val="left"/>
      <w:lvlText w:val="(%1)"/>
      <w:numFmt w:val="lowerRoman"/>
      <w:start w:val="3"/>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lvl w:ilvl="1">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1"/>
      <w:numFmt w:val="decimal"/>
      <w:start w:val="104"/>
    </w:lvl>
  </w:abstractNum>
  <w:abstractNum w:abstractNumId="20">
    <w:nsid w:val="4353D0CD"/>
    <w:multiLevelType w:val="hybridMultilevel"/>
    <w:lvl w:ilvl="0">
      <w:lvlJc w:val="left"/>
      <w:lvlText w:val="%1."/>
      <w:numFmt w:val="decimal"/>
      <w:start w:val="1"/>
    </w:lvl>
    <w:lvl w:ilvl="1">
      <w:lvlJc w:val="left"/>
      <w:lvlText w:val="%2)"/>
      <w:numFmt w:val="lowerLetter"/>
      <w:start w:val="1"/>
    </w:lvl>
  </w:abstractNum>
  <w:abstractNum w:abstractNumId="21">
    <w:nsid w:val="B03E0C6"/>
    <w:multiLevelType w:val="hybridMultilevel"/>
    <w:lvl w:ilvl="0">
      <w:lvlJc w:val="left"/>
      <w:lvlText w:val="%1."/>
      <w:numFmt w:val="decimal"/>
      <w:start w:val="1"/>
    </w:lvl>
    <w:lvl w:ilvl="1">
      <w:lvlJc w:val="left"/>
      <w:lvlText w:val="%2)"/>
      <w:numFmt w:val="lowerLetter"/>
      <w:start w:val="1"/>
    </w:lvl>
  </w:abstractNum>
  <w:abstractNum w:abstractNumId="22">
    <w:nsid w:val="189A769B"/>
    <w:multiLevelType w:val="hybridMultilevel"/>
    <w:lvl w:ilvl="0">
      <w:lvlJc w:val="left"/>
      <w:lvlText w:val="%1."/>
      <w:numFmt w:val="decimal"/>
      <w:start w:val="1"/>
    </w:lvl>
  </w:abstractNum>
  <w:abstractNum w:abstractNumId="23">
    <w:nsid w:val="54E49EB4"/>
    <w:multiLevelType w:val="hybridMultilevel"/>
    <w:lvl w:ilvl="0">
      <w:lvlJc w:val="left"/>
      <w:lvlText w:val="%1."/>
      <w:numFmt w:val="decimal"/>
      <w:start w:val="1"/>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
      <w:numFmt w:val="bullet"/>
      <w:start w:val="1"/>
    </w:lvl>
  </w:abstractNum>
  <w:abstractNum w:abstractNumId="27">
    <w:nsid w:val="2901D82"/>
    <w:multiLevelType w:val="hybridMultilevel"/>
    <w:lvl w:ilvl="0">
      <w:lvlJc w:val="left"/>
      <w:lvlText w:val="·"/>
      <w:numFmt w:val="bullet"/>
      <w:start w:val="1"/>
    </w:lvl>
  </w:abstractNum>
  <w:abstractNum w:abstractNumId="28">
    <w:nsid w:val="3A95F874"/>
    <w:multiLevelType w:val="hybridMultilevel"/>
    <w:lvl w:ilvl="0">
      <w:lvlJc w:val="left"/>
      <w:lvlText w:val="·"/>
      <w:numFmt w:val="bullet"/>
      <w:start w:val="1"/>
    </w:lvl>
  </w:abstractNum>
  <w:abstractNum w:abstractNumId="29">
    <w:nsid w:val="8138641"/>
    <w:multiLevelType w:val="hybridMultilevel"/>
    <w:lvl w:ilvl="0">
      <w:lvlJc w:val="left"/>
      <w:lvlText w:val="·"/>
      <w:numFmt w:val="bullet"/>
      <w:start w:val="1"/>
    </w:lvl>
    <w:lvl w:ilvl="1">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62" Type="http://schemas.openxmlformats.org/officeDocument/2006/relationships/hyperlink" Target="http://www.sec.gov/Archives/edgar/data/1356093/000121390022033599/ea161551ex10-1_creativereal.htm" TargetMode="External"/><Relationship Id="rId63" Type="http://schemas.openxmlformats.org/officeDocument/2006/relationships/hyperlink" Target="http://www.sec.gov/Archives/edgar/data/1356093/000121390022033599/ea161551ex10-2_creativereal.htm" TargetMode="External"/><Relationship Id="rId64" Type="http://schemas.openxmlformats.org/officeDocument/2006/relationships/hyperlink" Target="http://www.sec.gov/Archives/edgar/data/1356093/000121390022033599/ea161551ex10-3_creativereal.htm" TargetMode="External"/><Relationship Id="rId65" Type="http://schemas.openxmlformats.org/officeDocument/2006/relationships/hyperlink" Target="http://www.sec.gov/Archives/edgar/data/1356093/000121390022033599/ea161551ex10-4_creativerea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2022-08-15T18:10:19Z</dcterms:created>
  <dcterms:modified xsi:type="dcterms:W3CDTF">2022-08-15T18:10:19Z</dcterms:modified>
</cp:coreProperties>
</file>