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25" w:lineRule="exact"/>
        <w:rPr>
          <w:sz w:val="24"/>
          <w:szCs w:val="24"/>
          <w:color w:val="auto"/>
        </w:rPr>
      </w:pPr>
    </w:p>
    <w:p>
      <w:pPr>
        <w:ind w:left="3780" w:right="900" w:hanging="2908"/>
        <w:spacing w:after="0" w:line="503" w:lineRule="auto"/>
        <w:tabs>
          <w:tab w:leader="none" w:pos="1191"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QUARTERLY REPORT PURSUANT TO SECTION 13 OR 15(d) OF THE SECURITIES EXCHANGE ACT OF 1934 </w:t>
      </w:r>
      <w:r>
        <w:rPr>
          <w:rFonts w:ascii="Times New Roman" w:cs="Times New Roman" w:eastAsia="Times New Roman" w:hAnsi="Times New Roman"/>
          <w:sz w:val="18"/>
          <w:szCs w:val="18"/>
          <w:color w:val="auto"/>
        </w:rPr>
        <w:t>For the quarterly period ended September 30, 2024</w:t>
      </w: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221" w:lineRule="exact"/>
        <w:rPr>
          <w:sz w:val="24"/>
          <w:szCs w:val="24"/>
          <w:color w:val="auto"/>
        </w:rPr>
      </w:pPr>
    </w:p>
    <w:p>
      <w:pPr>
        <w:ind w:left="3420" w:right="880" w:hanging="2548"/>
        <w:spacing w:after="0" w:line="503" w:lineRule="auto"/>
        <w:tabs>
          <w:tab w:leader="none" w:pos="1188"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TRANSITION REPORT PURSUANT TO SECTION 13 OR 15(d) OF THE SECURITIES EXCHANGE ACT OF 1934 </w:t>
      </w:r>
      <w:r>
        <w:rPr>
          <w:rFonts w:ascii="Times New Roman" w:cs="Times New Roman" w:eastAsia="Times New Roman" w:hAnsi="Times New Roman"/>
          <w:sz w:val="18"/>
          <w:szCs w:val="18"/>
          <w:color w:val="auto"/>
        </w:rPr>
        <w:t>For the transition period from ___________ to ___________</w:t>
      </w:r>
    </w:p>
    <w:p>
      <w:pPr>
        <w:ind w:left="428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Commission File Number 001-33169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2336800</wp:posOffset>
            </wp:positionH>
            <wp:positionV relativeFrom="paragraph">
              <wp:posOffset>154305</wp:posOffset>
            </wp:positionV>
            <wp:extent cx="2468880" cy="4286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68880" cy="4286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Creative Realities,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7700" w:type="dxa"/>
            <w:vAlign w:val="bottom"/>
            <w:gridSpan w:val="5"/>
          </w:tcPr>
          <w:p>
            <w:pPr>
              <w:jc w:val="center"/>
              <w:ind w:right="2180"/>
              <w:spacing w:after="0"/>
              <w:rPr>
                <w:sz w:val="20"/>
                <w:szCs w:val="20"/>
                <w:color w:val="auto"/>
              </w:rPr>
            </w:pPr>
            <w:r>
              <w:rPr>
                <w:rFonts w:ascii="Times New Roman" w:cs="Times New Roman" w:eastAsia="Times New Roman" w:hAnsi="Times New Roman"/>
                <w:sz w:val="18"/>
                <w:szCs w:val="18"/>
                <w:b w:val="1"/>
                <w:bCs w:val="1"/>
                <w:color w:val="auto"/>
                <w:w w:val="98"/>
              </w:rPr>
              <w:t>Minnesota</w:t>
            </w:r>
          </w:p>
        </w:tc>
        <w:tc>
          <w:tcPr>
            <w:tcW w:w="3540" w:type="dxa"/>
            <w:vAlign w:val="bottom"/>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41-1967918</w:t>
            </w:r>
          </w:p>
        </w:tc>
      </w:tr>
      <w:tr>
        <w:trPr>
          <w:trHeight w:val="191"/>
        </w:trPr>
        <w:tc>
          <w:tcPr>
            <w:tcW w:w="5520" w:type="dxa"/>
            <w:vAlign w:val="bottom"/>
            <w:tcBorders>
              <w:top w:val="single" w:sz="8" w:color="auto"/>
            </w:tcBorders>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22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3540" w:type="dxa"/>
            <w:vAlign w:val="bottom"/>
            <w:tcBorders>
              <w:top w:val="single" w:sz="8" w:color="auto"/>
            </w:tcBorders>
          </w:tcPr>
          <w:p>
            <w:pPr>
              <w:jc w:val="center"/>
              <w:ind w:right="1870"/>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7700" w:type="dxa"/>
            <w:vAlign w:val="bottom"/>
            <w:gridSpan w:val="5"/>
          </w:tcPr>
          <w:p>
            <w:pPr>
              <w:jc w:val="center"/>
              <w:ind w:right="218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3540" w:type="dxa"/>
            <w:vAlign w:val="bottom"/>
          </w:tcPr>
          <w:p>
            <w:pPr>
              <w:jc w:val="center"/>
              <w:ind w:right="18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2"/>
        </w:trPr>
        <w:tc>
          <w:tcPr>
            <w:tcW w:w="7700" w:type="dxa"/>
            <w:vAlign w:val="bottom"/>
            <w:gridSpan w:val="5"/>
          </w:tcPr>
          <w:p>
            <w:pPr>
              <w:jc w:val="center"/>
              <w:ind w:right="2180"/>
              <w:spacing w:after="0"/>
              <w:rPr>
                <w:sz w:val="20"/>
                <w:szCs w:val="20"/>
                <w:color w:val="auto"/>
              </w:rPr>
            </w:pPr>
            <w:r>
              <w:rPr>
                <w:rFonts w:ascii="Times New Roman" w:cs="Times New Roman" w:eastAsia="Times New Roman" w:hAnsi="Times New Roman"/>
                <w:sz w:val="18"/>
                <w:szCs w:val="18"/>
                <w:b w:val="1"/>
                <w:bCs w:val="1"/>
                <w:color w:val="auto"/>
                <w:w w:val="99"/>
              </w:rPr>
              <w:t>13100 Magisterial Drive, Suite 100, Louisville KY</w:t>
            </w:r>
          </w:p>
        </w:tc>
        <w:tc>
          <w:tcPr>
            <w:tcW w:w="3540" w:type="dxa"/>
            <w:vAlign w:val="bottom"/>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40223</w:t>
            </w:r>
          </w:p>
        </w:tc>
      </w:tr>
      <w:tr>
        <w:trPr>
          <w:trHeight w:val="228"/>
        </w:trPr>
        <w:tc>
          <w:tcPr>
            <w:tcW w:w="552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3540" w:type="dxa"/>
            <w:vAlign w:val="bottom"/>
            <w:tcBorders>
              <w:top w:val="single" w:sz="8" w:color="auto"/>
            </w:tcBorders>
          </w:tcPr>
          <w:p>
            <w:pPr>
              <w:jc w:val="center"/>
              <w:ind w:right="1850"/>
              <w:spacing w:after="0"/>
              <w:rPr>
                <w:sz w:val="20"/>
                <w:szCs w:val="20"/>
                <w:color w:val="auto"/>
              </w:rPr>
            </w:pPr>
            <w:r>
              <w:rPr>
                <w:rFonts w:ascii="Times New Roman" w:cs="Times New Roman" w:eastAsia="Times New Roman" w:hAnsi="Times New Roman"/>
                <w:sz w:val="18"/>
                <w:szCs w:val="18"/>
                <w:color w:val="auto"/>
              </w:rPr>
              <w:t>Zip Code</w:t>
            </w:r>
          </w:p>
        </w:tc>
      </w:tr>
      <w:tr>
        <w:trPr>
          <w:trHeight w:val="414"/>
        </w:trPr>
        <w:tc>
          <w:tcPr>
            <w:tcW w:w="4960" w:type="dxa"/>
            <w:vAlign w:val="bottom"/>
          </w:tcPr>
          <w:p>
            <w:pPr>
              <w:spacing w:after="0"/>
              <w:rPr>
                <w:sz w:val="24"/>
                <w:szCs w:val="24"/>
                <w:color w:val="auto"/>
              </w:rPr>
            </w:pPr>
          </w:p>
        </w:tc>
        <w:tc>
          <w:tcPr>
            <w:tcW w:w="134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(502) 791-8800</w:t>
            </w:r>
          </w:p>
        </w:tc>
        <w:tc>
          <w:tcPr>
            <w:tcW w:w="140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28"/>
        </w:trPr>
        <w:tc>
          <w:tcPr>
            <w:tcW w:w="7700" w:type="dxa"/>
            <w:vAlign w:val="bottom"/>
            <w:gridSpan w:val="5"/>
          </w:tcPr>
          <w:p>
            <w:pPr>
              <w:jc w:val="center"/>
              <w:ind w:left="345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540" w:type="dxa"/>
            <w:vAlign w:val="bottom"/>
          </w:tcPr>
          <w:p>
            <w:pPr>
              <w:spacing w:after="0"/>
              <w:rPr>
                <w:sz w:val="19"/>
                <w:szCs w:val="19"/>
                <w:color w:val="auto"/>
              </w:rPr>
            </w:pPr>
          </w:p>
        </w:tc>
      </w:tr>
    </w:tbl>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40" w:type="dxa"/>
            <w:vAlign w:val="bottom"/>
          </w:tcPr>
          <w:p>
            <w:pPr>
              <w:spacing w:after="0"/>
              <w:rPr>
                <w:sz w:val="20"/>
                <w:szCs w:val="20"/>
                <w:color w:val="auto"/>
              </w:rPr>
            </w:pPr>
          </w:p>
        </w:tc>
      </w:tr>
      <w:tr>
        <w:trPr>
          <w:trHeight w:val="432"/>
        </w:trPr>
        <w:tc>
          <w:tcPr>
            <w:tcW w:w="470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28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120" w:type="dxa"/>
            <w:vAlign w:val="bottom"/>
          </w:tcPr>
          <w:p>
            <w:pPr>
              <w:spacing w:after="0"/>
              <w:rPr>
                <w:sz w:val="24"/>
                <w:szCs w:val="24"/>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280" w:type="dxa"/>
            <w:vAlign w:val="bottom"/>
            <w:tcBorders>
              <w:top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color w:val="auto"/>
                <w:w w:val="99"/>
              </w:rPr>
              <w:t>CREX</w:t>
            </w:r>
          </w:p>
        </w:tc>
        <w:tc>
          <w:tcPr>
            <w:tcW w:w="120" w:type="dxa"/>
            <w:vAlign w:val="bottom"/>
          </w:tcPr>
          <w:p>
            <w:pPr>
              <w:spacing w:after="0"/>
              <w:rPr>
                <w:sz w:val="19"/>
                <w:szCs w:val="19"/>
                <w:color w:val="auto"/>
              </w:rPr>
            </w:pPr>
          </w:p>
        </w:tc>
        <w:tc>
          <w:tcPr>
            <w:tcW w:w="4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jc w:val="both"/>
        <w:ind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ind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7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w:t>
            </w:r>
          </w:p>
        </w:tc>
        <w:tc>
          <w:tcPr>
            <w:tcW w:w="2280" w:type="dxa"/>
            <w:vAlign w:val="bottom"/>
            <w:vMerge w:val="restart"/>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4020" w:type="dxa"/>
            <w:vAlign w:val="bottom"/>
          </w:tcPr>
          <w:p>
            <w:pPr>
              <w:spacing w:after="0"/>
              <w:rPr>
                <w:sz w:val="18"/>
                <w:szCs w:val="18"/>
                <w:color w:val="auto"/>
              </w:rPr>
            </w:pPr>
          </w:p>
        </w:tc>
        <w:tc>
          <w:tcPr>
            <w:tcW w:w="220" w:type="dxa"/>
            <w:vAlign w:val="bottom"/>
            <w:vMerge w:val="restart"/>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80"/>
        </w:trPr>
        <w:tc>
          <w:tcPr>
            <w:tcW w:w="14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filer</w:t>
            </w:r>
          </w:p>
        </w:tc>
        <w:tc>
          <w:tcPr>
            <w:tcW w:w="2280" w:type="dxa"/>
            <w:vAlign w:val="bottom"/>
            <w:vMerge w:val="continue"/>
          </w:tcPr>
          <w:p>
            <w:pPr>
              <w:spacing w:after="0"/>
              <w:rPr>
                <w:sz w:val="15"/>
                <w:szCs w:val="15"/>
                <w:color w:val="auto"/>
              </w:rPr>
            </w:pPr>
          </w:p>
        </w:tc>
        <w:tc>
          <w:tcPr>
            <w:tcW w:w="4020" w:type="dxa"/>
            <w:vAlign w:val="bottom"/>
          </w:tcPr>
          <w:p>
            <w:pPr>
              <w:ind w:left="1980"/>
              <w:spacing w:after="0" w:line="181" w:lineRule="exact"/>
              <w:rPr>
                <w:sz w:val="20"/>
                <w:szCs w:val="20"/>
                <w:color w:val="auto"/>
              </w:rPr>
            </w:pPr>
            <w:r>
              <w:rPr>
                <w:rFonts w:ascii="Times New Roman" w:cs="Times New Roman" w:eastAsia="Times New Roman" w:hAnsi="Times New Roman"/>
                <w:sz w:val="18"/>
                <w:szCs w:val="18"/>
                <w:color w:val="auto"/>
              </w:rPr>
              <w:t>Accelerated filer</w:t>
            </w:r>
          </w:p>
        </w:tc>
        <w:tc>
          <w:tcPr>
            <w:tcW w:w="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tc>
        <w:tc>
          <w:tcPr>
            <w:tcW w:w="402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03"/>
        </w:trPr>
        <w:tc>
          <w:tcPr>
            <w:tcW w:w="14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02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Emerging growth company</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bl>
    <w:p>
      <w:pPr>
        <w:spacing w:after="0" w:line="165" w:lineRule="exact"/>
        <w:rPr>
          <w:sz w:val="24"/>
          <w:szCs w:val="24"/>
          <w:color w:val="auto"/>
        </w:rPr>
      </w:pPr>
    </w:p>
    <w:p>
      <w:pPr>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color w:val="auto"/>
        </w:rPr>
        <w:t>APPLICABLE ONLY TO CORPORATE ISSUERS</w:t>
      </w:r>
    </w:p>
    <w:p>
      <w:pPr>
        <w:spacing w:after="0" w:line="225"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November 12, 2024, the registrant had 10,446,659 shares of common stock outstanding.</w:t>
      </w:r>
    </w:p>
    <w:p>
      <w:pPr>
        <w:sectPr>
          <w:pgSz w:w="11900" w:h="16838" w:orient="portrait"/>
          <w:cols w:equalWidth="0" w:num="1">
            <w:col w:w="11240"/>
          </w:cols>
          <w:pgMar w:left="320" w:top="1116" w:right="339" w:bottom="177" w:gutter="0" w:footer="0" w:header="0"/>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8000" w:type="dxa"/>
            <w:vAlign w:val="bottom"/>
          </w:tcPr>
          <w:p>
            <w:pPr>
              <w:jc w:val="center"/>
              <w:ind w:left="3150"/>
              <w:spacing w:after="0"/>
              <w:rPr>
                <w:sz w:val="20"/>
                <w:szCs w:val="20"/>
                <w:color w:val="auto"/>
              </w:rPr>
            </w:pPr>
            <w:r>
              <w:rPr>
                <w:rFonts w:ascii="Times New Roman" w:cs="Times New Roman" w:eastAsia="Times New Roman" w:hAnsi="Times New Roman"/>
                <w:sz w:val="18"/>
                <w:szCs w:val="18"/>
                <w:b w:val="1"/>
                <w:bCs w:val="1"/>
                <w:color w:val="auto"/>
                <w:w w:val="98"/>
              </w:rPr>
              <w:t>PART 1. FINANCIAL INFORMATION</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7"/>
        </w:trPr>
        <w:tc>
          <w:tcPr>
            <w:tcW w:w="8000" w:type="dxa"/>
            <w:vAlign w:val="bottom"/>
          </w:tcPr>
          <w:p>
            <w:pPr>
              <w:jc w:val="center"/>
              <w:ind w:left="3170"/>
              <w:spacing w:after="0"/>
              <w:rPr>
                <w:sz w:val="20"/>
                <w:szCs w:val="20"/>
                <w:color w:val="auto"/>
              </w:rPr>
            </w:pPr>
            <w:r>
              <w:rPr>
                <w:rFonts w:ascii="Times New Roman" w:cs="Times New Roman" w:eastAsia="Times New Roman" w:hAnsi="Times New Roman"/>
                <w:sz w:val="18"/>
                <w:szCs w:val="18"/>
                <w:b w:val="1"/>
                <w:bCs w:val="1"/>
                <w:color w:val="auto"/>
                <w:w w:val="99"/>
              </w:rPr>
              <w:t>CREATIVE REALITIES, INC.</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9"/>
        </w:trPr>
        <w:tc>
          <w:tcPr>
            <w:tcW w:w="8000" w:type="dxa"/>
            <w:vAlign w:val="bottom"/>
          </w:tcPr>
          <w:p>
            <w:pPr>
              <w:jc w:val="center"/>
              <w:ind w:left="315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8000" w:type="dxa"/>
            <w:vAlign w:val="bottom"/>
          </w:tcPr>
          <w:p>
            <w:pPr>
              <w:jc w:val="center"/>
              <w:ind w:left="3170"/>
              <w:spacing w:after="0"/>
              <w:rPr>
                <w:sz w:val="20"/>
                <w:szCs w:val="20"/>
                <w:color w:val="auto"/>
              </w:rPr>
            </w:pPr>
            <w:r>
              <w:rPr>
                <w:rFonts w:ascii="Times New Roman" w:cs="Times New Roman" w:eastAsia="Times New Roman" w:hAnsi="Times New Roman"/>
                <w:sz w:val="18"/>
                <w:szCs w:val="18"/>
                <w:b w:val="1"/>
                <w:bCs w:val="1"/>
                <w:color w:val="auto"/>
                <w:w w:val="99"/>
              </w:rPr>
              <w:t>(in thousands, except per share amounts)</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3"/>
        </w:trPr>
        <w:tc>
          <w:tcPr>
            <w:tcW w:w="8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0"/>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(unaudited)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868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2,910</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11,300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12,468</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 net</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3,054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2,567</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15,965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18,610</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499</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26,453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26,453</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23,519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24,062</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901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1,041</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8"/>
                <w:szCs w:val="18"/>
                <w:color w:val="auto"/>
              </w:rPr>
            </w:pPr>
          </w:p>
        </w:tc>
      </w:tr>
      <w:tr>
        <w:trPr>
          <w:trHeight w:val="24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67,562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70,777</w:t>
            </w:r>
          </w:p>
        </w:tc>
      </w:tr>
      <w:tr>
        <w:trPr>
          <w:trHeight w:val="197"/>
        </w:trPr>
        <w:tc>
          <w:tcPr>
            <w:tcW w:w="80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6,446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7,876</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3,649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3,761</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2,769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1,132</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Customer deposits</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3,398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3,233</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maturities of operating leases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505</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portion of related party term debt</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3,690</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portion of contingent consideration, at fair value</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10,794</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27,517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20,197</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10,979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related party term debt</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9,829</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obligations under operating leases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536</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contingent consideration, at fair value</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11,208</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39,268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41,946</w:t>
            </w:r>
          </w:p>
        </w:tc>
      </w:tr>
      <w:tr>
        <w:trPr>
          <w:trHeight w:val="209"/>
        </w:trPr>
        <w:tc>
          <w:tcPr>
            <w:tcW w:w="80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80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$0.01 par value, 66,666 shares authorized; 10,447 and 10,409 shares issued and</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respectively</w:t>
            </w:r>
          </w:p>
        </w:tc>
        <w:tc>
          <w:tcPr>
            <w:tcW w:w="14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82,206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82,073</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(54,016)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(53,346)</w:t>
            </w:r>
          </w:p>
        </w:tc>
      </w:tr>
      <w:tr>
        <w:trPr>
          <w:trHeight w:val="210"/>
        </w:trPr>
        <w:tc>
          <w:tcPr>
            <w:tcW w:w="80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28,294</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28,831</w:t>
            </w:r>
          </w:p>
        </w:tc>
        <w:tc>
          <w:tcPr>
            <w:tcW w:w="100" w:type="dxa"/>
            <w:vAlign w:val="bottom"/>
            <w:tcBorders>
              <w:top w:val="single" w:sz="8" w:color="CCEEFF"/>
            </w:tcBorders>
          </w:tcPr>
          <w:p>
            <w:pPr>
              <w:spacing w:after="0"/>
              <w:rPr>
                <w:sz w:val="18"/>
                <w:szCs w:val="18"/>
                <w:color w:val="auto"/>
              </w:rPr>
            </w:pPr>
          </w:p>
        </w:tc>
      </w:tr>
      <w:tr>
        <w:trPr>
          <w:trHeight w:val="250"/>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67,562</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70,777</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CREATIVE REALITIES,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gridSpan w:val="5"/>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20" w:type="dxa"/>
            <w:vAlign w:val="bottom"/>
          </w:tcPr>
          <w:p>
            <w:pPr>
              <w:spacing w:after="0"/>
              <w:rPr>
                <w:sz w:val="18"/>
                <w:szCs w:val="18"/>
                <w:color w:val="auto"/>
              </w:rPr>
            </w:pPr>
          </w:p>
        </w:tc>
        <w:tc>
          <w:tcPr>
            <w:tcW w:w="2420" w:type="dxa"/>
            <w:vAlign w:val="bottom"/>
            <w:gridSpan w:val="5"/>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r>
      <w:tr>
        <w:trPr>
          <w:trHeight w:val="238"/>
        </w:trPr>
        <w:tc>
          <w:tcPr>
            <w:tcW w:w="5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gridSpan w:val="5"/>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Pr>
          <w:p>
            <w:pPr>
              <w:spacing w:after="0"/>
              <w:rPr>
                <w:sz w:val="20"/>
                <w:szCs w:val="20"/>
                <w:color w:val="auto"/>
              </w:rPr>
            </w:pPr>
          </w:p>
        </w:tc>
        <w:tc>
          <w:tcPr>
            <w:tcW w:w="2420" w:type="dxa"/>
            <w:vAlign w:val="bottom"/>
            <w:gridSpan w:val="5"/>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09"/>
        </w:trPr>
        <w:tc>
          <w:tcPr>
            <w:tcW w:w="59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Hardware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5,241</w:t>
            </w:r>
          </w:p>
        </w:tc>
        <w:tc>
          <w:tcPr>
            <w:tcW w:w="26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4,847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14,409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12,606</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Services and other</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9,201</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6,721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25,433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18,102</w:t>
            </w:r>
          </w:p>
        </w:tc>
      </w:tr>
      <w:tr>
        <w:trPr>
          <w:trHeight w:val="20"/>
        </w:trPr>
        <w:tc>
          <w:tcPr>
            <w:tcW w:w="59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sales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14,442</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11,568</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39,842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30,708</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Hardware</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3,384</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10,682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9,314</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Services and other</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3,874</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2,881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10,019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6,704</w:t>
            </w:r>
          </w:p>
        </w:tc>
      </w:tr>
      <w:tr>
        <w:trPr>
          <w:trHeight w:val="20"/>
        </w:trPr>
        <w:tc>
          <w:tcPr>
            <w:tcW w:w="59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cost of sales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7,853</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6,265</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20,701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16,018</w:t>
            </w:r>
          </w:p>
        </w:tc>
      </w:tr>
      <w:tr>
        <w:trPr>
          <w:trHeight w:val="20"/>
        </w:trPr>
        <w:tc>
          <w:tcPr>
            <w:tcW w:w="5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6,589</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5,303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19,141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14,690</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1,301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4,655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3,666</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3,928</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3,842</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12,834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11,654</w:t>
            </w:r>
          </w:p>
        </w:tc>
      </w:tr>
      <w:tr>
        <w:trPr>
          <w:trHeight w:val="20"/>
        </w:trPr>
        <w:tc>
          <w:tcPr>
            <w:tcW w:w="5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5,453</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5,143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17,489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15,320</w:t>
            </w:r>
          </w:p>
        </w:tc>
      </w:tr>
      <w:tr>
        <w:trPr>
          <w:trHeight w:val="20"/>
        </w:trPr>
        <w:tc>
          <w:tcPr>
            <w:tcW w:w="59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income (loss)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1,652</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(630)</w:t>
            </w:r>
          </w:p>
        </w:tc>
      </w:tr>
      <w:tr>
        <w:trPr>
          <w:trHeight w:val="216"/>
        </w:trPr>
        <w:tc>
          <w:tcPr>
            <w:tcW w:w="5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expenses (income):</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including amortization of debt discount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1,479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2,324</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loss on change in fair value of contingent consideration</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1,369</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1,461</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expense (income)</w:t>
            </w:r>
          </w:p>
        </w:tc>
        <w:tc>
          <w:tcPr>
            <w:tcW w:w="1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(132)</w:t>
            </w:r>
          </w:p>
        </w:tc>
      </w:tr>
      <w:tr>
        <w:trPr>
          <w:trHeight w:val="20"/>
        </w:trPr>
        <w:tc>
          <w:tcPr>
            <w:tcW w:w="5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expenses (income)</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2,106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2,096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3,653</w:t>
            </w:r>
          </w:p>
        </w:tc>
      </w:tr>
      <w:tr>
        <w:trPr>
          <w:trHeight w:val="20"/>
        </w:trPr>
        <w:tc>
          <w:tcPr>
            <w:tcW w:w="59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 (loss) before income taxes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(1,946)</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(444)</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(4,283)</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(192)</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(73)</w:t>
            </w:r>
          </w:p>
        </w:tc>
      </w:tr>
      <w:tr>
        <w:trPr>
          <w:trHeight w:val="20"/>
        </w:trPr>
        <w:tc>
          <w:tcPr>
            <w:tcW w:w="59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6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(1,931)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(4,356)</w:t>
            </w:r>
          </w:p>
        </w:tc>
      </w:tr>
      <w:tr>
        <w:trPr>
          <w:trHeight w:val="20"/>
        </w:trPr>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9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Basic earning (loss) per common share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0.01</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(0.22)</w:t>
            </w:r>
          </w:p>
        </w:tc>
        <w:tc>
          <w:tcPr>
            <w:tcW w:w="1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(0.06)</w:t>
            </w:r>
          </w:p>
        </w:tc>
        <w:tc>
          <w:tcPr>
            <w:tcW w:w="240" w:type="dxa"/>
            <w:vAlign w:val="bottom"/>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(0.56)</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5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Diluted earning (loss) per common share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0.01</w:t>
            </w:r>
          </w:p>
        </w:tc>
        <w:tc>
          <w:tcPr>
            <w:tcW w:w="260" w:type="dxa"/>
            <w:vAlign w:val="bottom"/>
          </w:tcPr>
          <w:p>
            <w:pPr>
              <w:spacing w:after="0"/>
              <w:rPr>
                <w:sz w:val="17"/>
                <w:szCs w:val="17"/>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(0.22)</w:t>
            </w: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(0.06)</w:t>
            </w:r>
          </w:p>
        </w:tc>
        <w:tc>
          <w:tcPr>
            <w:tcW w:w="24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(0.56)</w:t>
            </w:r>
          </w:p>
        </w:tc>
      </w:tr>
      <w:tr>
        <w:trPr>
          <w:trHeight w:val="20"/>
        </w:trPr>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59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Weighted average shares outstanding - basic</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10,447</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8,713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10,438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7,775</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6"/>
        </w:trPr>
        <w:tc>
          <w:tcPr>
            <w:tcW w:w="5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10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10,634</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8,713</w:t>
            </w:r>
          </w:p>
        </w:tc>
        <w:tc>
          <w:tcPr>
            <w:tcW w:w="120" w:type="dxa"/>
            <w:vAlign w:val="bottom"/>
          </w:tcPr>
          <w:p>
            <w:pPr>
              <w:spacing w:after="0"/>
              <w:rPr>
                <w:sz w:val="17"/>
                <w:szCs w:val="17"/>
                <w:color w:val="auto"/>
              </w:rPr>
            </w:pPr>
          </w:p>
        </w:tc>
        <w:tc>
          <w:tcPr>
            <w:tcW w:w="120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10,438</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7,775</w:t>
            </w:r>
          </w:p>
        </w:tc>
      </w:tr>
      <w:tr>
        <w:trPr>
          <w:trHeight w:val="20"/>
        </w:trPr>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CREATIVE REALITIES,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2620" w:type="dxa"/>
            <w:vAlign w:val="bottom"/>
            <w:gridSpan w:val="5"/>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80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9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(670)</w:t>
            </w:r>
          </w:p>
        </w:tc>
        <w:tc>
          <w:tcPr>
            <w:tcW w:w="1020" w:type="dxa"/>
            <w:vAlign w:val="bottom"/>
            <w:gridSpan w:val="2"/>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(4,356)</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2,901</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2,393</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569</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1,078</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stock-based compensation</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539</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1,059</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Bad debt expense</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186</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318</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inventory reserves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loss on change in fair value of contingent consideration</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(414)</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1,461</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157</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to operating assets and liabilities: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982</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2,080</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(422)</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(180)</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859</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(1,360)</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683</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1,637</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2,284</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Customer deposits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165</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1,054</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w:t>
            </w:r>
          </w:p>
        </w:tc>
      </w:tr>
      <w:tr>
        <w:trPr>
          <w:trHeight w:val="210"/>
        </w:trPr>
        <w:tc>
          <w:tcPr>
            <w:tcW w:w="8000" w:type="dxa"/>
            <w:vAlign w:val="bottom"/>
            <w:tcBorders>
              <w:top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9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4,750</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8,306</w:t>
            </w:r>
          </w:p>
        </w:tc>
        <w:tc>
          <w:tcPr>
            <w:tcW w:w="100" w:type="dxa"/>
            <w:vAlign w:val="bottom"/>
            <w:tcBorders>
              <w:top w:val="single" w:sz="8" w:color="CCEEFF"/>
            </w:tcBorders>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(287)</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Capitalization of labor for software development</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(2,293)</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(2,851)</w:t>
            </w:r>
          </w:p>
        </w:tc>
      </w:tr>
      <w:tr>
        <w:trPr>
          <w:trHeight w:val="20"/>
        </w:trPr>
        <w:tc>
          <w:tcPr>
            <w:tcW w:w="80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(2,302)</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(3,138)</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9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sale of common stock, net of offering expenses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5,454</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borrowings under revolving credit facility</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21,854</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 of borrowings under revolving credit facility</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(10,875)</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 of deferred financing costs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(289)</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 of term debt</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(15,147)</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(3,865)</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Principal payments on finance leases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r>
      <w:tr>
        <w:trPr>
          <w:trHeight w:val="20"/>
        </w:trPr>
        <w:tc>
          <w:tcPr>
            <w:tcW w:w="80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(4,490)</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1,575</w:t>
            </w:r>
          </w:p>
        </w:tc>
      </w:tr>
      <w:tr>
        <w:trPr>
          <w:trHeight w:val="20"/>
        </w:trPr>
        <w:tc>
          <w:tcPr>
            <w:tcW w:w="80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Increase (decrease) in cash and cash equivalents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(2,042)</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6,743</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beginning of period</w:t>
            </w:r>
          </w:p>
        </w:tc>
        <w:tc>
          <w:tcPr>
            <w:tcW w:w="9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100" w:type="dxa"/>
            <w:vAlign w:val="bottom"/>
          </w:tcPr>
          <w:p>
            <w:pPr>
              <w:spacing w:after="0"/>
              <w:rPr>
                <w:sz w:val="18"/>
                <w:szCs w:val="18"/>
                <w:color w:val="auto"/>
              </w:rPr>
            </w:pPr>
          </w:p>
        </w:tc>
      </w:tr>
      <w:tr>
        <w:trPr>
          <w:trHeight w:val="249"/>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920" w:type="dxa"/>
            <w:vAlign w:val="bottom"/>
            <w:tcBorders>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8,376</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CREATIVE REALITIES,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60" w:type="dxa"/>
            <w:vAlign w:val="bottom"/>
            <w:gridSpan w:val="5"/>
            <w:vMerge w:val="restart"/>
          </w:tcPr>
          <w:p>
            <w:pPr>
              <w:ind w:left="66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Pr>
          <w:p>
            <w:pPr>
              <w:spacing w:after="0"/>
              <w:rPr>
                <w:sz w:val="19"/>
                <w:szCs w:val="19"/>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60" w:type="dxa"/>
            <w:vAlign w:val="bottom"/>
            <w:gridSpan w:val="5"/>
            <w:vMerge w:val="continue"/>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paid in</w:t>
            </w: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50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Three Months Ended September 30, 2024</w:t>
            </w:r>
          </w:p>
        </w:tc>
        <w:tc>
          <w:tcPr>
            <w:tcW w:w="120" w:type="dxa"/>
            <w:vAlign w:val="bottom"/>
            <w:vMerge w:val="restart"/>
          </w:tcPr>
          <w:p>
            <w:pPr>
              <w:spacing w:after="0"/>
              <w:rPr>
                <w:sz w:val="18"/>
                <w:szCs w:val="18"/>
                <w:color w:val="auto"/>
              </w:rPr>
            </w:pPr>
          </w:p>
        </w:tc>
        <w:tc>
          <w:tcPr>
            <w:tcW w:w="1380" w:type="dxa"/>
            <w:vAlign w:val="bottom"/>
            <w:tcBorders>
              <w:top w:val="single" w:sz="8" w:color="auto"/>
            </w:tcBorders>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20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20" w:type="dxa"/>
            <w:vAlign w:val="bottom"/>
          </w:tcPr>
          <w:p>
            <w:pPr>
              <w:spacing w:after="0"/>
              <w:rPr>
                <w:sz w:val="18"/>
                <w:szCs w:val="18"/>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5"/>
        </w:trPr>
        <w:tc>
          <w:tcPr>
            <w:tcW w:w="450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June 30, 2024</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10,446,659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82,203</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(54,070)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28,237</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0"/>
        </w:trPr>
        <w:tc>
          <w:tcPr>
            <w:tcW w:w="45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as of September 30, 2024</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10,446,659</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82,206</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(54,016)</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28,294</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ectPr>
          <w:pgSz w:w="11900" w:h="16838" w:orient="portrait"/>
          <w:cols w:equalWidth="0" w:num="1">
            <w:col w:w="11240"/>
          </w:cols>
          <w:pgMar w:left="320" w:top="8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Nine Months Ended 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28543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9" w:lineRule="exact"/>
        <w:rPr>
          <w:sz w:val="20"/>
          <w:szCs w:val="20"/>
          <w:color w:val="auto"/>
        </w:rPr>
      </w:pPr>
    </w:p>
    <w:p>
      <w:pPr>
        <w:ind w:right="1900"/>
        <w:spacing w:after="0" w:line="258" w:lineRule="auto"/>
        <w:rPr>
          <w:sz w:val="20"/>
          <w:szCs w:val="20"/>
          <w:color w:val="auto"/>
        </w:rPr>
      </w:pPr>
      <w:r>
        <w:rPr>
          <w:rFonts w:ascii="Times New Roman" w:cs="Times New Roman" w:eastAsia="Times New Roman" w:hAnsi="Times New Roman"/>
          <w:sz w:val="18"/>
          <w:szCs w:val="18"/>
          <w:color w:val="auto"/>
        </w:rPr>
        <w:t>Balance as of December 31, 2023 Stock-based compensation</w:t>
      </w:r>
    </w:p>
    <w:p>
      <w:pPr>
        <w:spacing w:after="0" w:line="250" w:lineRule="auto"/>
        <w:rPr>
          <w:sz w:val="20"/>
          <w:szCs w:val="20"/>
          <w:color w:val="auto"/>
        </w:rPr>
      </w:pPr>
      <w:r>
        <w:rPr>
          <w:rFonts w:ascii="Times New Roman" w:cs="Times New Roman" w:eastAsia="Times New Roman" w:hAnsi="Times New Roman"/>
          <w:sz w:val="18"/>
          <w:szCs w:val="18"/>
          <w:color w:val="auto"/>
        </w:rPr>
        <w:t>Shares issued to employees pursuant to the Retention Bonus Plan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as of September 30, 2024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2760" w:type="dxa"/>
            <w:vAlign w:val="bottom"/>
            <w:gridSpan w:val="6"/>
            <w:vMerge w:val="restart"/>
          </w:tcPr>
          <w:p>
            <w:pPr>
              <w:ind w:left="66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Pr>
          <w:p>
            <w:pPr>
              <w:spacing w:after="0"/>
              <w:rPr>
                <w:sz w:val="19"/>
                <w:szCs w:val="19"/>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760" w:type="dxa"/>
            <w:vAlign w:val="bottom"/>
            <w:gridSpan w:val="6"/>
            <w:vMerge w:val="continue"/>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paid in</w:t>
            </w: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14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40" w:type="dxa"/>
            <w:vAlign w:val="bottom"/>
            <w:tcBorders>
              <w:top w:val="single" w:sz="8" w:color="auto"/>
            </w:tcBorders>
            <w:gridSpan w:val="2"/>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1"/>
        </w:trPr>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10,409,027</w:t>
            </w:r>
          </w:p>
        </w:tc>
        <w:tc>
          <w:tcPr>
            <w:tcW w:w="2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82,073</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(53,346)</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28,831</w:t>
            </w:r>
          </w:p>
        </w:tc>
        <w:tc>
          <w:tcPr>
            <w:tcW w:w="0" w:type="dxa"/>
            <w:vAlign w:val="bottom"/>
          </w:tcPr>
          <w:p>
            <w:pPr>
              <w:spacing w:after="0"/>
              <w:rPr>
                <w:sz w:val="1"/>
                <w:szCs w:val="1"/>
                <w:color w:val="auto"/>
              </w:rPr>
            </w:pPr>
          </w:p>
        </w:tc>
      </w:tr>
      <w:tr>
        <w:trPr>
          <w:trHeight w:val="234"/>
        </w:trPr>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414"/>
        </w:trPr>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37,632</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124</w:t>
            </w:r>
          </w:p>
        </w:tc>
        <w:tc>
          <w:tcPr>
            <w:tcW w:w="20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34"/>
        </w:trPr>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(670)</w:t>
            </w:r>
          </w:p>
        </w:tc>
        <w:tc>
          <w:tcPr>
            <w:tcW w:w="22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0" w:type="dxa"/>
            <w:vAlign w:val="bottom"/>
          </w:tcPr>
          <w:p>
            <w:pPr>
              <w:spacing w:after="0"/>
              <w:rPr>
                <w:sz w:val="1"/>
                <w:szCs w:val="1"/>
                <w:color w:val="auto"/>
              </w:rPr>
            </w:pPr>
          </w:p>
        </w:tc>
      </w:tr>
      <w:tr>
        <w:trPr>
          <w:trHeight w:val="209"/>
        </w:trPr>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10,446,659</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82,206</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(54,016)</w:t>
            </w: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-856615</wp:posOffset>
            </wp:positionV>
            <wp:extent cx="71323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-582295</wp:posOffset>
            </wp:positionV>
            <wp:extent cx="7132320" cy="274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-162560</wp:posOffset>
            </wp:positionV>
            <wp:extent cx="7132320" cy="1631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94" w:lineRule="exact"/>
        <w:rPr>
          <w:sz w:val="20"/>
          <w:szCs w:val="20"/>
          <w:color w:val="auto"/>
        </w:rPr>
      </w:pPr>
    </w:p>
    <w:p>
      <w:pPr>
        <w:sectPr>
          <w:pgSz w:w="11900" w:h="16838" w:orient="portrait"/>
          <w:cols w:equalWidth="0" w:num="2">
            <w:col w:w="4340" w:space="280"/>
            <w:col w:w="6620"/>
          </w:cols>
          <w:pgMar w:left="320" w:top="81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Three Months Ended September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8543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as of June 30, 2023</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Issuance of common stock, net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as of September 30, 2023</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760" w:type="dxa"/>
            <w:vAlign w:val="bottom"/>
            <w:gridSpan w:val="6"/>
            <w:vMerge w:val="restart"/>
          </w:tcPr>
          <w:p>
            <w:pPr>
              <w:ind w:left="66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Pr>
          <w:p>
            <w:pPr>
              <w:spacing w:after="0"/>
              <w:rPr>
                <w:sz w:val="19"/>
                <w:szCs w:val="19"/>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760" w:type="dxa"/>
            <w:vAlign w:val="bottom"/>
            <w:gridSpan w:val="6"/>
            <w:vMerge w:val="continue"/>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paid in</w:t>
            </w: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4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40" w:type="dxa"/>
            <w:vAlign w:val="bottom"/>
            <w:tcBorders>
              <w:top w:val="single" w:sz="8" w:color="auto"/>
            </w:tcBorders>
            <w:gridSpan w:val="2"/>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1"/>
        </w:trPr>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7,409,027</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76,618</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(52,834)</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23,858</w:t>
            </w:r>
          </w:p>
        </w:tc>
        <w:tc>
          <w:tcPr>
            <w:tcW w:w="0" w:type="dxa"/>
            <w:vAlign w:val="bottom"/>
          </w:tcPr>
          <w:p>
            <w:pPr>
              <w:spacing w:after="0"/>
              <w:rPr>
                <w:sz w:val="1"/>
                <w:szCs w:val="1"/>
                <w:color w:val="auto"/>
              </w:rPr>
            </w:pPr>
          </w:p>
        </w:tc>
      </w:tr>
      <w:tr>
        <w:trPr>
          <w:trHeight w:val="216"/>
        </w:trPr>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5,424</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5,454</w:t>
            </w:r>
          </w:p>
        </w:tc>
        <w:tc>
          <w:tcPr>
            <w:tcW w:w="0" w:type="dxa"/>
            <w:vAlign w:val="bottom"/>
          </w:tcPr>
          <w:p>
            <w:pPr>
              <w:spacing w:after="0"/>
              <w:rPr>
                <w:sz w:val="1"/>
                <w:szCs w:val="1"/>
                <w:color w:val="auto"/>
              </w:rPr>
            </w:pPr>
          </w:p>
        </w:tc>
      </w:tr>
      <w:tr>
        <w:trPr>
          <w:trHeight w:val="234"/>
        </w:trPr>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(1,931)</w:t>
            </w:r>
          </w:p>
        </w:tc>
        <w:tc>
          <w:tcPr>
            <w:tcW w:w="22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(1,931)</w:t>
            </w:r>
          </w:p>
        </w:tc>
        <w:tc>
          <w:tcPr>
            <w:tcW w:w="0" w:type="dxa"/>
            <w:vAlign w:val="bottom"/>
          </w:tcPr>
          <w:p>
            <w:pPr>
              <w:spacing w:after="0"/>
              <w:rPr>
                <w:sz w:val="1"/>
                <w:szCs w:val="1"/>
                <w:color w:val="auto"/>
              </w:rPr>
            </w:pPr>
          </w:p>
        </w:tc>
      </w:tr>
      <w:tr>
        <w:trPr>
          <w:trHeight w:val="210"/>
        </w:trPr>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10,409,027</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82,064</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(54,765)</w:t>
            </w: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-719455</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-445135</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-161925</wp:posOffset>
            </wp:positionV>
            <wp:extent cx="7132320" cy="1625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94" w:lineRule="exact"/>
        <w:rPr>
          <w:sz w:val="20"/>
          <w:szCs w:val="20"/>
          <w:color w:val="auto"/>
        </w:rPr>
      </w:pPr>
    </w:p>
    <w:p>
      <w:pPr>
        <w:sectPr>
          <w:pgSz w:w="11900" w:h="16838" w:orient="portrait"/>
          <w:cols w:equalWidth="0" w:num="2">
            <w:col w:w="3900" w:space="720"/>
            <w:col w:w="6620"/>
          </w:cols>
          <w:pgMar w:left="320" w:top="819" w:right="3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4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60" w:type="dxa"/>
            <w:vAlign w:val="bottom"/>
            <w:gridSpan w:val="5"/>
            <w:vMerge w:val="restart"/>
          </w:tcPr>
          <w:p>
            <w:pPr>
              <w:ind w:left="66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Pr>
          <w:p>
            <w:pPr>
              <w:spacing w:after="0"/>
              <w:rPr>
                <w:sz w:val="19"/>
                <w:szCs w:val="19"/>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60" w:type="dxa"/>
            <w:vAlign w:val="bottom"/>
            <w:gridSpan w:val="5"/>
            <w:vMerge w:val="continue"/>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paid in</w:t>
            </w: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50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Nine Months Ended September 30, 2023</w:t>
            </w:r>
          </w:p>
        </w:tc>
        <w:tc>
          <w:tcPr>
            <w:tcW w:w="120" w:type="dxa"/>
            <w:vAlign w:val="bottom"/>
            <w:vMerge w:val="restart"/>
          </w:tcPr>
          <w:p>
            <w:pPr>
              <w:spacing w:after="0"/>
              <w:rPr>
                <w:sz w:val="18"/>
                <w:szCs w:val="18"/>
                <w:color w:val="auto"/>
              </w:rPr>
            </w:pPr>
          </w:p>
        </w:tc>
        <w:tc>
          <w:tcPr>
            <w:tcW w:w="1380" w:type="dxa"/>
            <w:vAlign w:val="bottom"/>
            <w:tcBorders>
              <w:top w:val="single" w:sz="8" w:color="auto"/>
            </w:tcBorders>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20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2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5"/>
        </w:trPr>
        <w:tc>
          <w:tcPr>
            <w:tcW w:w="450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7,266,382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75,916</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(50,409)</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25,579</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436</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436</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issued to directors as compensation</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51,616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issued to vendors as compensation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28,554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198"/>
        </w:trPr>
        <w:tc>
          <w:tcPr>
            <w:tcW w:w="46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issued to employees pursuant to the Retention Bonus</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Plan</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62,475</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138</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Issuance of common stock, net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5,424</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5,454</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(4,356)</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(4,356)</w:t>
            </w:r>
          </w:p>
        </w:tc>
        <w:tc>
          <w:tcPr>
            <w:tcW w:w="0" w:type="dxa"/>
            <w:vAlign w:val="bottom"/>
          </w:tcPr>
          <w:p>
            <w:pPr>
              <w:spacing w:after="0"/>
              <w:rPr>
                <w:sz w:val="1"/>
                <w:szCs w:val="1"/>
                <w:color w:val="auto"/>
              </w:rPr>
            </w:pPr>
          </w:p>
        </w:tc>
      </w:tr>
      <w:tr>
        <w:trPr>
          <w:trHeight w:val="20"/>
        </w:trPr>
        <w:tc>
          <w:tcPr>
            <w:tcW w:w="45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as of September 30, 2023</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10,409,027</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82,064</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(54,765)</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27,403</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CREATIVE REALITIES,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 thousands, except shares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 NATURE OF ORGANIZATION AND OPERATIONS</w:t>
      </w:r>
    </w:p>
    <w:p>
      <w:pPr>
        <w:spacing w:after="0" w:line="227"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Unless the context otherwise indicates, references in these Notes to the accompanying Condensed Consolidated Financial Statements to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refer to Creative Realities, Inc. and its subsidiaries.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Nature of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Business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Creative Realities, Inc. is a Minnesota corporation that provides innovative digital marketing technology and solutions to retail companies, individual retail brands, enterprises and organizations throughout the United States and in certain international markets. The Company has expertise in a broad range of existing and emerging digital marketing technologies, as well as the related media management and distribution software platforms and networks, device management, product management, customized software service layers, systems, experiences, workflows, and integrated solutions. Our technology and solutions include digital merchandising systems and omni-channel customer engagement systems, interactive digital shopping assistants, advisors and kiosks, and other interactive marketing technologies such as mobile, social media, point-of-sale transactions, beaconing and web-based media that enable our customers to transform how they engage with consumers. We have expertise in a broad range of existing and emerging digital marketing technologies, as well as the following related aspects of our business: content, network management, and connected device software and firmware platforms; customized software service layers; hardware platforms; digital media workflows; and proprietary processes and automation tools.</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main operations are conducted directly through Creative Realities, Inc., and under our wholly owned subsidiaries Allure Global Solutions, Inc., a Georgia corporation (“Allure”), Creative Realities Canada, Inc., a Canadian corporation (“CRI Canada”), and Reflect Systems, Inc., a Delaware corporation (“Reflect”).</w:t>
      </w:r>
    </w:p>
    <w:p>
      <w:pPr>
        <w:spacing w:after="0" w:line="17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Liquidity and Financial Condition</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accordance with Accounting Standards Update (“ASU”) No. 2014-15, </w:t>
      </w:r>
      <w:r>
        <w:rPr>
          <w:rFonts w:ascii="Times New Roman" w:cs="Times New Roman" w:eastAsia="Times New Roman" w:hAnsi="Times New Roman"/>
          <w:sz w:val="18"/>
          <w:szCs w:val="18"/>
          <w:i w:val="1"/>
          <w:iCs w:val="1"/>
          <w:color w:val="auto"/>
        </w:rPr>
        <w:t>Disclosure of Uncertainties about an Entity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Ability to Continue as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Going Concern (Subtopic 205-40)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ASU 205-40</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the Company has evaluated whether there are certain conditions and events, considered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aggregate, that raise substantial doubt about the Company’s ability to continue as a going concern within one year after the date that the Condensed Consolidated Financial Statements are issued.</w:t>
      </w:r>
    </w:p>
    <w:p>
      <w:pPr>
        <w:spacing w:after="0" w:line="18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At September 30, 2024, the Company has an accumulated deficit of $54,016 and negative working capital of $11,552. For the three and nine months ended September 30, 2024, the Company generated operating income of $1,136 and $1,652, respectively. For the nine months ended September 30, 2024, the Company generated positive net cash flows from operations of $4,750. The Company’s contingent consideration obligation is dependent upon the market value of the Company’s share price at a future date, February 17, 2025, and contractually must be settled in cash. The estimated liability for financial statement accounting purposes is $10,794 as of September 30, 2024. While the Company is currently generating cash from operations and has refinanced its debt, the Credit Agreement (as defined in </w:t>
      </w:r>
      <w:r>
        <w:rPr>
          <w:rFonts w:ascii="Times New Roman" w:cs="Times New Roman" w:eastAsia="Times New Roman" w:hAnsi="Times New Roman"/>
          <w:sz w:val="18"/>
          <w:szCs w:val="18"/>
          <w:u w:val="single" w:color="auto"/>
          <w:color w:val="0000EE"/>
        </w:rPr>
        <w:t>Note 7</w:t>
      </w:r>
      <w:r>
        <w:rPr>
          <w:rFonts w:ascii="Times New Roman" w:cs="Times New Roman" w:eastAsia="Times New Roman" w:hAnsi="Times New Roman"/>
          <w:sz w:val="18"/>
          <w:szCs w:val="18"/>
          <w:color w:val="auto"/>
        </w:rPr>
        <w:t xml:space="preserve"> below) limits, via specific reserve, utilization of the Company’s line of credit to no more than $4,000 for payments to satisfy the contingent consideration obligation. Should the contingent consideration require a cash payment at maturity in excess of the Company’s availability under the Credit Agreement, inclusive of such reserve, the Company may not have sufficient liquidity to settle this obligation without receipt of a waiver under the Credit Agreement or a reduction in the amount of the contingent consideration obligation. The conditions and events raise substantial doubt about the Company's ability to continue as a going concern under the technical framework within ASU 205-40.</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response to these conditions, the Company continues to evaluate its available options for amending its debt facilities or accessing the capital markets via equity financing. However, these plans have not been finalized, are subject to market conditions, in some respects are not within the Company’s control, and therefore cannot be deemed probable. As a result, the Company has concluded that management's plans do not alleviate substantial doubt about the Company's ability to continue as a going concern.</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do not include any adjustments relating to the recoverability and classification of recorded asset amounts or the amounts and classification of liabilities that might result from the outcome of this uncertainty.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2: SUMMARY OF SIGNIFICANT ACCOUNTING POLICIES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summary of the significant accounting policies consistently applied in the preparation of the accompanying Condensed Consolidated Financial Statements follows: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 Basis of Presentation</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the instructions to Form 10-Q and Article 10 of Regulation S-X and include all of the information and disclosures required by generally accepted accounting principles in the United States of America (“GAAP”) for interim financial reporting. These unaudited Condensed Consolidated Financial Statements should be read in conjunction with the Consolidated Financial Statements of the Company and related footnotes for the year ended December 31, 2023, included in the Company’s Annual Report on Form 10-K filed with the Securities and Exchange Commission on March 21, 2024, as amended on April 26, 2024.</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Creative Realities, Inc. and our wholly owned subsidiaries Allure, CRI Canada, and Reflect. All intercompany balances and transactions have been eliminated in consolidation, as applicable. Certain amounts have been reclassified to conform to current period presentation.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results of operations for the interim periods are not necessarily indicative of results of operations for a full year. Management believes the accompanying unaudited Condensed Consolidated Financial Statements reflect all adjustments, including normal recurring items, considered necessary for a fair statement of results for the interim periods presented.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 Recently Issued Accounting Pronouncements Not Yet Adopted</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November 2023, the Financial Accounting Standards Board (“FASB”) issued ASU 2023-07, </w:t>
      </w:r>
      <w:r>
        <w:rPr>
          <w:rFonts w:ascii="Times New Roman" w:cs="Times New Roman" w:eastAsia="Times New Roman" w:hAnsi="Times New Roman"/>
          <w:sz w:val="18"/>
          <w:szCs w:val="18"/>
          <w:i w:val="1"/>
          <w:iCs w:val="1"/>
          <w:color w:val="auto"/>
        </w:rPr>
        <w:t>Segment Reporting (Topic 280): Improvements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Reportable Segment Disclosures</w:t>
      </w:r>
      <w:r>
        <w:rPr>
          <w:rFonts w:ascii="Times New Roman" w:cs="Times New Roman" w:eastAsia="Times New Roman" w:hAnsi="Times New Roman"/>
          <w:sz w:val="18"/>
          <w:szCs w:val="18"/>
          <w:color w:val="auto"/>
        </w:rPr>
        <w:t>, which requires public entities to disclose information about their reportable segments’ significant expenses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segment items on an interim and annual basis. Public entities with a single reportable segment are required to apply the disclosure requirements in ASU 2023-07, as well as all existing segment disclosures and reconciliation requirements in ASC 280 on an interim and annual basis. ASU 2023-07 is effective for fiscal years beginning after December 15, 2023, and for interim periods within fiscal years beginning after December 15, 2024, with early adoption permitted. The Company is currently evaluating the impact of adopting ASU 2023-07.</w:t>
      </w:r>
    </w:p>
    <w:p>
      <w:pPr>
        <w:spacing w:after="0" w:line="18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requires public entities, on an annual basis, to provide disclosure of specific categories in the rate reconciliation, as well as disclosure of income taxes paid disaggregated by jurisdiction. ASU 2023-09 is effective for fiscal years beginning after December 15, 2024, with early adoption permitted. The Company is currently evaluating the impact of adopting ASU 2023-09.</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3. Revenue Recognition</w:t>
      </w:r>
    </w:p>
    <w:p>
      <w:pPr>
        <w:spacing w:after="0" w:line="225"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 xml:space="preserve">We recognize revenue in accordance with Accounting Standards Codification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applying the five-step model.</w:t>
      </w:r>
    </w:p>
    <w:p>
      <w:pPr>
        <w:spacing w:after="0" w:line="16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an arrangement involves multiple performance obligations, the obligations are analyzed to determine the separate units of accounting, whether the obligations have value on a standalone basis and whether there is objective and reliable evidence of their standalone selling price. The total contract transaction price is allocated to the identified performance obligations based upon the relative standalone selling prices of the performance obligations. The standalone selling price is based on an observable price for services sold to other comparable customers, when available, or an estimated selling price using a cost plus margin approach.</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estimates the amount of total contract consideration it expects to receive for variable arrangements by determining the most likely amount it expects to earn from the arrangement based on the expected quantities of services it expects to provide and the contractual pricing based on those quantities. The Company only includes some or a portion of variable consideration in the transaction price when it is probable that a significant reversal in the amount of cumulative revenue recognized will not occur when the uncertainty associated with the variable consideration is subsequently resolved. The Company considers the sensitivity of the estimate, its relationship and experience with the customer and variable services being performed, the range of possible revenue amounts and the magnitude of the variable consideration to the overall arrangement. The Company receives variable consideration in very few instances.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8" w:name="page9"/>
    <w:bookmarkEnd w:id="8"/>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Revenue is recognized when a customer obtains control of promised goods or services under the terms of a contract and is measured as the amount of consideration the Company expects to receive in exchange for transferring goods or providing services. The Company has very few contracts with material extended payment terms as payment is typically due at or shortly after the time of the sale, typically ranging between thirty and ninety days. In those instances where the Company has material extended payment terms (most commonly in multi-year arrangements where the Company acts as an agent to a transaction on behalf of its customers), the Company evaluates and applies constraints to arrive at the revenue recognized in the period in which a contract is entered. Observable prices are used to determine the standalone selling price of separate performance obligations or a cost plus margin approach when one is not available. Sales, value-added and other taxes collected concurrently with revenue producing activities are excluded from revenue.</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recognizes contract assets or unbilled receivables related to revenue recognized for services completed but not yet invoiced to the customers. A contract liability is recognized as deferred revenue when the Company invoices customers in advance of performing the related services under the terms of a contract. Deferred revenue is recognized as revenue when the Company has satisfied the related performance obligation.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uses the practical expedient for recording an immediate expense for incremental costs of obtaining contracts, including certain design/engineering services, commissions, incentives, and payroll taxes, as these incremental and recoverable costs have terms that do not exceed one year.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4. Allowance for Credit Losses</w:t>
      </w:r>
    </w:p>
    <w:p>
      <w:pPr>
        <w:spacing w:after="0" w:line="24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allowance for credit losses is the Company's best estimate of the amount of expected lifetime credit losses in the Company's accounts receivable. The Company regularly reviews the adequacy of its allowance for credit losses. The Company estimates losses over the contractual life using assumptions to capture the risk of loss, even if remote, based principally on how long a receivable has been outstanding. Account balances are charged off against the allowance for credit losses after all reasonable means of collection have been exhausted and the potential for recovery is considered remote. Other factors considered include historical write-off experience, current economic conditions, customer credit, and past transaction history with the customer. The allowance for credit losses is included in accounts receivable, net in the accompanying Condensed Consolidated Balance Sheets.</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had the following activity for its allowance for credit losses for the nine months ended September 30, 2024 and 2023:</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8"/>
        </w:trPr>
        <w:tc>
          <w:tcPr>
            <w:tcW w:w="8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beginning of period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984</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Amounts accrued</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318</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Write-offs charged against the allowance</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(228)</w:t>
            </w:r>
          </w:p>
        </w:tc>
      </w:tr>
      <w:tr>
        <w:trPr>
          <w:trHeight w:val="210"/>
        </w:trPr>
        <w:tc>
          <w:tcPr>
            <w:tcW w:w="80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 as of end of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100" w:type="dxa"/>
            <w:vAlign w:val="bottom"/>
            <w:tcBorders>
              <w:top w:val="single" w:sz="8" w:color="CCEEFF"/>
            </w:tcBorders>
          </w:tcPr>
          <w:p>
            <w:pPr>
              <w:spacing w:after="0"/>
              <w:rPr>
                <w:sz w:val="18"/>
                <w:szCs w:val="18"/>
                <w:color w:val="auto"/>
              </w:rPr>
            </w:pPr>
          </w:p>
        </w:tc>
      </w:tr>
      <w:tr>
        <w:trPr>
          <w:trHeight w:val="20"/>
        </w:trPr>
        <w:tc>
          <w:tcPr>
            <w:tcW w:w="8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5. Inventories</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Inventories are stated at the lower of cost or net realizable value, determined by the first-in, first-out (FIFO) method, and consist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340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0"/>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4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2,020</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2,063</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Work-in-process</w:t>
            </w:r>
          </w:p>
        </w:tc>
        <w:tc>
          <w:tcPr>
            <w:tcW w:w="46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00" w:type="dxa"/>
            <w:vAlign w:val="bottom"/>
          </w:tcPr>
          <w:p>
            <w:pPr>
              <w:spacing w:after="0"/>
              <w:rPr>
                <w:sz w:val="18"/>
                <w:szCs w:val="18"/>
                <w:color w:val="auto"/>
              </w:rPr>
            </w:pPr>
          </w:p>
        </w:tc>
      </w:tr>
      <w:tr>
        <w:trPr>
          <w:trHeight w:val="250"/>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inventories</w:t>
            </w:r>
          </w:p>
        </w:tc>
        <w:tc>
          <w:tcPr>
            <w:tcW w:w="4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3,054</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2,567</w:t>
            </w:r>
          </w:p>
        </w:tc>
      </w:tr>
      <w:tr>
        <w:trPr>
          <w:trHeight w:val="413"/>
        </w:trPr>
        <w:tc>
          <w:tcPr>
            <w:tcW w:w="3400" w:type="dxa"/>
            <w:vAlign w:val="bottom"/>
            <w:tcBorders>
              <w:top w:val="single" w:sz="8" w:color="CCEEFF"/>
            </w:tcBorders>
          </w:tcPr>
          <w:p>
            <w:pPr>
              <w:spacing w:after="0"/>
              <w:rPr>
                <w:sz w:val="24"/>
                <w:szCs w:val="24"/>
                <w:color w:val="auto"/>
              </w:rPr>
            </w:pPr>
          </w:p>
        </w:tc>
        <w:tc>
          <w:tcPr>
            <w:tcW w:w="4600" w:type="dxa"/>
            <w:vAlign w:val="bottom"/>
            <w:tcBorders>
              <w:top w:val="single" w:sz="8" w:color="CCEEFF"/>
            </w:tcBorders>
          </w:tcPr>
          <w:p>
            <w:pPr>
              <w:jc w:val="right"/>
              <w:ind w:right="2250"/>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3400" w:type="dxa"/>
            <w:vAlign w:val="bottom"/>
            <w:tcBorders>
              <w:bottom w:val="single" w:sz="8" w:color="auto"/>
            </w:tcBorders>
          </w:tcPr>
          <w:p>
            <w:pPr>
              <w:spacing w:after="0"/>
              <w:rPr>
                <w:sz w:val="10"/>
                <w:szCs w:val="10"/>
                <w:color w:val="auto"/>
              </w:rPr>
            </w:pPr>
          </w:p>
        </w:tc>
        <w:tc>
          <w:tcPr>
            <w:tcW w:w="46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60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i w:val="1"/>
          <w:iCs w:val="1"/>
          <w:color w:val="auto"/>
        </w:rPr>
        <w:t>6. Impairment of Long-Lived Assets</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We review the carrying value of all long-lived assets, including property and equipment, for impairment in accordance with ASC 360, </w:t>
      </w:r>
      <w:r>
        <w:rPr>
          <w:rFonts w:ascii="Times New Roman" w:cs="Times New Roman" w:eastAsia="Times New Roman" w:hAnsi="Times New Roman"/>
          <w:sz w:val="18"/>
          <w:szCs w:val="18"/>
          <w:i w:val="1"/>
          <w:iCs w:val="1"/>
          <w:color w:val="auto"/>
        </w:rPr>
        <w:t>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 the Impairment or Disposal of Long-Lived Assets</w:t>
      </w:r>
      <w:r>
        <w:rPr>
          <w:rFonts w:ascii="Times New Roman" w:cs="Times New Roman" w:eastAsia="Times New Roman" w:hAnsi="Times New Roman"/>
          <w:sz w:val="18"/>
          <w:szCs w:val="18"/>
          <w:color w:val="auto"/>
        </w:rPr>
        <w:t>. Under ASC 360, impairment losses are recorded whenever events or changes in circumstances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indicate the carrying value of an asset may not be recoverable.</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the impairment tests indicate that the carrying value of the asset is greater than the expected undiscounted cash flows to be generated by such asset, an impairment loss would be recognized. The impairment loss is determined as the amount by which the carrying value of such asset exceeds its fair value. We generally measure fair value by considering sale prices for similar assets or by discounting estimated future cash flows from such assets using an appropriate discount rate. Assets to be disposed of are carried at the lower of their carrying value or fair value less costs to sell. Considerable management judgment is necessary to estimate the fair value of assets, and accordingly, actual results could vary significantly from such estimates.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7. Basic and Diluted Earning (Loss) per Common Share</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Basic and diluted earning (loss) per common share for all periods presented is computed using the weighted average number of common shares outstanding. Basic weighted average shares outstanding includes only outstanding common shares. Diluted weighted average shares outstanding includes outstanding common shares and potential dilutive common shares outstanding in accordance with the treasury stock method.</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Shares reserved for outstanding stock options, including stock options with performance restricted vesting, and warrants totaling 6,219,244 and 7,391,651 at September 30, 2024 and 2023, respectively, were excluded from the computation of loss per share for the nine months ended September 2024 and 2023, as the options and warrants were anti-dilutive.</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Shares reserved for outstanding stock options, including stock options with performance restricted vesting, and warrants totaling 3,363,741 at September 30, 2024 were excluded from the computation of earning per share for the three months ended September 30, 2024, as the options and warrants were anti-dilutive. Shares reserved for outstanding stock options, including stock options with performance restricted vesting, and warrants totaling 7,391,651 at September 30, 2023 were excluded from the computation of loss per share for the three months ended September 30, 2023, as the options and warrants were anti-dilutive.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8. Income Taxes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Deferred income taxes are recognized in the financial statements for the tax consequences in future years of differences between the tax basis of assets and liabilities and their financial reporting amounts based on enacted tax laws and statutory tax rates. Temporary differences arise from a number of matters including, but not limited to, net operating losses, differences in basis of intangibles, stock-based compensation, reserves for uncollectible accounts receivable and inventory, differences in depreciation methods, and accrued expenses. Valuation allowances are established when necessary to reduce deferred tax assets to the amount expected to be realized. The Company accounts for uncertain tax positions utilizing an established recognition threshold and measurement attributes for the financial statement recognition and measurement of a tax position taken or expected to be taken in a tax return. We had no uncertain tax positions as of September 30, 2024 and December 31, 2023.</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9. Goodwill and Intangible Assets</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We follow the provisions of ASC 350, </w:t>
      </w:r>
      <w:r>
        <w:rPr>
          <w:rFonts w:ascii="Times New Roman" w:cs="Times New Roman" w:eastAsia="Times New Roman" w:hAnsi="Times New Roman"/>
          <w:sz w:val="18"/>
          <w:szCs w:val="18"/>
          <w:i w:val="1"/>
          <w:iCs w:val="1"/>
          <w:color w:val="auto"/>
        </w:rPr>
        <w:t>Goodwill and Other Intangible Assets</w:t>
      </w:r>
      <w:r>
        <w:rPr>
          <w:rFonts w:ascii="Times New Roman" w:cs="Times New Roman" w:eastAsia="Times New Roman" w:hAnsi="Times New Roman"/>
          <w:sz w:val="18"/>
          <w:szCs w:val="18"/>
          <w:color w:val="auto"/>
        </w:rPr>
        <w:t>. Pursuant to ASC 350, goodwill acquired in a purchase business combination is not amortized, but instead tested for impairment at least annually. The Company uses an annual measurement date of September 30 to assess impairment of goodwill and indefinite-lived intangible assets, or as indicators are identified.</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Definite-lived intangible assets are amortized straight-line in accordance with their identified useful lives.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10. Use of Estimates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Our significant estimates include: valuation of the contingent consideration, allowance for credit losses, valuation allowances related to deferred taxes, the fair value of acquired assets and liabilities, the fair value of liabilities reliant upon the appraised fair value of the Company, valuation of stock-based compensation awards and other assumptions and estimates used to evaluate the recoverability of long-lived assets, goodwill and other intangible assets and the related amortization methods and periods. Actual results could differ from those estimates.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i w:val="1"/>
          <w:iCs w:val="1"/>
          <w:color w:val="auto"/>
        </w:rPr>
        <w:t>11. Contingent Consideration</w:t>
      </w:r>
    </w:p>
    <w:p>
      <w:pPr>
        <w:spacing w:after="0" w:line="22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November 12, 2021, the Company, Reflect, CRI Acquisition Corporation, a direct wholly owned subsidiary of the Company (“CRI Acquisition”), and RSI Exit Corporation, representative of the former Reflect stockholders (“RSI”), entered into an Agreement and Plan of Merger (as amended on February 8, 2022 and February 11, 2023, the “Merger Agreement”), pursuant to which CRI Acquisition merged with and into Reflect, with Reflect surviving the merger and becoming our wholly owned subsidiary (the “Merger”). At the effective time of the Merger, which occurred on February 17, 2022, all shares of Reflect’s capital were converted into the right to receive cash and a total of 2,333,334 shares of Creative Realities common stock (the “Merger Shares”). The Merger Agreement also requires the Company to pay to the former Reflect stockholders additional contingent cash payments (the “Guaranteed Consideration”), if any, payable on or after February 17, 2025 (subject to the Extension Option described below, the “Guarantee Date”), in an amount by which the value of the Merger Shares on the Guarantee Date is less than $6.40 per share (such applicable amount, the “Guaranteed Price”), multiplied by the number of Merger Shares held by the Reflect stockholders on the Guarantee Date. On March 23, 2023, after the closing of the Merger, the Company completed a 1-for-3 reverse stock split (the “Reverse Split”) primarily intended to bring the Company into compliance with the minimum bid price requirements to maintain the listing of its common stock on the Nasdaq Capital Market. As a result of the Reverse Split, the number of Merger Shares decreased from 2,333,334 to 777,778. The Company and RSI have engaged in discussions regarding the impact that the Reverse Split had on the calculation of the Guaranteed Consideration, given that the Merger Agreement provides for a Guaranteed Price of $6.40 per share and does not provide for any adjustment to the Guaranteed Price as a result of the Reverse Stock Split or other similar transaction with respect to the Company’s common stock. To date, the Company and RSI have not reached any agreement regarding the methodology for calculating Guaranteed Consideration under the plain terms of the Merger Agreement.</w:t>
      </w:r>
    </w:p>
    <w:p>
      <w:pPr>
        <w:spacing w:after="0" w:line="19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contingent liability associated with the Guaranteed Consideration is recorded in the Company’s Condensed Consolidated Balance Sheets at fair value and is remeasured at each reporting period in accordance with ASC 805-30-35-1 using a Monte Carlo simulation model.</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 financial statement purposes, consistent with prior reporting periods since the Reverse Split, the Company has and continues to book a contingent liability as of September 30, 2024 related to the Guaranteed Consideration as though the Reverse Split increased the Guaranteed Price from $6.40 per share to $19.20 per share, thereby recording an estimated potential liability for contingent consideration, at fair value of $10,794. The contingent liability, at fair value, as of September 30, 2024 related to the Guaranteed Consideration that would be calculated using a Guaranteed Price of $6.40 per share would result in an estimated liability of $1,447. The Company engaged an outside independent valuation firm to calculate the fair value of the Guaranteed Consideration at both the $6.40 and $19.20 Guaranteed Prices.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While we believe that the Merger Agreement provides no adjustment to the Guaranteed Price as a result of the Reverse Split, resulting in a lower amount of Guaranteed Consideration than the contingent liability reflected in our financial statements, no assurance can be provided that our interpretation of the Merger Agreement will ultimately be accepted by RSI and the former Reflect stockholders, or by any arbitrator or court that ultimately adjudicates the matter.</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may exercise an extension option (the “Extension Option”) to extend the Guarantee Date by six (6) months, from February 17, 2025 to August 17, 2025, if (i) the Extension Threshold Price is greater than or equal to 70% of the Guaranteed Price described above, and (ii) the Company provides written notice of its election to exercise the Extension Option no later than February 7, 2025. The “Extension Threshold Price” means the average closing price per share of Creative Realities common stock as reported on the Nasdaq Capital Market (or NYSE) in the fifteen (15) consecutive trading day period ending February 2, 2025. The Merger Agreement provides that if the Extension Threshold Price is less than 80% of the Guaranteed Price, then the Guaranteed Price will be increased by $1.00 per share (which amount has not been adjusted as a result of the Reverse Split).</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3: FAIR VALUE MEASUREMENT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measure certain financial assets, including cash equivalents, at fair value on a recurring basis. In accordance with ASC 820-10-30, fair value is a market-based measurement that should be determined based on the assumptions that market participants would use in pricing an asset or liability. As a basis for considering such assumptions, ASC 820-10-35 establishes a three-level hierarchy that prioritizes the inputs used in measuring fair value. The three hierarchy levels are defined as follows: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 — Valuations based on unadjusted quoted prices in active markets for identical assets.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Level 2 — Valuations based on observable inputs (other than Level 1 prices), such as quoted prices for similar assets at the measurement date; quoted prices in markets that are not active; or other inputs that are observable, either directly or indirectly.</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Level 3 — Valuations based on inputs that are unobservable and involve management judgment and the reporting entity’s own assumptions about market participants and pricing.</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calculation of the fair value of the contingent consideration contains inputs which are unobservable and involve management judgment and are considered Level 3 estimates. Additionally, the separately identifiable intangible assets rely on a discounted cash flow model which utilizes inputs including the calculation of the weighted average cost of capital and management’s forecast of future financial performance which are unobservable and involve management judgment and are considered Level 3 estimates.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calculation of the weighted average cost of capital and management’s forecast of future financial performance utilized within our discounted cash flow model for the impairment of goodwill contains inputs which are unobservable and involve management judgment and are considered Level 3 estimates.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4: REVENUE RECOGNITION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applies ASC 606 for revenue recognition. The following table disaggregates the Company’s revenue by major source for the three and nine months ended September 30, 2024 and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Nine Months</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Nine Months</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200" w:type="dxa"/>
            <w:vAlign w:val="bottom"/>
          </w:tcPr>
          <w:p>
            <w:pPr>
              <w:spacing w:after="0"/>
              <w:rPr>
                <w:sz w:val="18"/>
                <w:szCs w:val="18"/>
                <w:color w:val="auto"/>
              </w:rPr>
            </w:pPr>
          </w:p>
        </w:tc>
        <w:tc>
          <w:tcPr>
            <w:tcW w:w="11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200" w:type="dxa"/>
            <w:vAlign w:val="bottom"/>
          </w:tcPr>
          <w:p>
            <w:pPr>
              <w:spacing w:after="0"/>
              <w:rPr>
                <w:sz w:val="18"/>
                <w:szCs w:val="18"/>
                <w:color w:val="auto"/>
              </w:rPr>
            </w:pPr>
          </w:p>
        </w:tc>
        <w:tc>
          <w:tcPr>
            <w:tcW w:w="11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20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38"/>
        </w:trPr>
        <w:tc>
          <w:tcPr>
            <w:tcW w:w="5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0"/>
                <w:szCs w:val="20"/>
                <w:color w:val="auto"/>
              </w:rPr>
            </w:pPr>
          </w:p>
        </w:tc>
      </w:tr>
      <w:tr>
        <w:trPr>
          <w:trHeight w:val="210"/>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Hardware</w:t>
            </w: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5,241</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4,847</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14,409</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12,606</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Managed Services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4,885</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4,320</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14,506</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12,227</w:t>
            </w:r>
          </w:p>
        </w:tc>
      </w:tr>
      <w:tr>
        <w:trPr>
          <w:trHeight w:val="216"/>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Installation Services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2,911</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967</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7,109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3,082</w:t>
            </w:r>
          </w:p>
        </w:tc>
      </w:tr>
      <w:tr>
        <w:trPr>
          <w:trHeight w:val="216"/>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Services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1,405</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1,434</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3,818</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2,793</w:t>
            </w:r>
          </w:p>
        </w:tc>
      </w:tr>
      <w:tr>
        <w:trPr>
          <w:trHeight w:val="20"/>
        </w:trPr>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Services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9,201</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6,721</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25,433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18,102</w:t>
            </w:r>
          </w:p>
        </w:tc>
      </w:tr>
      <w:tr>
        <w:trPr>
          <w:trHeight w:val="210"/>
        </w:trPr>
        <w:tc>
          <w:tcPr>
            <w:tcW w:w="58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Hardware and Services</w:t>
            </w: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14,442</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11,568</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39,842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30,708</w:t>
            </w:r>
          </w:p>
        </w:tc>
      </w:tr>
      <w:tr>
        <w:trPr>
          <w:trHeight w:val="413"/>
        </w:trPr>
        <w:tc>
          <w:tcPr>
            <w:tcW w:w="58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Hardware</w:t>
            </w:r>
          </w:p>
        </w:tc>
        <w:tc>
          <w:tcPr>
            <w:tcW w:w="1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System hardware revenue is recognized generally upon shipment of the product or customer acceptance depending upon contractual arrangements with the customer in instances in which the sale of hardware is the sole performance obligation. Shipping charges billed to customers are included in hardware sales and the related shipping costs are included in hardware cost of sales. The cost of freight and shipping to the customer is recognized in cost of sales at the time of transfer of control to the customer.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Managed Services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Software as a service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SaaS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license sales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Software as a service includes revenue from software licensing and delivery in which software is licensed on a subscription basis and is centrally hosted by the Company. These services often include software updates which provide customers with rights to unspecified software product upgrades and maintenance releases and patches released during the term of the support period. Contracts for these services are generally 12-36 months in length. We account for revenue from these services in accordance with ASC 985-20-15-5 and recognize revenue ratably over the performance period.</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Maintenance and support services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sells support services that include access to technical support personnel for software and hardware troubleshooting. The Company offers a hosting service through our network operations center, or NOC, allowing the ability to monitor and support our customers’ networks 7 days a week, 24 hours a day. These contracts are generally 12-36 months in length and typically have autorenewal terms. Revenue is recognized over the term of the agreement in proportion to the costs incurred in fulfilling performance obligations under the contract.</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Maintenance and support fees are based on the level of service provided to end customers, which can range from monitoring the health of a customer’s network, supporting a sophisticated web-portal, or managing the end-to-end hardware and software of a digital marketing system. These agreements are renewable by the customer. Rates for maintenance and support, including subsequent renewal rates, are typically established based upon a fee per location, per device, or a specified percentage of net software license fees as set forth in the arrangement. These contracts are generally 12-36 months in length. Revenue is recognized ratably and evenly over the service period.</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also performs time and materials-based maintenance and repair work for customers. Revenue is recognized at a point in time when the performance obligation has been fully satisfied.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Installation Services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performs installation services associated with system hardware sales to customers and recognizes revenue upon completion of the installations. Installation services also include engineering and configuration services required to be performed to design and deploy a digital signage system that subsequently becomes an installation project.</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When system hardware sales include installation services to be performed by the Company, the goods and services in the contract are, in certain instances, not distinct as the customer contract contemplates an installed solution, inclusive of system hardware. In those instances, the arrangement is accounted for as a single performance obligation. Our customers may control the work-in-process and can make changes to the design specifications over the contract term. In these circumstances, revenues are recognized over time as the installation services are completed based on the relative portion of labor hours completed as a percentage of the budgeted hours for the installation. Typically, in large scale deployments that include installation services, the contract terms segregate performance obligations related to hardware sales and installation services by providing for different legal transfer of title and risk of loss. In those circumstances, installation services are deemed to be a separate performance obligation. In each instance, installation services are recognized at the time of completion.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Other Services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Software design and development services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Software design and custom development sales represent fixed fee orders for work on a time and materials basis and are recognized as revenue when the application, feature, or custom software code has been received and delivery has occurred to the customer. Revenue is recognized generally upon customer acceptance (point-in-time) of the software product and verification that it meets the required specifications. Software is delivered to customers electronically.</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Media sales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Media revenues are derived from selling (i) promotion and sponsorship packages to monetize customer infrastructure assets, including mobile takeover or physical presence, or (ii) digital advertising inventory to advertisers on digital displays or other outdoor structures, owned or controlled by our customers, each within physical venues. We sell advertising or sponsorship opportunities on behalf of our media network owner customers to brands and advertisers. We generally do not own the devices that display the sold digital advertising. The Company has concluded that it acts as an agent and reports media revenues on a net basis, with the Company recording its commission, which typically is between thirty percent (30%) and forty percent (40%) of the total media sales contract, as revenue in the consolidated financial statements.</w:t>
      </w:r>
    </w:p>
    <w:p>
      <w:pPr>
        <w:spacing w:after="0" w:line="187" w:lineRule="exact"/>
        <w:rPr>
          <w:sz w:val="20"/>
          <w:szCs w:val="20"/>
          <w:color w:val="auto"/>
        </w:rPr>
      </w:pPr>
    </w:p>
    <w:p>
      <w:pPr>
        <w:ind w:left="160" w:right="120" w:firstLine="648"/>
        <w:spacing w:after="0" w:line="261" w:lineRule="auto"/>
        <w:rPr>
          <w:sz w:val="20"/>
          <w:szCs w:val="20"/>
          <w:color w:val="auto"/>
        </w:rPr>
      </w:pPr>
      <w:r>
        <w:rPr>
          <w:rFonts w:ascii="Times New Roman" w:cs="Times New Roman" w:eastAsia="Times New Roman" w:hAnsi="Times New Roman"/>
          <w:sz w:val="18"/>
          <w:szCs w:val="18"/>
          <w:color w:val="auto"/>
        </w:rPr>
        <w:t>The media sales contracts we facilitate on behalf of our customers range from a single day to eight years. The Company invoices advertisers on behalf of our customers and remits the net cash to our customer after the advertiser has paid the Company the fees owed for such advertising.</w:t>
      </w:r>
    </w:p>
    <w:p>
      <w:pPr>
        <w:ind w:left="160" w:right="460"/>
        <w:spacing w:after="0" w:line="255" w:lineRule="auto"/>
        <w:rPr>
          <w:sz w:val="20"/>
          <w:szCs w:val="20"/>
          <w:color w:val="auto"/>
        </w:rPr>
      </w:pPr>
      <w:r>
        <w:rPr>
          <w:rFonts w:ascii="Times New Roman" w:cs="Times New Roman" w:eastAsia="Times New Roman" w:hAnsi="Times New Roman"/>
          <w:sz w:val="18"/>
          <w:szCs w:val="18"/>
          <w:color w:val="auto"/>
        </w:rPr>
        <w:t>Media revenue services are recognized when the Company has completed its performance obligations under the contract with our customers, which typically has concluded upon facilitating execution of contracts between our customer and a brand/advertiser. The Company applies time-based constraints in accordance with ASC 606 to evaluate the earned portion of the contract to record at execution.</w:t>
      </w:r>
    </w:p>
    <w:p>
      <w:pPr>
        <w:spacing w:after="0" w:line="186" w:lineRule="exact"/>
        <w:rPr>
          <w:sz w:val="20"/>
          <w:szCs w:val="20"/>
          <w:color w:val="auto"/>
        </w:rPr>
      </w:pPr>
    </w:p>
    <w:p>
      <w:pPr>
        <w:ind w:left="160" w:right="80" w:firstLine="648"/>
        <w:spacing w:after="0" w:line="282" w:lineRule="auto"/>
        <w:rPr>
          <w:sz w:val="20"/>
          <w:szCs w:val="20"/>
          <w:color w:val="auto"/>
        </w:rPr>
      </w:pPr>
      <w:r>
        <w:rPr>
          <w:rFonts w:ascii="Times New Roman" w:cs="Times New Roman" w:eastAsia="Times New Roman" w:hAnsi="Times New Roman"/>
          <w:sz w:val="18"/>
          <w:szCs w:val="18"/>
          <w:color w:val="auto"/>
        </w:rPr>
        <w:t>For revenues generated through the use of a subcontracted advertising agency, commissions are calculated based on a stated percentage of gross advertising revenue and reported in the Condensed Consolidated Statements of Operations within Sales and Marketing Expenses.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SUPPLEMENTAL CASH FLOW STATEMENT INFORMATION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660" w:type="dxa"/>
            <w:vAlign w:val="bottom"/>
            <w:gridSpan w:val="5"/>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4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non-cash investing activities</w:t>
            </w:r>
          </w:p>
        </w:tc>
        <w:tc>
          <w:tcPr>
            <w:tcW w:w="26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5400" w:type="dxa"/>
            <w:vAlign w:val="bottom"/>
            <w:gridSpan w:val="3"/>
            <w:vMerge w:val="continue"/>
          </w:tcPr>
          <w:p>
            <w:pPr>
              <w:spacing w:after="0"/>
              <w:rPr>
                <w:sz w:val="14"/>
                <w:szCs w:val="14"/>
                <w:color w:val="auto"/>
              </w:rPr>
            </w:pPr>
          </w:p>
        </w:tc>
        <w:tc>
          <w:tcPr>
            <w:tcW w:w="260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60" w:type="dxa"/>
            <w:vAlign w:val="bottom"/>
            <w:tcBorders>
              <w:top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software in accounts payable</w:t>
            </w:r>
          </w:p>
        </w:tc>
        <w:tc>
          <w:tcPr>
            <w:tcW w:w="3560" w:type="dxa"/>
            <w:vAlign w:val="bottom"/>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w:t>
            </w:r>
          </w:p>
        </w:tc>
        <w:tc>
          <w:tcPr>
            <w:tcW w:w="108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16"/>
        </w:trPr>
        <w:tc>
          <w:tcPr>
            <w:tcW w:w="5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Property and equipment in accounts payable</w:t>
            </w:r>
          </w:p>
        </w:tc>
        <w:tc>
          <w:tcPr>
            <w:tcW w:w="356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5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new finance lease liabilities</w:t>
            </w:r>
          </w:p>
        </w:tc>
        <w:tc>
          <w:tcPr>
            <w:tcW w:w="3560" w:type="dxa"/>
            <w:vAlign w:val="bottom"/>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108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16"/>
        </w:trPr>
        <w:tc>
          <w:tcPr>
            <w:tcW w:w="5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Capitalized deferred financing costs in accounts payable</w:t>
            </w:r>
          </w:p>
        </w:tc>
        <w:tc>
          <w:tcPr>
            <w:tcW w:w="356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c>
          <w:tcPr>
            <w:tcW w:w="108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4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Supplemental disclosure information for cash flow</w:t>
            </w:r>
          </w:p>
        </w:tc>
        <w:tc>
          <w:tcPr>
            <w:tcW w:w="26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6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26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Interest</w:t>
            </w:r>
          </w:p>
        </w:tc>
        <w:tc>
          <w:tcPr>
            <w:tcW w:w="356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933</w:t>
            </w:r>
          </w:p>
        </w:tc>
        <w:tc>
          <w:tcPr>
            <w:tcW w:w="108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1,303</w:t>
            </w:r>
          </w:p>
        </w:tc>
        <w:tc>
          <w:tcPr>
            <w:tcW w:w="0" w:type="dxa"/>
            <w:vAlign w:val="bottom"/>
          </w:tcPr>
          <w:p>
            <w:pPr>
              <w:spacing w:after="0"/>
              <w:rPr>
                <w:sz w:val="1"/>
                <w:szCs w:val="1"/>
                <w:color w:val="auto"/>
              </w:rPr>
            </w:pPr>
          </w:p>
        </w:tc>
      </w:tr>
      <w:tr>
        <w:trPr>
          <w:trHeight w:val="216"/>
        </w:trPr>
        <w:tc>
          <w:tcPr>
            <w:tcW w:w="5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3560" w:type="dxa"/>
            <w:vAlign w:val="bottom"/>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442</w:t>
            </w:r>
          </w:p>
        </w:tc>
        <w:tc>
          <w:tcPr>
            <w:tcW w:w="108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566</w:t>
            </w:r>
          </w:p>
        </w:tc>
        <w:tc>
          <w:tcPr>
            <w:tcW w:w="0" w:type="dxa"/>
            <w:vAlign w:val="bottom"/>
          </w:tcPr>
          <w:p>
            <w:pPr>
              <w:spacing w:after="0"/>
              <w:rPr>
                <w:sz w:val="1"/>
                <w:szCs w:val="1"/>
                <w:color w:val="auto"/>
              </w:rPr>
            </w:pPr>
          </w:p>
        </w:tc>
      </w:tr>
      <w:tr>
        <w:trPr>
          <w:trHeight w:val="234"/>
        </w:trPr>
        <w:tc>
          <w:tcPr>
            <w:tcW w:w="5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Income taxes, net</w:t>
            </w:r>
          </w:p>
        </w:tc>
        <w:tc>
          <w:tcPr>
            <w:tcW w:w="356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w:t>
            </w:r>
          </w:p>
        </w:tc>
        <w:tc>
          <w:tcPr>
            <w:tcW w:w="108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414"/>
        </w:trPr>
        <w:tc>
          <w:tcPr>
            <w:tcW w:w="3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600" w:type="dxa"/>
            <w:vAlign w:val="bottom"/>
          </w:tcPr>
          <w:p>
            <w:pPr>
              <w:jc w:val="right"/>
              <w:ind w:right="2190"/>
              <w:spacing w:after="0"/>
              <w:rPr>
                <w:sz w:val="20"/>
                <w:szCs w:val="20"/>
                <w:color w:val="auto"/>
              </w:rPr>
            </w:pPr>
            <w:r>
              <w:rPr>
                <w:rFonts w:ascii="Times New Roman" w:cs="Times New Roman" w:eastAsia="Times New Roman" w:hAnsi="Times New Roman"/>
                <w:sz w:val="18"/>
                <w:szCs w:val="18"/>
                <w:color w:val="auto"/>
              </w:rPr>
              <w:t>12</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2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tcPr>
          <w:p>
            <w:pPr>
              <w:spacing w:after="0"/>
              <w:rPr>
                <w:sz w:val="10"/>
                <w:szCs w:val="10"/>
                <w:color w:val="auto"/>
              </w:rPr>
            </w:pPr>
          </w:p>
        </w:tc>
        <w:tc>
          <w:tcPr>
            <w:tcW w:w="26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0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6: INTANGIBLE ASSETS, INCLUDING GOODWILL</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Intangible assets consisted of the following at September 30, 2024 and December 31,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40" w:type="dxa"/>
            <w:vAlign w:val="bottom"/>
            <w:gridSpan w:val="6"/>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00" w:type="dxa"/>
            <w:vAlign w:val="bottom"/>
          </w:tcPr>
          <w:p>
            <w:pPr>
              <w:spacing w:after="0"/>
              <w:rPr>
                <w:sz w:val="18"/>
                <w:szCs w:val="18"/>
                <w:color w:val="auto"/>
              </w:rPr>
            </w:pPr>
          </w:p>
        </w:tc>
        <w:tc>
          <w:tcPr>
            <w:tcW w:w="2800" w:type="dxa"/>
            <w:vAlign w:val="bottom"/>
            <w:gridSpan w:val="6"/>
          </w:tcPr>
          <w:p>
            <w:pPr>
              <w:ind w:left="7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0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5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center"/>
              <w:ind w:right="30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Accumulated</w:t>
            </w:r>
          </w:p>
        </w:tc>
      </w:tr>
      <w:tr>
        <w:trPr>
          <w:trHeight w:val="238"/>
        </w:trPr>
        <w:tc>
          <w:tcPr>
            <w:tcW w:w="50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00" w:type="dxa"/>
            <w:vAlign w:val="bottom"/>
          </w:tcPr>
          <w:p>
            <w:pPr>
              <w:spacing w:after="0"/>
              <w:rPr>
                <w:sz w:val="20"/>
                <w:szCs w:val="20"/>
                <w:color w:val="auto"/>
              </w:rPr>
            </w:pPr>
          </w:p>
        </w:tc>
      </w:tr>
      <w:tr>
        <w:trPr>
          <w:trHeight w:val="210"/>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 platform</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6,900</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2,830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6,900</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2,255</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Purchased and developed software</w:t>
            </w:r>
          </w:p>
        </w:tc>
        <w:tc>
          <w:tcPr>
            <w:tcW w:w="2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6,441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4,138</w:t>
            </w: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5,284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3,405</w:t>
            </w: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Internally developed software platform</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7,129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323</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6,080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13,910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4,026</w:t>
            </w: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3,054</w:t>
            </w: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1,260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804</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660</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Non-compete</w:t>
            </w:r>
          </w:p>
        </w:tc>
        <w:tc>
          <w:tcPr>
            <w:tcW w:w="2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50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35,640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12,121</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33,464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9,402</w:t>
            </w:r>
          </w:p>
        </w:tc>
      </w:tr>
      <w:tr>
        <w:trPr>
          <w:trHeight w:val="20"/>
        </w:trPr>
        <w:tc>
          <w:tcPr>
            <w:tcW w:w="50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2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12,121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9,402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50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book value of amortizable intangible assets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23,519</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24,062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0"/>
        </w:trPr>
        <w:tc>
          <w:tcPr>
            <w:tcW w:w="50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2024 and 2023, amortization of intangible assets charged to operations was $1,081 and $766, respectively. For the nine months ended September 30, 2024 and 2023, amortization of intangible assets charged to operations was $2,749 and $2,274, respectively.</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fair value of net assets acquired. Goodwill is subject to an impairment review at a reporting unit level, evaluated on an annual basis at September 30th each fiscal year, when an event occurs, or circumstances change that would indicate potential impairment. The assessment may be performed quantitatively or qualitatively. The Company has only one reporting unit, and therefore the entire goodwill is allocated to that reporting unit. The Company assesses the carrying value of goodwill at the reporting unit level based on an estimate of the fair value of its reporting unit.</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Using the quantitative approach, fair value of the reporting unit is estimated using both (1) a market approach, leveraging recent industry merger and acquisition activity as well as comparable public company information, and (2) a discounted cash flow analyses consisting of various assumptions, including expectations of future cash flows based on projections or forecasts derived from analysis of business prospects and economic or market trends that may occur. Specifically, the Company gives significant consideration to actual historic financial results, including revenue growth rates in the current and preceding three years, further informed by known backlog and customer acquisitions.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Using the qualitative approach, the Company reviews macroeconomic conditions, industry and market conditions and entity specific factors, including strategies and financial performance for potential indicators of impairment.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performed its annual impairment of goodwill qualitatively in 2024, and quantitatively in 2023 to determine whether it is more likely than not that the fair value of our reporting unit is below its carrying amount. Based on the Company’s assessment, we determined that the fair value of our reporting unit exceeded its carrying value, and accordingly, the goodwill associated with the reporting unit was not considered to be impaired at September 30, 2024 and 2023.</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recognizes that any changes in our actual fourth quarter 2024 or projected 2025 results could potentially have a material impact on our assessment of goodwill impairment. The Company will continue to monitor the actual performance of its operations against expectations and assess indicators of possible impairment. The valuation of goodwill and intangible assets is subject to a high degree of judgment, uncertainty and complexity. Should any indicators of impairment occur in subsequent periods, the Company will be required to perform an analysis in order to determine whether goodwill is impaired.</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7: DEBT</w:t>
            </w: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2940" w:type="dxa"/>
            <w:vAlign w:val="bottom"/>
            <w:gridSpan w:val="4"/>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180" w:type="dxa"/>
            <w:vAlign w:val="bottom"/>
            <w:gridSpan w:val="5"/>
          </w:tcPr>
          <w:p>
            <w:pPr>
              <w:ind w:left="660"/>
              <w:spacing w:after="0"/>
              <w:rPr>
                <w:sz w:val="20"/>
                <w:szCs w:val="20"/>
                <w:color w:val="auto"/>
              </w:rPr>
            </w:pPr>
            <w:r>
              <w:rPr>
                <w:rFonts w:ascii="Times New Roman" w:cs="Times New Roman" w:eastAsia="Times New Roman" w:hAnsi="Times New Roman"/>
                <w:sz w:val="18"/>
                <w:szCs w:val="18"/>
                <w:color w:val="auto"/>
              </w:rPr>
              <w:t>Debt for the Company consists of the following:</w:t>
            </w: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Interest Rate</w:t>
            </w:r>
          </w:p>
        </w:tc>
        <w:tc>
          <w:tcPr>
            <w:tcW w:w="0" w:type="dxa"/>
            <w:vAlign w:val="bottom"/>
          </w:tcPr>
          <w:p>
            <w:pPr>
              <w:spacing w:after="0"/>
              <w:rPr>
                <w:sz w:val="1"/>
                <w:szCs w:val="1"/>
                <w:color w:val="auto"/>
              </w:rPr>
            </w:pPr>
          </w:p>
        </w:tc>
      </w:tr>
      <w:tr>
        <w:trPr>
          <w:trHeight w:val="194"/>
        </w:trPr>
        <w:tc>
          <w:tcPr>
            <w:tcW w:w="1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Debt Instrument</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Issuance Date</w:t>
            </w:r>
          </w:p>
        </w:tc>
        <w:tc>
          <w:tcPr>
            <w:tcW w:w="10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Maturity Date</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12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200" w:type="dxa"/>
            <w:vAlign w:val="bottom"/>
          </w:tcPr>
          <w:p>
            <w:pPr>
              <w:spacing w:after="0"/>
              <w:rPr>
                <w:sz w:val="20"/>
                <w:szCs w:val="20"/>
                <w:color w:val="auto"/>
              </w:rPr>
            </w:pPr>
          </w:p>
        </w:tc>
        <w:tc>
          <w:tcPr>
            <w:tcW w:w="1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Information</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38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5/23/2024</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5/23/2027</w:t>
            </w:r>
          </w:p>
        </w:tc>
        <w:tc>
          <w:tcPr>
            <w:tcW w:w="3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10,979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None</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See below</w:t>
            </w:r>
          </w:p>
        </w:tc>
        <w:tc>
          <w:tcPr>
            <w:tcW w:w="0" w:type="dxa"/>
            <w:vAlign w:val="bottom"/>
          </w:tcPr>
          <w:p>
            <w:pPr>
              <w:spacing w:after="0"/>
              <w:rPr>
                <w:sz w:val="1"/>
                <w:szCs w:val="1"/>
                <w:color w:val="auto"/>
              </w:rPr>
            </w:pPr>
          </w:p>
        </w:tc>
      </w:tr>
      <w:tr>
        <w:trPr>
          <w:trHeight w:val="216"/>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Acquisition Term Loan</w:t>
            </w:r>
          </w:p>
        </w:tc>
        <w:tc>
          <w:tcPr>
            <w:tcW w:w="13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2/17/2022</w:t>
            </w:r>
          </w:p>
        </w:tc>
        <w:tc>
          <w:tcPr>
            <w:tcW w:w="1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2/15/2025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10,000</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833,334</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Consolidation Term Loan</w:t>
            </w:r>
          </w:p>
        </w:tc>
        <w:tc>
          <w:tcPr>
            <w:tcW w:w="138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2/17/2022</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2/15/2025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5,147</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898,165</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9"/>
        </w:trPr>
        <w:tc>
          <w:tcPr>
            <w:tcW w:w="124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debt, gross</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10,979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15,147</w:t>
            </w: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Less: Deferred financing costs</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1,628</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debt, net</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10,710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13,519</w:t>
            </w: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Less: Current portion</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3,690</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long-term debt, net</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10,710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9,829</w:t>
            </w:r>
          </w:p>
        </w:tc>
        <w:tc>
          <w:tcPr>
            <w:tcW w:w="1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4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May 23, 2024, the Company entered into a Credit Agreement (the "Credit Agreement") with First Merchants Bank (the "Bank"). The Credit Agreement provides the Company with a $22,100 secured revolving credit facility, with an uncommitted accordion feature that provides for additional borrowing capacity of up to $5,000, subject to the Bank's approval and other customary terms and conditions set forth in the Credit Agreement. The revolving credit facility matures on May 23, 2027, subject to any earlier default under the Credit Agreement. The Credit Agreement requires the Company to pay the entire unpaid principal balance of the revolving credit facility on the maturity date, subject to any earlier default under the Credit Agreement. The Credit Agreement includes, among other things, the occurrence of any event which could reasonably be anticipated to cause or result in a “Material Adverse Effect” (as defined in the Credit Agreement) as an event of default under which the outstanding balance could become due and payable to the Bank. The Company has determined that the risk of such event is not probable and therefore has classified the outstanding balance in long-term liabilities in the Condensed Consolidated Balance Sheets based on the maturity date.</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May 23, 2024, the Company borrowed $13,667 under the revolving credit facility to repay all obligations owing to its prior lender, Slipstream Communications, LLC, including the outstanding principal balance of $10,000 on the Acquisition Term Loan, the outstanding principal balance of $3,593 on the Consolidation Term Loan and accrued interest expense incurred through the payoff date of $74. The Company recognized a $1,059 loss on extinguishment of debt equal to the unamortized portion of debt discount at May 23, 2024 associated with the Acquisition Term Loan and Consolidation Term Loan.</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revolving credit facility accrues interest at a floating rate equal to the 1-month SOFR, plus 0.11%, plus a floating margin ranging from 2.00% to 3.50% that adjusts quarterly, depending upon the Company's Senior Funded Debt to EBITDA Ratio. The floating margin is determined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Senior Funded Debt to EBITDA Ratio</w:t>
            </w:r>
          </w:p>
        </w:tc>
        <w:tc>
          <w:tcPr>
            <w:tcW w:w="48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Floating Margin</w:t>
            </w: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&lt; 1.00 to 1</w:t>
            </w:r>
          </w:p>
        </w:tc>
        <w:tc>
          <w:tcPr>
            <w:tcW w:w="4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 1.00 to 1.00 but &lt; 2.00 to 1.00</w:t>
            </w:r>
          </w:p>
        </w:tc>
        <w:tc>
          <w:tcPr>
            <w:tcW w:w="4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2.00 to 1.00 but &lt; 3.00 to 1.00</w:t>
            </w:r>
          </w:p>
        </w:tc>
        <w:tc>
          <w:tcPr>
            <w:tcW w:w="4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34"/>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 3.00 to 1.00</w:t>
            </w:r>
          </w:p>
        </w:tc>
        <w:tc>
          <w:tcPr>
            <w:tcW w:w="4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r>
    </w:tbl>
    <w:p>
      <w:pPr>
        <w:spacing w:after="0" w:line="17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effective interest rate at September 30, 2024 was 7.81%. The Company pays accrued interest monthly on the first day of each successive calendar month.</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incurred $306 of deferred financing costs that were capitalized and recorded as other non-current assets within the Condensed Consolidated Balance Sheets. Deferred financing costs are being amortized as interest expense over the respective debt instrument period, 36 months.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had $10,979 in outstanding borrowings under the revolving credit facility as of September 30, 2024. Total availability under the revolving facility was $7,121, after accounting for $4,000 reserved under the Credit Agreement until resolution of the Contingent Consideration.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September 30, 2024, the Company was in compliance with all applicable debt covenants.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8: COMMITMENTS AND CONTINGENCIES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is not party to any material legal proceedings, other than ordinary routine litigation incidental to the business, and there were no other such proceedings pending during the period covered by this Report.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9: INCOME TAXES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deferred tax assets are primarily related to net federal and state operating loss carryforwards (“NOLs”). We have substantial NOLs that are limited in usage by IRC Section 382. IRC Section 382 generally imposes an annual limitation on the amount of NOLs that may be used to offset taxable income when a corporation has undergone significant changes in stock ownership within a statutory testing period. We have performed a preliminary analysis of the annual NOL carryforwards and limitations that are available to be used against taxable income. Based on the history of losses of the Company, there continues to be a full valuation allowance against the net deferred tax assets of the Company with a definite life.</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2024, we reported tax expense of $192, compared to a tax benefit of $15 for the three months ended September 30, 2023. For the nine months ended September 30, 2024 and 2023, we reported tax expense of $226 and $73, respectively. At September 30, 2024, the net deferred tax liabilities were $229 after valuation allowance, compared to net tax liabilities of $73 at December 31, 2023.</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10: WARRANTS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had outstanding warrants accounted for as equity instruments in the Company's Condensed Consolidated Financial Statements totaling 4,587,002 at September 30, 2024 and December 31, 2023 with a weighted average exercise price of $4.90. The weighted average remaining contractual life of the outstanding warrants was 3.36 and 4.11 years at September 30, 2024 and December 31, 2023, respectively.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7"/>
        </w:trPr>
        <w:tc>
          <w:tcPr>
            <w:tcW w:w="46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NOTE 11: STOCK-BASED COMPENSATION</w:t>
            </w: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40" w:type="dxa"/>
            <w:vAlign w:val="bottom"/>
            <w:gridSpan w:val="3"/>
            <w:shd w:val="clear" w:color="auto" w:fill="000000"/>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660" w:type="dxa"/>
            <w:vAlign w:val="bottom"/>
            <w:gridSpan w:val="6"/>
          </w:tcPr>
          <w:p>
            <w:pPr>
              <w:ind w:left="660"/>
              <w:spacing w:after="0"/>
              <w:rPr>
                <w:sz w:val="20"/>
                <w:szCs w:val="20"/>
                <w:color w:val="auto"/>
              </w:rPr>
            </w:pPr>
            <w:r>
              <w:rPr>
                <w:rFonts w:ascii="Times New Roman" w:cs="Times New Roman" w:eastAsia="Times New Roman" w:hAnsi="Times New Roman"/>
                <w:sz w:val="18"/>
                <w:szCs w:val="18"/>
                <w:color w:val="auto"/>
              </w:rPr>
              <w:t>A summary of outstanding options is included below:</w:t>
            </w: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Time Vesting Options</w:t>
            </w: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16"/>
        </w:trPr>
        <w:tc>
          <w:tcPr>
            <w:tcW w:w="3280" w:type="dxa"/>
            <w:vAlign w:val="bottom"/>
            <w:gridSpan w:val="2"/>
          </w:tcPr>
          <w:p>
            <w:pPr>
              <w:ind w:left="1560"/>
              <w:spacing w:after="0"/>
              <w:rPr>
                <w:sz w:val="20"/>
                <w:szCs w:val="20"/>
                <w:color w:val="auto"/>
              </w:rPr>
            </w:pPr>
            <w:r>
              <w:rPr>
                <w:rFonts w:ascii="Times New Roman" w:cs="Times New Roman" w:eastAsia="Times New Roman" w:hAnsi="Times New Roman"/>
                <w:sz w:val="18"/>
                <w:szCs w:val="18"/>
                <w:b w:val="1"/>
                <w:bCs w:val="1"/>
                <w:color w:val="auto"/>
              </w:rPr>
              <w:t>Range of Exercise</w:t>
            </w: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2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0" w:type="dxa"/>
            <w:vAlign w:val="bottom"/>
          </w:tcPr>
          <w:p>
            <w:pPr>
              <w:spacing w:after="0"/>
              <w:rPr>
                <w:sz w:val="1"/>
                <w:szCs w:val="1"/>
                <w:color w:val="auto"/>
              </w:rPr>
            </w:pPr>
          </w:p>
        </w:tc>
      </w:tr>
      <w:tr>
        <w:trPr>
          <w:trHeight w:val="238"/>
        </w:trPr>
        <w:tc>
          <w:tcPr>
            <w:tcW w:w="3280" w:type="dxa"/>
            <w:vAlign w:val="bottom"/>
            <w:tcBorders>
              <w:bottom w:val="single" w:sz="8" w:color="auto"/>
            </w:tcBorders>
            <w:gridSpan w:val="2"/>
          </w:tcPr>
          <w:p>
            <w:pPr>
              <w:ind w:left="1680"/>
              <w:spacing w:after="0"/>
              <w:rPr>
                <w:sz w:val="20"/>
                <w:szCs w:val="20"/>
                <w:color w:val="auto"/>
              </w:rPr>
            </w:pPr>
            <w:r>
              <w:rPr>
                <w:rFonts w:ascii="Times New Roman" w:cs="Times New Roman" w:eastAsia="Times New Roman" w:hAnsi="Times New Roman"/>
                <w:sz w:val="18"/>
                <w:szCs w:val="18"/>
                <w:b w:val="1"/>
                <w:bCs w:val="1"/>
                <w:color w:val="auto"/>
              </w:rPr>
              <w:t>Prices between</w:t>
            </w: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300" w:type="dxa"/>
            <w:vAlign w:val="bottom"/>
            <w:gridSpan w:val="2"/>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Life</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1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$4.01 - $8.00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566,673</w:t>
            </w:r>
          </w:p>
        </w:tc>
        <w:tc>
          <w:tcPr>
            <w:tcW w:w="80" w:type="dxa"/>
            <w:vAlign w:val="bottom"/>
            <w:tcBorders>
              <w:lef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24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566,673</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7.42</w:t>
            </w:r>
          </w:p>
        </w:tc>
        <w:tc>
          <w:tcPr>
            <w:tcW w:w="0" w:type="dxa"/>
            <w:vAlign w:val="bottom"/>
          </w:tcPr>
          <w:p>
            <w:pPr>
              <w:spacing w:after="0"/>
              <w:rPr>
                <w:sz w:val="1"/>
                <w:szCs w:val="1"/>
                <w:color w:val="auto"/>
              </w:rPr>
            </w:pPr>
          </w:p>
        </w:tc>
      </w:tr>
      <w:tr>
        <w:trPr>
          <w:trHeight w:val="216"/>
        </w:trPr>
        <w:tc>
          <w:tcPr>
            <w:tcW w:w="31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$8.01+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92,235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23.87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92,235</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23.87</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3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658,908</w:t>
            </w:r>
          </w:p>
        </w:tc>
        <w:tc>
          <w:tcPr>
            <w:tcW w:w="80" w:type="dxa"/>
            <w:vAlign w:val="bottom"/>
            <w:tcBorders>
              <w:left w:val="single" w:sz="8" w:color="CCEEFF"/>
            </w:tcBorders>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240" w:type="dxa"/>
            <w:vAlign w:val="bottom"/>
            <w:tcBorders>
              <w:left w:val="single" w:sz="8" w:color="CCEEFF"/>
            </w:tcBorders>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658,908</w:t>
            </w: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90"/>
        </w:trPr>
        <w:tc>
          <w:tcPr>
            <w:tcW w:w="328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Performance Vesting Options</w:t>
            </w:r>
          </w:p>
        </w:tc>
        <w:tc>
          <w:tcPr>
            <w:tcW w:w="360" w:type="dxa"/>
            <w:vAlign w:val="bottom"/>
            <w:tcBorders>
              <w:top w:val="single" w:sz="8" w:color="CCEEFF"/>
            </w:tcBorders>
          </w:tcPr>
          <w:p>
            <w:pPr>
              <w:spacing w:after="0"/>
              <w:rPr>
                <w:sz w:val="24"/>
                <w:szCs w:val="24"/>
                <w:color w:val="auto"/>
              </w:rPr>
            </w:pPr>
          </w:p>
        </w:tc>
        <w:tc>
          <w:tcPr>
            <w:tcW w:w="7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24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9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2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0" w:type="dxa"/>
            <w:vAlign w:val="bottom"/>
          </w:tcPr>
          <w:p>
            <w:pPr>
              <w:spacing w:after="0"/>
              <w:rPr>
                <w:sz w:val="1"/>
                <w:szCs w:val="1"/>
                <w:color w:val="auto"/>
              </w:rPr>
            </w:pPr>
          </w:p>
        </w:tc>
      </w:tr>
      <w:tr>
        <w:trPr>
          <w:trHeight w:val="238"/>
        </w:trPr>
        <w:tc>
          <w:tcPr>
            <w:tcW w:w="3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220" w:type="dxa"/>
            <w:vAlign w:val="bottom"/>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Life</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240,000</w:t>
            </w:r>
          </w:p>
        </w:tc>
        <w:tc>
          <w:tcPr>
            <w:tcW w:w="220" w:type="dxa"/>
            <w:vAlign w:val="bottom"/>
            <w:tcBorders>
              <w:right w:val="single" w:sz="8" w:color="CCEEFF"/>
            </w:tcBorders>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240,000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7.59</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vMerge w:val="continue"/>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240,000</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5.67</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240,000</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Market Vesting Options</w:t>
            </w: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2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0" w:type="dxa"/>
            <w:vAlign w:val="bottom"/>
          </w:tcPr>
          <w:p>
            <w:pPr>
              <w:spacing w:after="0"/>
              <w:rPr>
                <w:sz w:val="1"/>
                <w:szCs w:val="1"/>
                <w:color w:val="auto"/>
              </w:rPr>
            </w:pPr>
          </w:p>
        </w:tc>
      </w:tr>
      <w:tr>
        <w:trPr>
          <w:trHeight w:val="238"/>
        </w:trPr>
        <w:tc>
          <w:tcPr>
            <w:tcW w:w="3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220" w:type="dxa"/>
            <w:vAlign w:val="bottom"/>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Life</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733,334</w:t>
            </w:r>
          </w:p>
        </w:tc>
        <w:tc>
          <w:tcPr>
            <w:tcW w:w="220" w:type="dxa"/>
            <w:vAlign w:val="bottom"/>
            <w:tcBorders>
              <w:right w:val="single" w:sz="8" w:color="CCEEFF"/>
            </w:tcBorders>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vMerge w:val="continue"/>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733,334</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0.38</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3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40" w:type="dxa"/>
            <w:vAlign w:val="bottom"/>
            <w:gridSpan w:val="5"/>
          </w:tcPr>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Performance Vesting</w:t>
            </w:r>
          </w:p>
        </w:tc>
        <w:tc>
          <w:tcPr>
            <w:tcW w:w="0" w:type="dxa"/>
            <w:vAlign w:val="bottom"/>
          </w:tcPr>
          <w:p>
            <w:pPr>
              <w:spacing w:after="0"/>
              <w:rPr>
                <w:sz w:val="1"/>
                <w:szCs w:val="1"/>
                <w:color w:val="auto"/>
              </w:rPr>
            </w:pPr>
          </w:p>
        </w:tc>
      </w:tr>
      <w:tr>
        <w:trPr>
          <w:trHeight w:val="238"/>
        </w:trPr>
        <w:tc>
          <w:tcPr>
            <w:tcW w:w="3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2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Market Vesting Options</w:t>
            </w:r>
          </w:p>
        </w:tc>
        <w:tc>
          <w:tcPr>
            <w:tcW w:w="264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i w:val="1"/>
                <w:iCs w:val="1"/>
                <w:color w:val="auto"/>
              </w:rPr>
              <w:t>Time Vesting Options</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Options</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3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300" w:type="dxa"/>
            <w:vAlign w:val="bottom"/>
            <w:gridSpan w:val="2"/>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center"/>
              <w:ind w:right="50"/>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22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center"/>
              <w:ind w:right="110"/>
              <w:spacing w:after="0" w:line="188"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4"/>
          </w:tcPr>
          <w:p>
            <w:pPr>
              <w:ind w:left="26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80" w:type="dxa"/>
            <w:vAlign w:val="bottom"/>
          </w:tcPr>
          <w:p>
            <w:pPr>
              <w:spacing w:after="0"/>
              <w:rPr>
                <w:sz w:val="18"/>
                <w:szCs w:val="18"/>
                <w:color w:val="auto"/>
              </w:rPr>
            </w:pPr>
          </w:p>
        </w:tc>
        <w:tc>
          <w:tcPr>
            <w:tcW w:w="132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2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0" w:type="dxa"/>
            <w:vAlign w:val="bottom"/>
          </w:tcPr>
          <w:p>
            <w:pPr>
              <w:spacing w:after="0"/>
              <w:rPr>
                <w:sz w:val="1"/>
                <w:szCs w:val="1"/>
                <w:color w:val="auto"/>
              </w:rPr>
            </w:pPr>
          </w:p>
        </w:tc>
      </w:tr>
      <w:tr>
        <w:trPr>
          <w:trHeight w:val="238"/>
        </w:trPr>
        <w:tc>
          <w:tcPr>
            <w:tcW w:w="316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8"/>
                <w:szCs w:val="18"/>
                <w:b w:val="1"/>
                <w:bCs w:val="1"/>
                <w:color w:val="auto"/>
              </w:rPr>
              <w:t>Date/Activity</w:t>
            </w:r>
          </w:p>
        </w:tc>
        <w:tc>
          <w:tcPr>
            <w:tcW w:w="120" w:type="dxa"/>
            <w:vAlign w:val="bottom"/>
          </w:tcPr>
          <w:p>
            <w:pPr>
              <w:spacing w:after="0"/>
              <w:rPr>
                <w:sz w:val="20"/>
                <w:szCs w:val="20"/>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260" w:type="dxa"/>
            <w:vAlign w:val="bottom"/>
            <w:gridSpan w:val="2"/>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300" w:type="dxa"/>
            <w:vAlign w:val="bottom"/>
            <w:gridSpan w:val="2"/>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2023</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733,334</w:t>
            </w:r>
          </w:p>
        </w:tc>
        <w:tc>
          <w:tcPr>
            <w:tcW w:w="1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1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3.00</w:t>
            </w:r>
          </w:p>
        </w:tc>
        <w:tc>
          <w:tcPr>
            <w:tcW w:w="220" w:type="dxa"/>
            <w:vAlign w:val="bottom"/>
            <w:tcBorders>
              <w:right w:val="single" w:sz="8" w:color="CCEEFF"/>
            </w:tcBorders>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662,798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240,000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7.59</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 or expired</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1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(3,890)</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57.01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CCEEFF"/>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September 30, 2024</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733,334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3.00</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658,908</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240,000</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7.59</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weighted average remaining contractual life for options exercisable is 5.36 years as of September 30, 2024.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Awards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Stock-based compensation expense recognized for the issuance of stock options to employees for the three and nine months ended September 30, 2024 of $3 and $9, respectively, was included in general and administrative expense in the Condensed Consolidated Financial Statements. Stock-based compensation expense recognized for the issuance of stock options to employees for the three and nine months ended September 30, 2023 of $3 and $379, respectively, was included in general and administrative expense in the Condensed Consolidated Financial Statements.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September 30, 2024, there was $5 of total unrecognized compensation expense related to unvested share-based awards with market vesting criteria for employees. Compensation expense related to market vesting options will be recognized over the next 5 months and will be adjusted for any future forfeitures as they occur.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3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i w:val="1"/>
          <w:iCs w:val="1"/>
          <w:color w:val="auto"/>
        </w:rPr>
        <w:t>Non-Employee Awards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Stock-based compensation expense recognized for the issuance of stock options to our non-employee Board of Directors, for the three and nine months ended September 30, 2024 was $0 and included in general and administrative expense in the Condensed Consolidated Financial Statements. Stock-based compensation expense recognized for the issuance of stock options to our non-employee Board of Directors for the three and nine months ended September 30, 2023 of $43 and $129, respectively, was included in general and administrative expense in the Condensed Consolidated Financial Statements.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September 30, 2024, there was no unrecognized compensation expense related to share-based awards for non-employee directors.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12: SIGNIFICANT CUSTOMERS/VENDORS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Significant Customers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had three customers that accounted for 16%, 15%, and 12% of accounts receivable at September 30, 2024 and three customers that accounted for 28%, 25%, and 11% of accounts receivable at December 31, 2023.</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had two customers that accounted for 14%, and 12% of revenue for the three months ended September 30, 2024, compared to two customers that accounted for 20%, and 14% of revenue for the three months ended September 30, 2023.</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had one customer that accounted for 12% of revenue for the nine months ended September 30, 2024, compared to two customers that accounted for 13% and 10% of revenue for the nine months ended September 30, 2023.</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Significant Vendors</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had one vendor that accounted for 26% of outstanding accounts payable at September 30, 2024, and one vendor that accounted for 38% of outstanding accounts payable at December 31, 2023.</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5"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Item 2.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Discussion and Analysis of Financial Condition and Results of Operations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following discussion contains various forward-looking statements within the meaning of Section 21E of the Exchange Act. Although we believe that, in making any such statement, our expectations are based on reasonable assumptions, any such statement may be influenced by factors that could cause actual outcomes and results to be materially different from those projected. When used in the following discussion, the words “anticipates,” “believes,” “expects,” “intends,” “plans,” “estimates,” “projects,” “should,” “may,” “proposes,” and similar expressions (or the negative versions of such words or expressions), as they relate to us or our management, are intended to identify such forward-looking statements. These forward-looking statements are subject to numerous risks and uncertainties that could cause actual results to differ materially from those anticipated, and many of which are beyond our control. Factors that could cause actual results to differ materially from those anticipated are set forth under the caption “Risk Factors” in this Report on Form 10-Q, the Company’s Form 10-K for the year ended December 31, 2023 as filed with the Securities and Exchange Commission on March 21, 2024, as amended on April 26, 2024, and in the Company's Quarterly Report on Form 10-Q filed with the SEC on May 10, 2024.</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actual results, performance or achievements could differ materially from those expressed in, or implied by, forward-looking statements. Accordingly, we cannot be certain that any of the events anticipated by forward-looking statements will occur or, if any of them do occur, what impact they will have on us. We caution you to keep in mind the cautions and risks described in this document and to refrain from attributing undue certainty to any forward-looking statements, which speak only as of the date of the document in which they appear. We do not undertake to update any forward-looking statement.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Company transforms environments through digital solutions by providing innovative digital signage solutions for key market segments and use cases, including:</w:t>
      </w:r>
    </w:p>
    <w:p>
      <w:pPr>
        <w:spacing w:after="0" w:line="162" w:lineRule="exact"/>
        <w:rPr>
          <w:sz w:val="20"/>
          <w:szCs w:val="20"/>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Entertainment and Sports Venues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Restaurants, including quick-serve restaurants (“QSR”)</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Convenience Stores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Services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Automotive</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and Healthcare Facilities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Mixed Use Developments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Communications, Employee Experience</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out of Home (“DOOH”) Advertising Networks</w:t>
      </w:r>
    </w:p>
    <w:p>
      <w:pPr>
        <w:spacing w:after="0" w:line="25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serve market-leading companies, so there is a good chance that if you leave your home today to shop, work, eat, or play, you will encounter one or more of our digital signage experiences. Our solutions are increasingly visible because we help our enterprise customers achieve a range of business objectives, including:</w:t>
      </w:r>
    </w:p>
    <w:p>
      <w:pPr>
        <w:spacing w:after="0" w:line="176" w:lineRule="exact"/>
        <w:rPr>
          <w:sz w:val="20"/>
          <w:szCs w:val="20"/>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brand awareness;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Improved customer support;</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employee productivity and satisfaction;</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revenue and profitability;</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Improved guest experience; and</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customer/guest engagement.</w:t>
      </w:r>
    </w:p>
    <w:p>
      <w:pPr>
        <w:spacing w:after="0" w:line="25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Through a combination of organically grown platforms and a series of strategic acquisitions, the Company assists customers to design, deploy, manage, and monetize their digital signage networks. The Company sources leads and opportunities for its solutions through its digital and content marketing initiatives, close relationships with key industry partners, specifically equipment manufacturers, and the direct efforts of its in-house industry sales experts. Customer engagements focus on consultative conversations that ensure the Company’s solutions are positioned to help customers achieve their business objectives in the most cost-effective manner possible.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1" w:name="page22"/>
    <w:bookmarkEnd w:id="21"/>
    <w:p>
      <w:pPr>
        <w:ind w:left="4"/>
        <w:spacing w:after="0"/>
        <w:rPr>
          <w:sz w:val="20"/>
          <w:szCs w:val="20"/>
          <w:color w:val="auto"/>
        </w:rPr>
      </w:pPr>
      <w:r>
        <w:rPr>
          <w:rFonts w:ascii="Times New Roman" w:cs="Times New Roman" w:eastAsia="Times New Roman" w:hAnsi="Times New Roman"/>
          <w:sz w:val="18"/>
          <w:szCs w:val="18"/>
          <w:color w:val="auto"/>
        </w:rPr>
        <w:t>When comparing us to other digital signage providers, our customers value the following competitive advantages:</w:t>
      </w:r>
    </w:p>
    <w:p>
      <w:pPr>
        <w:spacing w:after="0" w:line="221" w:lineRule="exact"/>
        <w:rPr>
          <w:sz w:val="20"/>
          <w:szCs w:val="20"/>
          <w:color w:val="auto"/>
        </w:rPr>
      </w:pPr>
    </w:p>
    <w:p>
      <w:pPr>
        <w:jc w:val="both"/>
        <w:ind w:left="324" w:hanging="324"/>
        <w:spacing w:after="0" w:line="262"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Breadth of solutions </w:t>
      </w:r>
      <w:r>
        <w:rPr>
          <w:rFonts w:ascii="Times New Roman" w:cs="Times New Roman" w:eastAsia="Times New Roman" w:hAnsi="Times New Roman"/>
          <w:sz w:val="18"/>
          <w:szCs w:val="18"/>
          <w:color w:val="auto"/>
        </w:rPr>
        <w:t>– Creative Realities offers a wide breadth of solutions to our customers. Creative Realities is one of only a few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companies in the industry capable of providing the full portfolio of products and services required to implement and run an effective digital signage network. We leverage a ‘single vendor’ approach, providing customers with a one-stop-shop for sourcing digital signage solutions from design through day two services.</w:t>
      </w:r>
    </w:p>
    <w:p>
      <w:pPr>
        <w:spacing w:after="0" w:line="176" w:lineRule="exact"/>
        <w:rPr>
          <w:rFonts w:ascii="Times New Roman" w:cs="Times New Roman" w:eastAsia="Times New Roman" w:hAnsi="Times New Roman"/>
          <w:sz w:val="18"/>
          <w:szCs w:val="18"/>
          <w:color w:val="auto"/>
        </w:rPr>
      </w:pPr>
    </w:p>
    <w:p>
      <w:pPr>
        <w:jc w:val="both"/>
        <w:ind w:left="324" w:hanging="324"/>
        <w:spacing w:after="0" w:line="268"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Managed labor pool </w:t>
      </w:r>
      <w:r>
        <w:rPr>
          <w:rFonts w:ascii="Times New Roman" w:cs="Times New Roman" w:eastAsia="Times New Roman" w:hAnsi="Times New Roman"/>
          <w:sz w:val="18"/>
          <w:szCs w:val="18"/>
          <w:color w:val="auto"/>
        </w:rPr>
        <w:t>– Unlike most companies in our industry, we have a curated labor pool of qualified and vetted field technicians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available to service customers quickly nationwide. We can meet tight schedules even in exceptionally large deployments and still ensure quality and consistency.</w:t>
      </w:r>
    </w:p>
    <w:p>
      <w:pPr>
        <w:spacing w:after="0" w:line="170" w:lineRule="exact"/>
        <w:rPr>
          <w:rFonts w:ascii="Times New Roman" w:cs="Times New Roman" w:eastAsia="Times New Roman" w:hAnsi="Times New Roman"/>
          <w:sz w:val="18"/>
          <w:szCs w:val="18"/>
          <w:color w:val="auto"/>
        </w:rPr>
      </w:pPr>
    </w:p>
    <w:p>
      <w:pPr>
        <w:jc w:val="both"/>
        <w:ind w:left="324" w:hanging="324"/>
        <w:spacing w:after="0" w:line="268"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In-house creative resources </w:t>
      </w:r>
      <w:r>
        <w:rPr>
          <w:rFonts w:ascii="Times New Roman" w:cs="Times New Roman" w:eastAsia="Times New Roman" w:hAnsi="Times New Roman"/>
          <w:sz w:val="18"/>
          <w:szCs w:val="18"/>
          <w:color w:val="auto"/>
        </w:rPr>
        <w:t>– We assist customers in creating new content or repurposing existing content for digital signage experiences,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activity for which the Company has won several design awards in recent years. In each instance, our services can be essential in helping customers develop an effective content program.</w:t>
      </w:r>
    </w:p>
    <w:p>
      <w:pPr>
        <w:spacing w:after="0" w:line="170" w:lineRule="exact"/>
        <w:rPr>
          <w:rFonts w:ascii="Times New Roman" w:cs="Times New Roman" w:eastAsia="Times New Roman" w:hAnsi="Times New Roman"/>
          <w:sz w:val="18"/>
          <w:szCs w:val="18"/>
          <w:color w:val="auto"/>
        </w:rPr>
      </w:pPr>
    </w:p>
    <w:p>
      <w:pPr>
        <w:jc w:val="both"/>
        <w:ind w:left="324" w:hanging="324"/>
        <w:spacing w:after="0" w:line="262"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Network scalability and reliability </w:t>
      </w:r>
      <w:r>
        <w:rPr>
          <w:rFonts w:ascii="Times New Roman" w:cs="Times New Roman" w:eastAsia="Times New Roman" w:hAnsi="Times New Roman"/>
          <w:sz w:val="18"/>
          <w:szCs w:val="18"/>
          <w:color w:val="auto"/>
        </w:rPr>
        <w:t>– Our SaaS content management platforms power some of the largest and most complex digital signage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networks in North America, evidencing our ability to manage enterprise scale projects. This also provides us purchasing power to source products and services for our customers, enabling us to deliver cost effective, reliable and powerful solutions to small and medium size business customers.</w:t>
      </w:r>
    </w:p>
    <w:p>
      <w:pPr>
        <w:spacing w:after="0" w:line="176" w:lineRule="exact"/>
        <w:rPr>
          <w:rFonts w:ascii="Times New Roman" w:cs="Times New Roman" w:eastAsia="Times New Roman" w:hAnsi="Times New Roman"/>
          <w:sz w:val="18"/>
          <w:szCs w:val="18"/>
          <w:color w:val="auto"/>
        </w:rPr>
      </w:pPr>
    </w:p>
    <w:p>
      <w:pPr>
        <w:jc w:val="both"/>
        <w:ind w:left="324" w:hanging="324"/>
        <w:spacing w:after="0" w:line="262"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 management platform </w:t>
      </w:r>
      <w:r>
        <w:rPr>
          <w:rFonts w:ascii="Times New Roman" w:cs="Times New Roman" w:eastAsia="Times New Roman" w:hAnsi="Times New Roman"/>
          <w:sz w:val="18"/>
          <w:szCs w:val="18"/>
          <w:color w:val="auto"/>
        </w:rPr>
        <w:t>– Our customers are increasingly interested in monetizing their digital signage networks through advertising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content. However, efficiently scheduling advertising content into digital signage playlists to meet campaign objectives can be a challenging and labor-intensive process for our customers. AdLogic, our home-grown, content management-agnostic platform, automates this process, allowing network owners to capture more revenue with less expense.</w:t>
      </w:r>
    </w:p>
    <w:p>
      <w:pPr>
        <w:spacing w:after="0" w:line="176" w:lineRule="exact"/>
        <w:rPr>
          <w:rFonts w:ascii="Times New Roman" w:cs="Times New Roman" w:eastAsia="Times New Roman" w:hAnsi="Times New Roman"/>
          <w:sz w:val="18"/>
          <w:szCs w:val="18"/>
          <w:color w:val="auto"/>
        </w:rPr>
      </w:pPr>
    </w:p>
    <w:p>
      <w:pPr>
        <w:jc w:val="both"/>
        <w:ind w:left="324" w:hanging="324"/>
        <w:spacing w:after="0" w:line="268"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Media sales </w:t>
      </w:r>
      <w:r>
        <w:rPr>
          <w:rFonts w:ascii="Times New Roman" w:cs="Times New Roman" w:eastAsia="Times New Roman" w:hAnsi="Times New Roman"/>
          <w:sz w:val="18"/>
          <w:szCs w:val="18"/>
          <w:color w:val="auto"/>
        </w:rPr>
        <w:t>– Few digital signage solution providers offer their customers media sales as a service. We have in-house media sales expertise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elevate conversations with our customers interested in better understanding network monetization. We believe this meaningful differentiation in the sales process provides us an additional revenue stream compared to our competitors.</w:t>
      </w:r>
    </w:p>
    <w:p>
      <w:pPr>
        <w:spacing w:after="0" w:line="170" w:lineRule="exact"/>
        <w:rPr>
          <w:rFonts w:ascii="Times New Roman" w:cs="Times New Roman" w:eastAsia="Times New Roman" w:hAnsi="Times New Roman"/>
          <w:sz w:val="18"/>
          <w:szCs w:val="18"/>
          <w:color w:val="auto"/>
        </w:rPr>
      </w:pPr>
    </w:p>
    <w:p>
      <w:pPr>
        <w:jc w:val="both"/>
        <w:ind w:left="324" w:hanging="324"/>
        <w:spacing w:after="0" w:line="262"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Market sector expertise </w:t>
      </w:r>
      <w:r>
        <w:rPr>
          <w:rFonts w:ascii="Times New Roman" w:cs="Times New Roman" w:eastAsia="Times New Roman" w:hAnsi="Times New Roman"/>
          <w:sz w:val="18"/>
          <w:szCs w:val="18"/>
          <w:color w:val="auto"/>
        </w:rPr>
        <w:t>– Creative Realities has in-house experts in key market segments such as automotive, retail, QSRs, convenience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stores, and DOOH advertising. Our expertise in these business segments enable our teams to provide meaningful business conversations and offer tailored solutions with prospects and customers to their unique business objectives. These experts build industry relationship and create thought leadership that drives lead flow and new opportunities for our business.</w:t>
      </w:r>
    </w:p>
    <w:p>
      <w:pPr>
        <w:spacing w:after="0" w:line="176" w:lineRule="exact"/>
        <w:rPr>
          <w:rFonts w:ascii="Times New Roman" w:cs="Times New Roman" w:eastAsia="Times New Roman" w:hAnsi="Times New Roman"/>
          <w:sz w:val="18"/>
          <w:szCs w:val="18"/>
          <w:color w:val="auto"/>
        </w:rPr>
      </w:pPr>
    </w:p>
    <w:p>
      <w:pPr>
        <w:ind w:left="324" w:hanging="324"/>
        <w:spacing w:after="0" w:line="286"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Logistics </w:t>
      </w:r>
      <w:r>
        <w:rPr>
          <w:rFonts w:ascii="Times New Roman" w:cs="Times New Roman" w:eastAsia="Times New Roman" w:hAnsi="Times New Roman"/>
          <w:sz w:val="18"/>
          <w:szCs w:val="18"/>
          <w:color w:val="auto"/>
        </w:rPr>
        <w:t>– Implementing a large digital signage project can be a logistical nightmare that can stall an initiative, even before deployment.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expertise in logistics improves deployment efficiency, reduces delays and problems, and saves customers time and money.</w:t>
      </w:r>
    </w:p>
    <w:p>
      <w:pPr>
        <w:spacing w:after="0" w:line="154" w:lineRule="exact"/>
        <w:rPr>
          <w:rFonts w:ascii="Times New Roman" w:cs="Times New Roman" w:eastAsia="Times New Roman" w:hAnsi="Times New Roman"/>
          <w:sz w:val="18"/>
          <w:szCs w:val="18"/>
          <w:color w:val="auto"/>
        </w:rPr>
      </w:pPr>
    </w:p>
    <w:p>
      <w:pPr>
        <w:jc w:val="both"/>
        <w:ind w:left="324" w:hanging="324"/>
        <w:spacing w:after="0" w:line="268"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Technical support </w:t>
      </w:r>
      <w:r>
        <w:rPr>
          <w:rFonts w:ascii="Times New Roman" w:cs="Times New Roman" w:eastAsia="Times New Roman" w:hAnsi="Times New Roman"/>
          <w:sz w:val="18"/>
          <w:szCs w:val="18"/>
          <w:color w:val="auto"/>
        </w:rPr>
        <w:t>– Digital signage networks present unique challenges for corporate IT departments. We simplify and improve end user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support by leveraging our own NOC in Louisville, Kentucky. The NOC resolves many issues remotely and when field support is required, it can be dispatched quickly from the NOC, leveraging our managed labor pool to resolve customer issues quickly and effectively.</w:t>
      </w:r>
    </w:p>
    <w:p>
      <w:pPr>
        <w:spacing w:after="0" w:line="170" w:lineRule="exact"/>
        <w:rPr>
          <w:rFonts w:ascii="Times New Roman" w:cs="Times New Roman" w:eastAsia="Times New Roman" w:hAnsi="Times New Roman"/>
          <w:sz w:val="18"/>
          <w:szCs w:val="18"/>
          <w:color w:val="auto"/>
        </w:rPr>
      </w:pPr>
    </w:p>
    <w:p>
      <w:pPr>
        <w:jc w:val="both"/>
        <w:ind w:left="324" w:hanging="324"/>
        <w:spacing w:after="0" w:line="262"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Integrations and application development </w:t>
      </w:r>
      <w:r>
        <w:rPr>
          <w:rFonts w:ascii="Times New Roman" w:cs="Times New Roman" w:eastAsia="Times New Roman" w:hAnsi="Times New Roman"/>
          <w:sz w:val="18"/>
          <w:szCs w:val="18"/>
          <w:color w:val="auto"/>
        </w:rPr>
        <w:t>– The future of digital signage is not still images and videos on a screen. We believe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interactive applications and integrations with other data sources will dominate the future. From social media feeds, mobile integrations, corporate data stores, or point of sale systems, our proven ability to build scalable applications and integrations is a key advantage that customers can leverage to deliver more compelling and engaging experiences for their customers.</w:t>
      </w:r>
    </w:p>
    <w:p>
      <w:pPr>
        <w:spacing w:after="0" w:line="176" w:lineRule="exact"/>
        <w:rPr>
          <w:rFonts w:ascii="Times New Roman" w:cs="Times New Roman" w:eastAsia="Times New Roman" w:hAnsi="Times New Roman"/>
          <w:sz w:val="18"/>
          <w:szCs w:val="18"/>
          <w:color w:val="auto"/>
        </w:rPr>
      </w:pPr>
    </w:p>
    <w:p>
      <w:pPr>
        <w:jc w:val="both"/>
        <w:ind w:left="324" w:hanging="324"/>
        <w:spacing w:after="0" w:line="262"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Hardware support </w:t>
      </w:r>
      <w:r>
        <w:rPr>
          <w:rFonts w:ascii="Times New Roman" w:cs="Times New Roman" w:eastAsia="Times New Roman" w:hAnsi="Times New Roman"/>
          <w:sz w:val="18"/>
          <w:szCs w:val="18"/>
          <w:color w:val="auto"/>
        </w:rPr>
        <w:t>– A number of digital signage providers sell a proprietary media player or align themselves with just one operating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system. We utilize a range of media players including Windows, Android and BrightSign to provide customers flexibility to select the appropriate hardware for any application knowing the entire network can still be served by a single digital signage platform, reducing complexity and improving the productivity of our customers.</w:t>
      </w:r>
    </w:p>
    <w:p>
      <w:pPr>
        <w:spacing w:after="0" w:line="180"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580"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Our Sources of Revenue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three primary sources of revenue for the Company are:</w:t>
      </w:r>
    </w:p>
    <w:p>
      <w:pPr>
        <w:spacing w:after="0" w:line="225" w:lineRule="exact"/>
        <w:rPr>
          <w:sz w:val="20"/>
          <w:szCs w:val="20"/>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Hardware sales from reselling digital signage hardware from original equipment manufacturers such as Samsung and BrightSign.</w:t>
      </w:r>
    </w:p>
    <w:p>
      <w:pPr>
        <w:spacing w:after="0" w:line="252" w:lineRule="exact"/>
        <w:rPr>
          <w:rFonts w:ascii="Times New Roman" w:cs="Times New Roman" w:eastAsia="Times New Roman" w:hAnsi="Times New Roman"/>
          <w:sz w:val="18"/>
          <w:szCs w:val="18"/>
          <w:color w:val="auto"/>
        </w:rPr>
      </w:pPr>
    </w:p>
    <w:p>
      <w:pPr>
        <w:ind w:left="980" w:right="2360" w:hanging="324"/>
        <w:spacing w:after="0" w:line="532"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Services revenue from helping customers design, deploy and manage their digital signage network, including: o Hardware system design/engineering</w:t>
      </w:r>
    </w:p>
    <w:p>
      <w:pPr>
        <w:jc w:val="both"/>
        <w:ind w:left="980" w:right="8380"/>
        <w:spacing w:after="0" w:line="53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Hardware installation o Content development o Content scheduling</w:t>
      </w:r>
    </w:p>
    <w:p>
      <w:pPr>
        <w:ind w:left="980" w:right="6820"/>
        <w:spacing w:after="0" w:line="53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Post-deployment network and field support o Media sales</w:t>
      </w:r>
    </w:p>
    <w:p>
      <w:pPr>
        <w:ind w:left="980" w:right="20" w:hanging="324"/>
        <w:spacing w:after="0" w:line="282"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Recurring subscription licensing and support revenue from our digital signage software platforms, which are generally sold via a SaaS model. Our platforms include:</w:t>
      </w:r>
    </w:p>
    <w:p>
      <w:pPr>
        <w:spacing w:after="0" w:line="15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b w:val="1"/>
          <w:bCs w:val="1"/>
          <w:color w:val="auto"/>
        </w:rPr>
        <w:t>ReflectView</w:t>
      </w:r>
      <w:r>
        <w:rPr>
          <w:rFonts w:ascii="Times New Roman" w:cs="Times New Roman" w:eastAsia="Times New Roman" w:hAnsi="Times New Roman"/>
          <w:sz w:val="18"/>
          <w:szCs w:val="18"/>
          <w:color w:val="auto"/>
        </w:rPr>
        <w:t>, the Company’s core digital signage platform for most applications, scalable and cost effective from 10 to 100,000+ devices;</w:t>
      </w:r>
    </w:p>
    <w:p>
      <w:pPr>
        <w:spacing w:after="0" w:line="252" w:lineRule="exact"/>
        <w:rPr>
          <w:rFonts w:ascii="Times New Roman" w:cs="Times New Roman" w:eastAsia="Times New Roman" w:hAnsi="Times New Roman"/>
          <w:sz w:val="18"/>
          <w:szCs w:val="18"/>
          <w:color w:val="auto"/>
        </w:rPr>
      </w:pPr>
    </w:p>
    <w:p>
      <w:pPr>
        <w:ind w:left="1300" w:hanging="324"/>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b w:val="1"/>
          <w:bCs w:val="1"/>
          <w:color w:val="auto"/>
        </w:rPr>
        <w:t>Reflect Xperience</w:t>
      </w:r>
      <w:r>
        <w:rPr>
          <w:rFonts w:ascii="Times New Roman" w:cs="Times New Roman" w:eastAsia="Times New Roman" w:hAnsi="Times New Roman"/>
          <w:sz w:val="18"/>
          <w:szCs w:val="18"/>
          <w:color w:val="auto"/>
        </w:rPr>
        <w:t>, a web-based interface that allows customers to give content scheduling access to local users via the web or mobile devices, while still maintaining centralized programming control;</w:t>
      </w:r>
    </w:p>
    <w:p>
      <w:pPr>
        <w:spacing w:after="0" w:line="154" w:lineRule="exact"/>
        <w:rPr>
          <w:rFonts w:ascii="Times New Roman" w:cs="Times New Roman" w:eastAsia="Times New Roman" w:hAnsi="Times New Roman"/>
          <w:sz w:val="18"/>
          <w:szCs w:val="18"/>
          <w:color w:val="auto"/>
        </w:rPr>
      </w:pPr>
    </w:p>
    <w:p>
      <w:pPr>
        <w:ind w:left="1300" w:right="20" w:hanging="324"/>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b w:val="1"/>
          <w:bCs w:val="1"/>
          <w:color w:val="auto"/>
        </w:rPr>
        <w:t>Reflect AdLogic</w:t>
      </w:r>
      <w:r>
        <w:rPr>
          <w:rFonts w:ascii="Times New Roman" w:cs="Times New Roman" w:eastAsia="Times New Roman" w:hAnsi="Times New Roman"/>
          <w:sz w:val="18"/>
          <w:szCs w:val="18"/>
          <w:color w:val="auto"/>
        </w:rPr>
        <w:t>, the Company’s ad management platform for digital signage networks, which presently delivers approximately 50 million ads daily;</w:t>
      </w:r>
    </w:p>
    <w:p>
      <w:pPr>
        <w:spacing w:after="0" w:line="154" w:lineRule="exact"/>
        <w:rPr>
          <w:rFonts w:ascii="Times New Roman" w:cs="Times New Roman" w:eastAsia="Times New Roman" w:hAnsi="Times New Roman"/>
          <w:sz w:val="18"/>
          <w:szCs w:val="18"/>
          <w:color w:val="auto"/>
        </w:rPr>
      </w:pPr>
    </w:p>
    <w:p>
      <w:pPr>
        <w:ind w:left="1300" w:hanging="324"/>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b w:val="1"/>
          <w:bCs w:val="1"/>
          <w:color w:val="auto"/>
        </w:rPr>
        <w:t>Clarity</w:t>
      </w:r>
      <w:r>
        <w:rPr>
          <w:rFonts w:ascii="Times New Roman" w:cs="Times New Roman" w:eastAsia="Times New Roman" w:hAnsi="Times New Roman"/>
          <w:sz w:val="18"/>
          <w:szCs w:val="18"/>
          <w:color w:val="auto"/>
        </w:rPr>
        <w:t>, the Company’s menu board solution, which has become a market leader for a range of restaurant and convenience store applications;</w:t>
      </w:r>
    </w:p>
    <w:p>
      <w:pPr>
        <w:spacing w:after="0" w:line="154" w:lineRule="exact"/>
        <w:rPr>
          <w:rFonts w:ascii="Times New Roman" w:cs="Times New Roman" w:eastAsia="Times New Roman" w:hAnsi="Times New Roman"/>
          <w:sz w:val="18"/>
          <w:szCs w:val="18"/>
          <w:color w:val="auto"/>
        </w:rPr>
      </w:pPr>
    </w:p>
    <w:p>
      <w:pPr>
        <w:ind w:left="1300" w:hanging="324"/>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b w:val="1"/>
          <w:bCs w:val="1"/>
          <w:color w:val="auto"/>
        </w:rPr>
        <w:t>Reflect Zero Touch</w:t>
      </w:r>
      <w:r>
        <w:rPr>
          <w:rFonts w:ascii="Times New Roman" w:cs="Times New Roman" w:eastAsia="Times New Roman" w:hAnsi="Times New Roman"/>
          <w:sz w:val="18"/>
          <w:szCs w:val="18"/>
          <w:color w:val="auto"/>
        </w:rPr>
        <w:t>, which allows customers to turn any screen into an interactive experience by allowing guests to engage using their mobile device;</w:t>
      </w:r>
    </w:p>
    <w:p>
      <w:pPr>
        <w:spacing w:after="0" w:line="154" w:lineRule="exact"/>
        <w:rPr>
          <w:rFonts w:ascii="Times New Roman" w:cs="Times New Roman" w:eastAsia="Times New Roman" w:hAnsi="Times New Roman"/>
          <w:sz w:val="18"/>
          <w:szCs w:val="18"/>
          <w:color w:val="auto"/>
        </w:rPr>
      </w:pPr>
    </w:p>
    <w:p>
      <w:pPr>
        <w:ind w:left="1300" w:hanging="324"/>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b w:val="1"/>
          <w:bCs w:val="1"/>
          <w:color w:val="auto"/>
        </w:rPr>
        <w:t>iShowroomProX</w:t>
      </w:r>
      <w:r>
        <w:rPr>
          <w:rFonts w:ascii="Times New Roman" w:cs="Times New Roman" w:eastAsia="Times New Roman" w:hAnsi="Times New Roman"/>
          <w:sz w:val="18"/>
          <w:szCs w:val="18"/>
          <w:color w:val="auto"/>
        </w:rPr>
        <w:t>, an omni-channel digital sales support platform targeted at original equipment manufacturers in the transportation sector, which integrates with dozens of key data services including dealer inventory at the VIN level; and</w:t>
      </w:r>
    </w:p>
    <w:p>
      <w:pPr>
        <w:spacing w:after="0" w:line="155" w:lineRule="exact"/>
        <w:rPr>
          <w:sz w:val="20"/>
          <w:szCs w:val="20"/>
          <w:color w:val="auto"/>
        </w:rPr>
      </w:pPr>
    </w:p>
    <w:p>
      <w:pPr>
        <w:ind w:left="1300" w:hanging="320"/>
        <w:spacing w:after="0" w:line="286"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OSx+</w:t>
      </w:r>
      <w:r>
        <w:rPr>
          <w:rFonts w:ascii="Times New Roman" w:cs="Times New Roman" w:eastAsia="Times New Roman" w:hAnsi="Times New Roman"/>
          <w:sz w:val="18"/>
          <w:szCs w:val="18"/>
          <w:color w:val="auto"/>
        </w:rPr>
        <w:t>, a digital VIN-level checklist used to assist in the tracking and delivery of new vehicles in the transportation sector, providing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measurable lift in customer satisfaction scores and connected vehicle enrollments and subscription activations.</w:t>
      </w:r>
    </w:p>
    <w:p>
      <w:pPr>
        <w:spacing w:after="0" w:line="159" w:lineRule="exact"/>
        <w:rPr>
          <w:sz w:val="20"/>
          <w:szCs w:val="20"/>
          <w:color w:val="auto"/>
        </w:rPr>
      </w:pPr>
    </w:p>
    <w:p>
      <w:pPr>
        <w:jc w:val="both"/>
        <w:ind w:firstLine="594"/>
        <w:spacing w:after="0" w:line="266" w:lineRule="auto"/>
        <w:rPr>
          <w:sz w:val="20"/>
          <w:szCs w:val="20"/>
          <w:color w:val="auto"/>
        </w:rPr>
      </w:pPr>
      <w:r>
        <w:rPr>
          <w:rFonts w:ascii="Times New Roman" w:cs="Times New Roman" w:eastAsia="Times New Roman" w:hAnsi="Times New Roman"/>
          <w:sz w:val="18"/>
          <w:szCs w:val="18"/>
          <w:color w:val="auto"/>
        </w:rPr>
        <w:t>While hardware sales and support services revenues can fluctuate more significantly year over year based on new, large-scale network deployments, the Company expects to see continuous growth in recurring SaaS revenue for the foreseeable future as digital signage adoption/utilization continues to expand across the vertical markets we serve.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Our Operating Expenses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operating expenses are comprised of sales and marketing, and general and administrative expenses. Sales and marketing expenses include salaries and benefits for our sales, business development solution management and marketing personnel, and commissions paid on sales. This category also includes amounts spent on marketing networking events, promotional materials, hardware and software to prospective new customers, including those expenses incurred in trade shows and product demonstrations, and other related expenses. Our general and administrative expenses consist of corporate overhead, including administrative salaries, real property lease payments, salaries, and benefits for our corporate officers and other expenses such as legal and accounting fees.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Company’s significant accounting policies are described 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of the Company’s Condensed Consolidated Financial Statements included elsewhere in this Report. The Company’s Condensed Consolidated Financial Statements are prepared in conformity with GAAP. Certain accounting policies involve significant judgments, assumptions, and estimates by management that could have a material impact on the carrying value of certain assets and liabilities and disclosure of contingent assets and liabilities at the date of the Condensed Consolidated Financial Statements and the reported amounts of revenue and expenses during the reporting period. Our actual results could differ from those estimates.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Note: All dollar amounts reported in Results of Operations are in thousands, except share and per-share information.</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2024 Compared to Three Months Ended September 30, 2023</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tables presented below compare our results of operations and present the results for each period and the change in those results from one period to another in both dollars and percentage change.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8"/>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20" w:type="dxa"/>
            <w:vAlign w:val="bottom"/>
            <w:gridSpan w:val="5"/>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ended September 30,</w:t>
            </w:r>
          </w:p>
        </w:tc>
        <w:tc>
          <w:tcPr>
            <w:tcW w:w="300" w:type="dxa"/>
            <w:vAlign w:val="bottom"/>
          </w:tcPr>
          <w:p>
            <w:pPr>
              <w:spacing w:after="0"/>
              <w:rPr>
                <w:sz w:val="20"/>
                <w:szCs w:val="20"/>
                <w:color w:val="auto"/>
              </w:rPr>
            </w:pPr>
          </w:p>
        </w:tc>
        <w:tc>
          <w:tcPr>
            <w:tcW w:w="1360" w:type="dxa"/>
            <w:vAlign w:val="bottom"/>
            <w:gridSpan w:val="3"/>
          </w:tcPr>
          <w:p>
            <w:pPr>
              <w:ind w:left="6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09"/>
        </w:trPr>
        <w:tc>
          <w:tcPr>
            <w:tcW w:w="59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14,442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11,568</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2,874</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7,853</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6,265</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1,588</w:t>
            </w:r>
          </w:p>
        </w:tc>
        <w:tc>
          <w:tcPr>
            <w:tcW w:w="3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5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6,589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5,303</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1,286</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1,525</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1,301</w:t>
            </w:r>
          </w:p>
        </w:tc>
        <w:tc>
          <w:tcPr>
            <w:tcW w:w="3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224</w:t>
            </w:r>
          </w:p>
        </w:tc>
        <w:tc>
          <w:tcPr>
            <w:tcW w:w="3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3,928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3,842</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5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5,453</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5,143</w:t>
            </w:r>
          </w:p>
        </w:tc>
        <w:tc>
          <w:tcPr>
            <w:tcW w:w="3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310</w:t>
            </w:r>
          </w:p>
        </w:tc>
        <w:tc>
          <w:tcPr>
            <w:tcW w:w="3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5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160</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976</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610%</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expenses (income):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including amortization of debt discount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734</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(431)</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598</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1,369</w:t>
            </w:r>
          </w:p>
        </w:tc>
        <w:tc>
          <w:tcPr>
            <w:tcW w:w="3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(771)</w:t>
            </w:r>
          </w:p>
        </w:tc>
        <w:tc>
          <w:tcPr>
            <w:tcW w:w="3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467%</w:t>
            </w:r>
          </w:p>
        </w:tc>
      </w:tr>
      <w:tr>
        <w:trPr>
          <w:trHeight w:val="20"/>
        </w:trPr>
        <w:tc>
          <w:tcPr>
            <w:tcW w:w="5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 other expenses (income)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890</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2,106</w:t>
            </w:r>
          </w:p>
        </w:tc>
        <w:tc>
          <w:tcPr>
            <w:tcW w:w="3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(1,216)</w:t>
            </w:r>
          </w:p>
        </w:tc>
        <w:tc>
          <w:tcPr>
            <w:tcW w:w="3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w:t>
            </w:r>
          </w:p>
        </w:tc>
      </w:tr>
      <w:tr>
        <w:trPr>
          <w:trHeight w:val="20"/>
        </w:trPr>
        <w:tc>
          <w:tcPr>
            <w:tcW w:w="5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before income taxes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(1,946)</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2,192</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113%</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(192)</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w:t>
            </w:r>
          </w:p>
        </w:tc>
        <w:tc>
          <w:tcPr>
            <w:tcW w:w="3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(207)</w:t>
            </w:r>
          </w:p>
        </w:tc>
        <w:tc>
          <w:tcPr>
            <w:tcW w:w="3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1,380%</w:t>
            </w:r>
          </w:p>
        </w:tc>
      </w:tr>
      <w:tr>
        <w:trPr>
          <w:trHeight w:val="20"/>
        </w:trPr>
        <w:tc>
          <w:tcPr>
            <w:tcW w:w="5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(1,931)</w:t>
            </w: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1,985</w:t>
            </w:r>
          </w:p>
        </w:tc>
        <w:tc>
          <w:tcPr>
            <w:tcW w:w="3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103%</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Sales increased $2,874, or 25%, for the three months ending September 30, 2024 as compared to the same period in 2023. Hardware revenues were $5,241, an increase of $394, or 8%, for the three months ending September 30, 2024 as compared to the same period in 2023. Services and other revenues were $9,201, an increase of $2,480 or 37%, driven by increases in both installation and managed services revenues. Installation services revenue tripled from $967 for the three months ending September 30, 2023 to $2,911 for the three months ending September 30, 2024, as a result of significant installation deployment activity during the period. Managed services revenue, which includes the Company’s SaaS subscription services, were $4,885, an increase of $565, or 13%, as compared to the same period in 2023. An increase in the quantity of licenses subject to software subscriptions on our platforms and an expansion in the average price per subscription license per month in part as a result of price increases during contract renewals drove the increase.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Gross profit margin remained consistent at 46% for the three months ending September 30, 2024 and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 Expenses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Sales and marketing expenses generally include the salaries, taxes, and benefits of our sales and marketing personnel, as well as trade show activities, travel, and other related sales and marketing costs. Sales and marketing expenses increased by $224, or 17%, for the three-month period ended September 30, 2024 as compared to the same period in 2023, driven primarily by the Company’s enhanced investments into sales and marketing activities, including increases of (1) $137 in fixed and variable sales costs as the Company continues to invest in new business development to strengthen its pipeline, and (2) $92 in variable third party media-related commissions.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remained relatively flat, increasing $86, or 2%, during the three months ending September 30, 2024 as compared to the same period in 2023.</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2024 Compared to Nine Months Ended September 30, 2023</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tables presented below compare our results of operations and present the results for each period and the change in those results from one period to another in both dollars and percentage change.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For the Nine Months</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8"/>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2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Ended September 30,</w:t>
            </w:r>
          </w:p>
        </w:tc>
        <w:tc>
          <w:tcPr>
            <w:tcW w:w="300" w:type="dxa"/>
            <w:vAlign w:val="bottom"/>
          </w:tcPr>
          <w:p>
            <w:pPr>
              <w:spacing w:after="0"/>
              <w:rPr>
                <w:sz w:val="20"/>
                <w:szCs w:val="20"/>
                <w:color w:val="auto"/>
              </w:rPr>
            </w:pPr>
          </w:p>
        </w:tc>
        <w:tc>
          <w:tcPr>
            <w:tcW w:w="1360" w:type="dxa"/>
            <w:vAlign w:val="bottom"/>
            <w:gridSpan w:val="3"/>
          </w:tcPr>
          <w:p>
            <w:pPr>
              <w:ind w:left="6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09"/>
        </w:trPr>
        <w:tc>
          <w:tcPr>
            <w:tcW w:w="59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39,842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30,708</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9,134</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20,701</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16,018</w:t>
            </w:r>
          </w:p>
        </w:tc>
        <w:tc>
          <w:tcPr>
            <w:tcW w:w="3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4,683</w:t>
            </w:r>
          </w:p>
        </w:tc>
        <w:tc>
          <w:tcPr>
            <w:tcW w:w="3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5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19,141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14,690</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4,451</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4,655</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3,666</w:t>
            </w:r>
          </w:p>
        </w:tc>
        <w:tc>
          <w:tcPr>
            <w:tcW w:w="3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989</w:t>
            </w:r>
          </w:p>
        </w:tc>
        <w:tc>
          <w:tcPr>
            <w:tcW w:w="3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12,834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11,654</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1,180</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r>
      <w:tr>
        <w:trPr>
          <w:trHeight w:val="20"/>
        </w:trPr>
        <w:tc>
          <w:tcPr>
            <w:tcW w:w="5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17,489</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15,320</w:t>
            </w:r>
          </w:p>
        </w:tc>
        <w:tc>
          <w:tcPr>
            <w:tcW w:w="3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2,169</w:t>
            </w:r>
          </w:p>
        </w:tc>
        <w:tc>
          <w:tcPr>
            <w:tcW w:w="3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r>
      <w:tr>
        <w:trPr>
          <w:trHeight w:val="20"/>
        </w:trPr>
        <w:tc>
          <w:tcPr>
            <w:tcW w:w="5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1,652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(630)</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2,282</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362%</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income/(expenses):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including amortization of debt discount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1,479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2,324</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(845)</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equity guarantee</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(414)</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1,461</w:t>
            </w:r>
          </w:p>
        </w:tc>
        <w:tc>
          <w:tcPr>
            <w:tcW w:w="3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(1,875)</w:t>
            </w:r>
          </w:p>
        </w:tc>
        <w:tc>
          <w:tcPr>
            <w:tcW w:w="3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128%</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1,059</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(132)</w:t>
            </w:r>
          </w:p>
        </w:tc>
        <w:tc>
          <w:tcPr>
            <w:tcW w:w="3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w:t>
            </w:r>
          </w:p>
        </w:tc>
        <w:tc>
          <w:tcPr>
            <w:tcW w:w="3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w:t>
            </w:r>
          </w:p>
        </w:tc>
      </w:tr>
      <w:tr>
        <w:trPr>
          <w:trHeight w:val="20"/>
        </w:trPr>
        <w:tc>
          <w:tcPr>
            <w:tcW w:w="5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income/(expenses)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2,096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3,653</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(1,557)</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r>
      <w:tr>
        <w:trPr>
          <w:trHeight w:val="20"/>
        </w:trPr>
        <w:tc>
          <w:tcPr>
            <w:tcW w:w="5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 before income taxes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(444)</w:t>
            </w:r>
          </w:p>
        </w:tc>
        <w:tc>
          <w:tcPr>
            <w:tcW w:w="2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(4,283)</w:t>
            </w:r>
          </w:p>
        </w:tc>
        <w:tc>
          <w:tcPr>
            <w:tcW w:w="3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3,839</w:t>
            </w:r>
          </w:p>
        </w:tc>
        <w:tc>
          <w:tcPr>
            <w:tcW w:w="3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from income taxes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(73)</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(153)</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210%</w:t>
            </w:r>
          </w:p>
        </w:tc>
      </w:tr>
      <w:tr>
        <w:trPr>
          <w:trHeight w:val="20"/>
        </w:trPr>
        <w:tc>
          <w:tcPr>
            <w:tcW w:w="5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(4,356)</w:t>
            </w:r>
          </w:p>
        </w:tc>
        <w:tc>
          <w:tcPr>
            <w:tcW w:w="3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3,686</w:t>
            </w:r>
          </w:p>
        </w:tc>
        <w:tc>
          <w:tcPr>
            <w:tcW w:w="3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Sales increased $9,134, or 30%, for the nine months ending September 30, 2024 as compared to the same period in 2023. Hardware revenues were $14,409, an increase of $1,803, or 14%, for the nine months ending September 30, 2024 as compared to the same period in 2023. Services and other revenues were $25,433, an increase of $7,331 or 40%, as compared to the same period in 2023, driven by increases in both installation and managed services revenues. Installation services revenue were $7,109, an increase of $4,027, or 131%, as compared to the same period in 2023, as a result of significant installation deployment activity during the period. Managed services revenue, which includes the Company’s SaaS subscription services were $14,506, an increase of $2,279, or 19%, as compared to the same period in 2023. An increase in the quantity of licenses subject to software subscriptions on our platforms and an expansion in the average price per subscription license per month in part as a result of price increases during contract renewals drove the increase.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Gross profit margin remained consistent at 48% for the nine months ending September 30, 2024 and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 Expenses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Sales and marketing expenses generally include the salaries, taxes, and benefits of our sales and marketing personnel, as well as trade show activities, travel, and other related sales and marketing costs. Sales and marketing expenses increased by $989, or 27%, for the nine months ending September 30, 2024 as compared to the same period in 2023, driven primarily by the Company’s enhanced investments into sales and marketing activities, including increases of (1) $714 in fixed and variable sales costs as the Company continues to invest in new business development to strengthen its pipeline, and (2) $285 in variable third party media-related commissions.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increased $1,180, or 10%, during the nine months ending September 30, 2024 as compared to the same period in 2023. The change is driven by an increase of $1,395 in personnel costs, including both the Company’s portion of employee benefits and other administrative and processing costs associated with employment, in the current year driven by increased headcount in development and administrative functions to support active and anticipated deployments for a growing number of customers. Increases in general and administrative expenses were offset by a $528 decrease in stock compensation expense in the current period as all outstanding time vested and performance awards for employees and directors were fully expensed as of December 31, 2023.</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7"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EE"/>
        </w:rPr>
        <w:t>Note 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EE"/>
        </w:rPr>
        <w:t>Debt</w:t>
      </w:r>
      <w:r>
        <w:rPr>
          <w:rFonts w:ascii="Times New Roman" w:cs="Times New Roman" w:eastAsia="Times New Roman" w:hAnsi="Times New Roman"/>
          <w:sz w:val="18"/>
          <w:szCs w:val="18"/>
          <w:color w:val="auto"/>
        </w:rPr>
        <w:t xml:space="preserve"> to the Condensed Consolidated Financial Statements for a discussion of the Company’s debt and related interest expense obligations.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fair value of contingent consideration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Company has a contingent consideration arrangement related to the Merger to potentially pay additional cash amounts in future periods based on the lack of achievement of certain share price performance goals of our common stock. See </w:t>
      </w:r>
      <w:r>
        <w:rPr>
          <w:rFonts w:ascii="Times New Roman" w:cs="Times New Roman" w:eastAsia="Times New Roman" w:hAnsi="Times New Roman"/>
          <w:sz w:val="18"/>
          <w:szCs w:val="18"/>
          <w:u w:val="single" w:color="auto"/>
          <w:color w:val="0000EE"/>
        </w:rPr>
        <w:t>Note 2 Section 11 Summary of Significant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Policies - Contingent Consideration</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to the Condensed Consolidated Financial Statements for a discussion of the Company's obligations related to the</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contingent consideration arrangement. The contingent consideration arrangement is recorded at fair value and is classified as a liability on the acquisition date and is remeasured at each reporting period in accordance with ASC 805-30-35-1 using a Monte Carlo simulation model. The change in the period represents the mark-to-market adjustment as of the balance sheet date.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extinguishment of debt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recognized a $1,059 loss on extinguishment of debt equal to the remaining unamortized portion of debt discount associated with the Acquisition Term Loan and Consolidation Term Loan as of May 23, 2024, the date the Company entered into the Credit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Unaudited Quarterly Financial Information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following non-GAAP data, which adjusts for the categories of expenses described below, is a non-GAAP financial measure. Our management believes that this non-GAAP financial measure is useful information for investors, shareholders and other stakeholders of our Company in gauging our results of operations on an ongoing basis. We believe that earnings before interest, depreciation, and amortization (“EBITDA”) is a performance measure and not a liquidity measure, and therefore a reconciliation between net (loss) income, a GAAP financial measure, and EBITDA and Adjusted EBITDA has been provided. EBITDA should not be considered as an alternative to net (loss) income as an indicator of performance or as an alternative to cash flows from operating activities as an indicator of cash flows, in each case as determined in accordance with GAAP, or as a measure of liquidity. In addition, EBITDA does not take into account changes in certain assets and liabilities as well as interest and income taxes that can affect cash flows. We do not intend the presentation of these non-GAAP measures to be considered in isolation or as a substitute for results prepared in accordance with GAAP. These non-GAAP measures should be read only in conjunction with our Condensed Consolidated Financial Statements prepared in accordance with GAAP that are included elsewhere in this Report.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Quarters Ended</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4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3"/>
          </w:tcPr>
          <w:p>
            <w:pPr>
              <w:jc w:val="right"/>
              <w:ind w:right="280"/>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80" w:type="dxa"/>
            <w:vAlign w:val="bottom"/>
          </w:tcPr>
          <w:p>
            <w:pPr>
              <w:spacing w:after="0"/>
              <w:rPr>
                <w:sz w:val="16"/>
                <w:szCs w:val="16"/>
                <w:color w:val="auto"/>
              </w:rPr>
            </w:pPr>
          </w:p>
        </w:tc>
        <w:tc>
          <w:tcPr>
            <w:tcW w:w="1040" w:type="dxa"/>
            <w:vAlign w:val="bottom"/>
            <w:gridSpan w:val="2"/>
          </w:tcPr>
          <w:p>
            <w:pPr>
              <w:jc w:val="right"/>
              <w:ind w:right="360"/>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ind w:right="3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March 31</w:t>
            </w:r>
          </w:p>
        </w:tc>
        <w:tc>
          <w:tcPr>
            <w:tcW w:w="1320" w:type="dxa"/>
            <w:vAlign w:val="bottom"/>
            <w:gridSpan w:val="3"/>
          </w:tcPr>
          <w:p>
            <w:pPr>
              <w:jc w:val="center"/>
              <w:ind w:right="2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120" w:type="dxa"/>
            <w:vAlign w:val="bottom"/>
            <w:gridSpan w:val="2"/>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16"/>
                <w:szCs w:val="16"/>
                <w:color w:val="auto"/>
              </w:rPr>
            </w:pPr>
          </w:p>
        </w:tc>
      </w:tr>
      <w:tr>
        <w:trPr>
          <w:trHeight w:val="238"/>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Quarters ended</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0"/>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net (loss) income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(615)</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(1,931)</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363</w:t>
            </w:r>
          </w:p>
        </w:tc>
      </w:tr>
      <w:tr>
        <w:trPr>
          <w:trHeight w:val="216"/>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interest, net</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303</w:t>
            </w:r>
          </w:p>
        </w:tc>
        <w:tc>
          <w:tcPr>
            <w:tcW w:w="1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303</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371</w:t>
            </w: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Depreciation/amortization:</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1,081</w:t>
            </w:r>
          </w:p>
        </w:tc>
        <w:tc>
          <w:tcPr>
            <w:tcW w:w="1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878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766</w:t>
            </w:r>
          </w:p>
        </w:tc>
      </w:tr>
      <w:tr>
        <w:trPr>
          <w:trHeight w:val="216"/>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employee share-based awards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of property &amp; equipment</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51</w:t>
            </w:r>
          </w:p>
        </w:tc>
        <w:tc>
          <w:tcPr>
            <w:tcW w:w="1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r>
      <w:tr>
        <w:trPr>
          <w:trHeight w:val="20"/>
        </w:trPr>
        <w:tc>
          <w:tcPr>
            <w:tcW w:w="45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EBITDA</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1,684</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80" w:type="dxa"/>
            <w:vAlign w:val="bottom"/>
          </w:tcPr>
          <w:p>
            <w:pPr>
              <w:spacing w:after="0"/>
              <w:rPr>
                <w:sz w:val="18"/>
                <w:szCs w:val="18"/>
                <w:color w:val="auto"/>
              </w:rPr>
            </w:pP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1,405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2,930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(393)</w:t>
            </w: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62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Adjustments</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Loss (Gain) on fair value of contingent consideration</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598</w:t>
            </w:r>
          </w:p>
        </w:tc>
        <w:tc>
          <w:tcPr>
            <w:tcW w:w="1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(604)</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1,369</w:t>
            </w: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1,059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Stock-based compensation – Director grants</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expense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45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2,271</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80" w:type="dxa"/>
            <w:vAlign w:val="bottom"/>
          </w:tcPr>
          <w:p>
            <w:pPr>
              <w:spacing w:after="0"/>
              <w:rPr>
                <w:sz w:val="18"/>
                <w:szCs w:val="18"/>
                <w:color w:val="auto"/>
              </w:rPr>
            </w:pP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2,830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1,022</w:t>
            </w: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4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5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6"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7"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EE"/>
        </w:rPr>
        <w:t>Note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EE"/>
        </w:rPr>
        <w:t>Nature of Organization and Operations</w:t>
      </w:r>
      <w:r>
        <w:rPr>
          <w:rFonts w:ascii="Times New Roman" w:cs="Times New Roman" w:eastAsia="Times New Roman" w:hAnsi="Times New Roman"/>
          <w:sz w:val="18"/>
          <w:szCs w:val="18"/>
          <w:color w:val="auto"/>
        </w:rPr>
        <w:t xml:space="preserve"> to the accompanying Condensed Consolidated Financial Statements for a discussion of liquidity and financial resources.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net cash provided by operating activities during the nine months ended September 30, 2024 was $4,750, compared to $8,306 for the same period in 2023. During the nine month period ending September 30, 2024, the Company generated net loss of $478, which included depreciation and amortization expense (inclusive of amortization of debt discount) of $2,901, a loss on the extinguishment of debt of $1,059, and a gain on the change in fair value of contingent consideration of $414. The Company generated a $905 increase in cash as of September 30, 2024, provided by changes in operating assets and liabilities.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during the nine months ended September 30, 2024 was $2,302, compared to $3,138 during the same period in 2023. We currently do not have any material commitments for capital expenditures as of September 30, 2024. The reduction in capital expenditures in 2024 compared to the prior period was anticipated as the Company has been reducing third-party development resources utilized for the previously disclosed modernization and internationalization of our automotive platform, which launched to user acceptance testing during the second quarter of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during the nine months ended September 30, 2024 was $4,490, compared to net cash provided from financing activities of $1,575 for the same period in 2023. Net cash used in financing activities during the nine month period ended September 30, 2024 is primarily the result of the repayment of related party term debt totaling $15,147, partially offset by net proceeds of $10,979 from borrowings and payments under the Company's revolving credit facility.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2024, we did not engage in any off-balance sheet arrangements set forth in Item 303(a)(4) of Regulation 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 evaluation was performed under the supervision and with the participation of our management, including our Chief Executive Officer (principal executive officer) and Chief Financial Officer (principal financial officer), of the effectiveness of our disclosure controls and procedures, as defined in Rules 13a-15(e) and 15d-15(e) under the Securities Exchange Act of 1934, as amended (“Exchange Act”), as of the end of the period covered by this Report. Based on that evaluation, our management, including our Chief Executive Officer and Chief Financial Officer, concluded that our disclosure controls and procedures were effective as of September 30, 2024, and were designed to ensure that information required to be disclosed by us in reports that we file or submit under the Exchange Act, is recorded, processed, summarized and reported within the time periods specified in the rules and forms of the Securities and Exchange Commission and that such information is accumulated and communicated to our management, including our Chief Executive Officer and Chief Financial Officer, as appropriate to allow timely decisions regarding required disclosure.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quarter ended September 30, 2024 that have materially affected, or are reasonably likely to materially affect, our internal control over financial reporting.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center"/>
        <w:ind w:right="95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a smaller reporting company, we are not required to provide the information required by this Item; however, the discussion of our business and operations should be read together with the Risk Factors set forth in our Annual Report on Form 10-K filed with the SEC on March 21, 2024, as amended on April 26, 2024, our Quarterly Report on Form 10-Q filed with the SEC on May 10, 2024, and subsequent filings made with the SEC. Such risks and uncertainties have the potential to affect our business, financial condition, results of operations, cash flow, strategies or prospects in a material and adverse manner. In addition, below is an updated risk factor for which you should be aware:</w:t>
      </w:r>
    </w:p>
    <w:p>
      <w:pPr>
        <w:spacing w:after="0" w:line="179"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Guaranteed Consideration payable to former Reflect stockholders is an estimate only and is subject to change. Accordingly, the contingent liability that we book for payment of the Guaranteed Consideration is an estimate only, and the actual liability may differ. In addition, disputes over the proper calculation of the Guaranteed Consideration could result in litigation or arbitration.</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Pursuant to the Merger Agreement governing the merger in which we acquired Reflect (the “Merger”), shares of Reflect’s capital were converted into the right to receive cash and a total of 2,333,334 shares of our common stock (the “Merger Shares”). The Merger Agreement also requires us to make additional contingent cash payments to the former Reflect stockholders (the “Guaranteed Consideration”) on or after February 17, 2025 (subject to a six-month extension under certain circumstances) (the “Guarantee Date”) in an amount by which the value of our shares on the Guarantee Date is less than $6.40 per share (such applicable amount, the “Guaranteed Price”), multiplied by the number of Merger Shares held by the Reflect stockholders on the Guarantee Date. The actual amount of Guaranteed Consideration cannot be determined until such time.</w:t>
      </w:r>
    </w:p>
    <w:p>
      <w:pPr>
        <w:spacing w:after="0" w:line="18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On March 23, 2023, the Company completed a 1-for-3 reverse stock split (the “Reverse Split”) primarily intended to bring the Company into compliance with the minimum bid price requirement to maintain the listing of its common stock on the Nasdaq Capital Market. As a result of the Reverse Split, the number of Merger Shares decreased from 2,333,334 to 777,778.</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financial statements have and continue to book a contingent liability for payment of the Guaranteed Consideration conservatively as though the Reverse Split resulted in an upward adjustment of the Guaranteed Price from $6.40 per share to $19.20 per share. Notwithstanding this accounting position, we have engaged in discussions with RSI Exit Corporation, as representative of the former Reflect stockholders (“RSI”), regarding the impact that the Reverse Split properly had on the calculation of the Guaranteed Consideration, given that the Merger Agreement provides for a Guaranteed Price of $6.40 per share and does not provide for any adjustment to the Guaranteed Price as a result of the Reverse Stock Split or other similar transaction with respect to our common stock. To date, the Company and RSI have not reached any agreement regarding the calculation of the Guaranteed Consideration under the plain terms of the Merger Agreement.</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Ultimately, the Guaranteed Price may not be adjusted for the Reverse Split based on the terms of the Merger Agreement, and the contingent liability that we book for payment of the Guaranteed Consideration may differ from the amount ultimately paid. See “</w:t>
      </w:r>
      <w:r>
        <w:rPr>
          <w:rFonts w:ascii="Times New Roman" w:cs="Times New Roman" w:eastAsia="Times New Roman" w:hAnsi="Times New Roman"/>
          <w:sz w:val="18"/>
          <w:szCs w:val="18"/>
          <w:u w:val="single" w:color="auto"/>
          <w:color w:val="0000EE"/>
        </w:rPr>
        <w:t>Note 2 Section 11 Summary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Significant Policies - Contingent Consideration</w:t>
      </w:r>
      <w:r>
        <w:rPr>
          <w:rFonts w:ascii="Times New Roman" w:cs="Times New Roman" w:eastAsia="Times New Roman" w:hAnsi="Times New Roman"/>
          <w:sz w:val="18"/>
          <w:szCs w:val="18"/>
          <w:color w:val="000000"/>
        </w:rPr>
        <w:t>” to the Company’s Consolidated Financial Statements contained in this Report for a description of our</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obligations to pay the contingent consideration.</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we and RSI are ultimately unable to agree upon the proper calculation of the Guaranteed Consideration, the matter may result in litigation or arbitration. RSI may file claims against us for, among other things, failure to pay the correct amount for the Guaranteed Consideration once the payment due date occurs, which is anticipated to occur in February 2025. We cannot provide any certainty that our interpretation of the Merger Agreement, and position on the amount of the Guaranteed Consideration, will ultimately be accepted by RSI and the former Reflect stockholders, or by any arbitrator or court that ultimately adjudicates the matter. In addition, any claim will require significant time of management, and the Company will likely incur substantial expenses. If our interpretation of the Merger Agreement is not correct, we may be forced to cover the expenses of RSI in bringing such claim.</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ind w:right="8820"/>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Rule 10b5-1 Trading Plans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quarter ended September 30, 2024, none of the Company’s directors or executive officers adopted or terminated any contract, instruction or written plan for the purchase or sale of Company securities that was intended to satisfy the affirmative defense conditions of Rule 10b5-1(c) or any “non-Rule 10b5-1 trading arrangement."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Compensatory Arrangements of Certain Officers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November 13, 2024, the Company awarded Will Logan, Chief Financial Officer, a $50,000 bonus for his services rendered in 2023.</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Earnings Release</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November 13, 2024, the Company issued a press release announcing its financial condition and results of operations for the three and nine months ended September 30, 2024. A copy of the press release is furnished as Exhibit 99.1 and is incorporated by reference into this Item 5 in lieu of separately furnishing such press release under Item 2.02 of Form 8-K. This disclosure, including Exhibit 99.1 hereto, shall not be deemed “filed” for purposes of Section 18 of the Exchange Act, or otherwise subject to the liabilities of that section, nor shall it be deemed incorporated by reference into any of the Company’s filings under the Securities Act of 1933, as amended, or the Exchange Act, except as expressly set forth by specific reference in such filing.</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0" w:name="page31"/>
    <w:bookmarkEnd w:id="30"/>
    <w:tbl>
      <w:tblPr>
        <w:tblLayout w:type="fixed"/>
        <w:tblInd w:w="10" w:type="dxa"/>
        <w:tblCellMar>
          <w:top w:w="0" w:type="dxa"/>
          <w:left w:w="0" w:type="dxa"/>
          <w:bottom w:w="0" w:type="dxa"/>
          <w:right w:w="0" w:type="dxa"/>
        </w:tblCellMar>
      </w:tblPr>
      <w:tr>
        <w:trPr>
          <w:trHeight w:val="238"/>
        </w:trPr>
        <w:tc>
          <w:tcPr>
            <w:tcW w:w="602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9"/>
        </w:trPr>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8"/>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INDEX TO EXHIBITS</w:t>
            </w: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940" w:type="dxa"/>
            <w:vAlign w:val="bottom"/>
            <w:tcBorders>
              <w:left w:val="single" w:sz="8" w:color="auto"/>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1040" w:type="dxa"/>
            <w:vAlign w:val="bottom"/>
            <w:tcBorders>
              <w:right w:val="single" w:sz="8" w:color="auto"/>
            </w:tcBorders>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Filed</w:t>
            </w:r>
          </w:p>
        </w:tc>
        <w:tc>
          <w:tcPr>
            <w:tcW w:w="0" w:type="dxa"/>
            <w:vAlign w:val="bottom"/>
          </w:tcPr>
          <w:p>
            <w:pPr>
              <w:spacing w:after="0"/>
              <w:rPr>
                <w:sz w:val="1"/>
                <w:szCs w:val="1"/>
                <w:color w:val="auto"/>
              </w:rPr>
            </w:pPr>
          </w:p>
        </w:tc>
      </w:tr>
      <w:tr>
        <w:trPr>
          <w:trHeight w:val="102"/>
        </w:trPr>
        <w:tc>
          <w:tcPr>
            <w:tcW w:w="940" w:type="dxa"/>
            <w:vAlign w:val="bottom"/>
            <w:tcBorders>
              <w:left w:val="single" w:sz="8" w:color="auto"/>
              <w:right w:val="single" w:sz="8" w:color="auto"/>
            </w:tcBorders>
            <w:vMerge w:val="continue"/>
          </w:tcPr>
          <w:p>
            <w:pPr>
              <w:spacing w:after="0"/>
              <w:rPr>
                <w:sz w:val="8"/>
                <w:szCs w:val="8"/>
                <w:color w:val="auto"/>
              </w:rPr>
            </w:pPr>
          </w:p>
        </w:tc>
        <w:tc>
          <w:tcPr>
            <w:tcW w:w="120" w:type="dxa"/>
            <w:vAlign w:val="bottom"/>
            <w:tcBorders>
              <w:bottom w:val="single" w:sz="8" w:color="auto"/>
              <w:right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7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6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0" w:type="dxa"/>
            <w:vAlign w:val="bottom"/>
            <w:tcBorders>
              <w:bottom w:val="single" w:sz="8" w:color="auto"/>
              <w:right w:val="single" w:sz="8" w:color="auto"/>
            </w:tcBorders>
          </w:tcPr>
          <w:p>
            <w:pPr>
              <w:spacing w:after="0"/>
              <w:rPr>
                <w:sz w:val="8"/>
                <w:szCs w:val="8"/>
                <w:color w:val="auto"/>
              </w:rPr>
            </w:pPr>
          </w:p>
        </w:tc>
        <w:tc>
          <w:tcPr>
            <w:tcW w:w="100" w:type="dxa"/>
            <w:vAlign w:val="bottom"/>
            <w:tcBorders>
              <w:bottom w:val="single" w:sz="8" w:color="auto"/>
              <w:right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40" w:type="dxa"/>
            <w:vAlign w:val="bottom"/>
            <w:tcBorders>
              <w:bottom w:val="single" w:sz="8" w:color="auto"/>
              <w:right w:val="single" w:sz="8" w:color="auto"/>
            </w:tcBorders>
          </w:tcPr>
          <w:p>
            <w:pPr>
              <w:spacing w:after="0"/>
              <w:rPr>
                <w:sz w:val="8"/>
                <w:szCs w:val="8"/>
                <w:color w:val="auto"/>
              </w:rPr>
            </w:pPr>
          </w:p>
        </w:tc>
        <w:tc>
          <w:tcPr>
            <w:tcW w:w="80" w:type="dxa"/>
            <w:vAlign w:val="bottom"/>
            <w:tcBorders>
              <w:bottom w:val="single" w:sz="8" w:color="auto"/>
              <w:right w:val="single" w:sz="8" w:color="auto"/>
            </w:tcBorders>
          </w:tcPr>
          <w:p>
            <w:pPr>
              <w:spacing w:after="0"/>
              <w:rPr>
                <w:sz w:val="8"/>
                <w:szCs w:val="8"/>
                <w:color w:val="auto"/>
              </w:rPr>
            </w:pPr>
          </w:p>
        </w:tc>
        <w:tc>
          <w:tcPr>
            <w:tcW w:w="8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940" w:type="dxa"/>
            <w:vAlign w:val="bottom"/>
            <w:tcBorders>
              <w:left w:val="single" w:sz="8" w:color="auto"/>
              <w:right w:val="single" w:sz="8" w:color="auto"/>
            </w:tcBorders>
          </w:tcPr>
          <w:p>
            <w:pPr>
              <w:ind w:left="140"/>
              <w:spacing w:after="0" w:line="198" w:lineRule="exact"/>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60" w:type="dxa"/>
            <w:vAlign w:val="bottom"/>
            <w:tcBorders>
              <w:right w:val="single" w:sz="8" w:color="auto"/>
            </w:tcBorders>
            <w:gridSpan w:val="7"/>
          </w:tcPr>
          <w:p>
            <w:pPr>
              <w:ind w:left="60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1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Form</w:t>
            </w:r>
          </w:p>
        </w:tc>
        <w:tc>
          <w:tcPr>
            <w:tcW w:w="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8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Borders>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Filing Date</w:t>
            </w:r>
          </w:p>
        </w:tc>
        <w:tc>
          <w:tcPr>
            <w:tcW w:w="8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9"/>
              </w:rPr>
              <w:t>Herewith</w:t>
            </w:r>
          </w:p>
        </w:tc>
        <w:tc>
          <w:tcPr>
            <w:tcW w:w="0" w:type="dxa"/>
            <w:vAlign w:val="bottom"/>
          </w:tcPr>
          <w:p>
            <w:pPr>
              <w:spacing w:after="0"/>
              <w:rPr>
                <w:sz w:val="1"/>
                <w:szCs w:val="1"/>
                <w:color w:val="auto"/>
              </w:rPr>
            </w:pPr>
          </w:p>
        </w:tc>
      </w:tr>
      <w:tr>
        <w:trPr>
          <w:trHeight w:val="86"/>
        </w:trPr>
        <w:tc>
          <w:tcPr>
            <w:tcW w:w="940" w:type="dxa"/>
            <w:vAlign w:val="bottom"/>
            <w:tcBorders>
              <w:left w:val="single" w:sz="8" w:color="auto"/>
              <w:bottom w:val="single" w:sz="8" w:color="auto"/>
              <w:right w:val="single" w:sz="8" w:color="auto"/>
            </w:tcBorders>
          </w:tcPr>
          <w:p>
            <w:pPr>
              <w:spacing w:after="0"/>
              <w:rPr>
                <w:sz w:val="7"/>
                <w:szCs w:val="7"/>
                <w:color w:val="auto"/>
              </w:rPr>
            </w:pPr>
          </w:p>
        </w:tc>
        <w:tc>
          <w:tcPr>
            <w:tcW w:w="120" w:type="dxa"/>
            <w:vAlign w:val="bottom"/>
            <w:tcBorders>
              <w:bottom w:val="single" w:sz="8" w:color="auto"/>
              <w:right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7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68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0" w:type="dxa"/>
            <w:vAlign w:val="bottom"/>
            <w:tcBorders>
              <w:bottom w:val="single" w:sz="8" w:color="auto"/>
              <w:right w:val="single" w:sz="8" w:color="auto"/>
            </w:tcBorders>
          </w:tcPr>
          <w:p>
            <w:pPr>
              <w:spacing w:after="0"/>
              <w:rPr>
                <w:sz w:val="7"/>
                <w:szCs w:val="7"/>
                <w:color w:val="auto"/>
              </w:rPr>
            </w:pPr>
          </w:p>
        </w:tc>
        <w:tc>
          <w:tcPr>
            <w:tcW w:w="100" w:type="dxa"/>
            <w:vAlign w:val="bottom"/>
            <w:tcBorders>
              <w:bottom w:val="single" w:sz="8" w:color="auto"/>
              <w:right w:val="single" w:sz="8" w:color="auto"/>
            </w:tcBorders>
          </w:tcPr>
          <w:p>
            <w:pPr>
              <w:spacing w:after="0"/>
              <w:rPr>
                <w:sz w:val="7"/>
                <w:szCs w:val="7"/>
                <w:color w:val="auto"/>
              </w:rPr>
            </w:pPr>
          </w:p>
        </w:tc>
        <w:tc>
          <w:tcPr>
            <w:tcW w:w="92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right w:val="single" w:sz="8" w:color="auto"/>
            </w:tcBorders>
          </w:tcPr>
          <w:p>
            <w:pPr>
              <w:spacing w:after="0"/>
              <w:rPr>
                <w:sz w:val="7"/>
                <w:szCs w:val="7"/>
                <w:color w:val="auto"/>
              </w:rPr>
            </w:pPr>
          </w:p>
        </w:tc>
        <w:tc>
          <w:tcPr>
            <w:tcW w:w="92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right w:val="single" w:sz="8" w:color="auto"/>
            </w:tcBorders>
          </w:tcPr>
          <w:p>
            <w:pPr>
              <w:spacing w:after="0"/>
              <w:rPr>
                <w:sz w:val="7"/>
                <w:szCs w:val="7"/>
                <w:color w:val="auto"/>
              </w:rPr>
            </w:pPr>
          </w:p>
        </w:tc>
        <w:tc>
          <w:tcPr>
            <w:tcW w:w="92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right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4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right w:val="single" w:sz="8" w:color="auto"/>
            </w:tcBorders>
          </w:tcPr>
          <w:p>
            <w:pPr>
              <w:spacing w:after="0"/>
              <w:rPr>
                <w:sz w:val="7"/>
                <w:szCs w:val="7"/>
                <w:color w:val="auto"/>
              </w:rPr>
            </w:pPr>
          </w:p>
        </w:tc>
        <w:tc>
          <w:tcPr>
            <w:tcW w:w="8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94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94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right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5"/>
              </w:rPr>
              <w:t>S-3</w:t>
            </w:r>
          </w:p>
        </w:tc>
        <w:tc>
          <w:tcPr>
            <w:tcW w:w="8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w w:val="98"/>
              </w:rPr>
              <w:t>333-282703</w:t>
            </w:r>
          </w:p>
        </w:tc>
        <w:tc>
          <w:tcPr>
            <w:tcW w:w="8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jc w:val="right"/>
              <w:ind w:right="270"/>
              <w:spacing w:after="0" w:line="191" w:lineRule="exact"/>
              <w:rPr>
                <w:sz w:val="20"/>
                <w:szCs w:val="20"/>
                <w:color w:val="auto"/>
              </w:rPr>
            </w:pPr>
            <w:r>
              <w:rPr>
                <w:rFonts w:ascii="Times New Roman" w:cs="Times New Roman" w:eastAsia="Times New Roman" w:hAnsi="Times New Roman"/>
                <w:sz w:val="18"/>
                <w:szCs w:val="18"/>
                <w:color w:val="auto"/>
              </w:rPr>
              <w:t>4.2</w:t>
            </w:r>
          </w:p>
        </w:tc>
        <w:tc>
          <w:tcPr>
            <w:tcW w:w="8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Borders>
              <w:right w:val="single" w:sz="8" w:color="auto"/>
            </w:tcBorders>
          </w:tcPr>
          <w:p>
            <w:pPr>
              <w:jc w:val="center"/>
              <w:ind w:right="70"/>
              <w:spacing w:after="0" w:line="191" w:lineRule="exact"/>
              <w:rPr>
                <w:sz w:val="20"/>
                <w:szCs w:val="20"/>
                <w:color w:val="auto"/>
              </w:rPr>
            </w:pPr>
            <w:r>
              <w:rPr>
                <w:rFonts w:ascii="Times New Roman" w:cs="Times New Roman" w:eastAsia="Times New Roman" w:hAnsi="Times New Roman"/>
                <w:sz w:val="18"/>
                <w:szCs w:val="18"/>
                <w:color w:val="auto"/>
                <w:w w:val="98"/>
              </w:rPr>
              <w:t>October 17,</w:t>
            </w:r>
          </w:p>
        </w:tc>
        <w:tc>
          <w:tcPr>
            <w:tcW w:w="8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94"/>
        </w:trPr>
        <w:tc>
          <w:tcPr>
            <w:tcW w:w="940" w:type="dxa"/>
            <w:vAlign w:val="bottom"/>
            <w:tcBorders>
              <w:left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4960" w:type="dxa"/>
            <w:vAlign w:val="bottom"/>
            <w:tcBorders>
              <w:right w:val="single" w:sz="8" w:color="auto"/>
            </w:tcBorders>
            <w:gridSpan w:val="10"/>
          </w:tcPr>
          <w:p>
            <w:pPr>
              <w:spacing w:after="0" w:line="194" w:lineRule="exact"/>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Lender Warrant dated October 17, 2024</w:t>
              </w:r>
            </w:hyperlink>
          </w:p>
        </w:tc>
        <w:tc>
          <w:tcPr>
            <w:tcW w:w="10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Borders>
              <w:right w:val="single" w:sz="8" w:color="auto"/>
            </w:tcBorders>
          </w:tcPr>
          <w:p>
            <w:pPr>
              <w:jc w:val="center"/>
              <w:ind w:right="70"/>
              <w:spacing w:after="0" w:line="194" w:lineRule="exact"/>
              <w:rPr>
                <w:sz w:val="20"/>
                <w:szCs w:val="20"/>
                <w:color w:val="auto"/>
              </w:rPr>
            </w:pPr>
            <w:r>
              <w:rPr>
                <w:rFonts w:ascii="Times New Roman" w:cs="Times New Roman" w:eastAsia="Times New Roman" w:hAnsi="Times New Roman"/>
                <w:sz w:val="18"/>
                <w:szCs w:val="18"/>
                <w:color w:val="auto"/>
                <w:w w:val="99"/>
              </w:rPr>
              <w:t>2024</w:t>
            </w:r>
          </w:p>
        </w:tc>
        <w:tc>
          <w:tcPr>
            <w:tcW w:w="8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17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8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94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940" w:type="dxa"/>
            <w:vAlign w:val="bottom"/>
            <w:tcBorders>
              <w:left w:val="single" w:sz="8" w:color="auto"/>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tcBorders>
              <w:right w:val="single" w:sz="8" w:color="auto"/>
            </w:tcBorders>
          </w:tcPr>
          <w:p>
            <w:pPr>
              <w:spacing w:after="0"/>
              <w:rPr>
                <w:sz w:val="14"/>
                <w:szCs w:val="14"/>
                <w:color w:val="auto"/>
              </w:rPr>
            </w:pPr>
          </w:p>
        </w:tc>
        <w:tc>
          <w:tcPr>
            <w:tcW w:w="4960" w:type="dxa"/>
            <w:vAlign w:val="bottom"/>
            <w:tcBorders>
              <w:right w:val="single" w:sz="8" w:color="auto"/>
            </w:tcBorders>
            <w:gridSpan w:val="10"/>
          </w:tcPr>
          <w:p>
            <w:pPr>
              <w:spacing w:after="0" w:line="169" w:lineRule="exact"/>
              <w:rPr>
                <w:sz w:val="20"/>
                <w:szCs w:val="20"/>
                <w:color w:val="auto"/>
              </w:rPr>
            </w:pPr>
            <w:r>
              <w:rPr>
                <w:rFonts w:ascii="Times New Roman" w:cs="Times New Roman" w:eastAsia="Times New Roman" w:hAnsi="Times New Roman"/>
                <w:sz w:val="18"/>
                <w:szCs w:val="18"/>
                <w:color w:val="0000EE"/>
              </w:rPr>
              <w:t>Chief Executive Officer Certification pursuant to Exchange Act</w:t>
            </w:r>
          </w:p>
        </w:tc>
        <w:tc>
          <w:tcPr>
            <w:tcW w:w="100" w:type="dxa"/>
            <w:vAlign w:val="bottom"/>
            <w:tcBorders>
              <w:right w:val="single" w:sz="8" w:color="auto"/>
            </w:tcBorders>
          </w:tcPr>
          <w:p>
            <w:pPr>
              <w:spacing w:after="0"/>
              <w:rPr>
                <w:sz w:val="14"/>
                <w:szCs w:val="14"/>
                <w:color w:val="auto"/>
              </w:rPr>
            </w:pPr>
          </w:p>
        </w:tc>
        <w:tc>
          <w:tcPr>
            <w:tcW w:w="920" w:type="dxa"/>
            <w:vAlign w:val="bottom"/>
            <w:tcBorders>
              <w:right w:val="single" w:sz="8" w:color="auto"/>
            </w:tcBorders>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920" w:type="dxa"/>
            <w:vAlign w:val="bottom"/>
            <w:tcBorders>
              <w:right w:val="single" w:sz="8" w:color="auto"/>
            </w:tcBorders>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920" w:type="dxa"/>
            <w:vAlign w:val="bottom"/>
            <w:tcBorders>
              <w:right w:val="single" w:sz="8" w:color="auto"/>
            </w:tcBorders>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456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Rule 13a-14(a).</w:t>
            </w:r>
          </w:p>
        </w:tc>
        <w:tc>
          <w:tcPr>
            <w:tcW w:w="400" w:type="dxa"/>
            <w:vAlign w:val="bottom"/>
            <w:tcBorders>
              <w:right w:val="single" w:sz="8" w:color="auto"/>
            </w:tcBorders>
            <w:gridSpan w:val="4"/>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8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94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940" w:type="dxa"/>
            <w:vAlign w:val="bottom"/>
            <w:tcBorders>
              <w:left w:val="single" w:sz="8" w:color="auto"/>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31.2</w:t>
            </w:r>
          </w:p>
        </w:tc>
        <w:tc>
          <w:tcPr>
            <w:tcW w:w="120" w:type="dxa"/>
            <w:vAlign w:val="bottom"/>
            <w:tcBorders>
              <w:right w:val="single" w:sz="8" w:color="auto"/>
            </w:tcBorders>
          </w:tcPr>
          <w:p>
            <w:pPr>
              <w:spacing w:after="0"/>
              <w:rPr>
                <w:sz w:val="14"/>
                <w:szCs w:val="14"/>
                <w:color w:val="auto"/>
              </w:rPr>
            </w:pPr>
          </w:p>
        </w:tc>
        <w:tc>
          <w:tcPr>
            <w:tcW w:w="4900" w:type="dxa"/>
            <w:vAlign w:val="bottom"/>
            <w:tcBorders>
              <w:bottom w:val="single" w:sz="8" w:color="0000EE"/>
            </w:tcBorders>
            <w:gridSpan w:val="9"/>
          </w:tcPr>
          <w:p>
            <w:pPr>
              <w:spacing w:after="0" w:line="169" w:lineRule="exact"/>
              <w:rPr>
                <w:sz w:val="20"/>
                <w:szCs w:val="20"/>
                <w:color w:val="auto"/>
              </w:rPr>
            </w:pPr>
            <w:r>
              <w:rPr>
                <w:rFonts w:ascii="Times New Roman" w:cs="Times New Roman" w:eastAsia="Times New Roman" w:hAnsi="Times New Roman"/>
                <w:sz w:val="18"/>
                <w:szCs w:val="18"/>
                <w:color w:val="0000EE"/>
                <w:w w:val="98"/>
              </w:rPr>
              <w:t>Chief Financial Officer Certification pursuant to Exchange Act Rule</w:t>
            </w:r>
          </w:p>
        </w:tc>
        <w:tc>
          <w:tcPr>
            <w:tcW w:w="60" w:type="dxa"/>
            <w:vAlign w:val="bottom"/>
            <w:tcBorders>
              <w:right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920" w:type="dxa"/>
            <w:vAlign w:val="bottom"/>
            <w:tcBorders>
              <w:right w:val="single" w:sz="8" w:color="auto"/>
            </w:tcBorders>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920" w:type="dxa"/>
            <w:vAlign w:val="bottom"/>
            <w:tcBorders>
              <w:right w:val="single" w:sz="8" w:color="auto"/>
            </w:tcBorders>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920" w:type="dxa"/>
            <w:vAlign w:val="bottom"/>
            <w:tcBorders>
              <w:right w:val="single" w:sz="8" w:color="auto"/>
            </w:tcBorders>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4960" w:type="dxa"/>
            <w:vAlign w:val="bottom"/>
            <w:tcBorders>
              <w:right w:val="single" w:sz="8" w:color="auto"/>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13a-14(a).</w:t>
            </w:r>
          </w:p>
        </w:tc>
        <w:tc>
          <w:tcPr>
            <w:tcW w:w="10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8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94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940" w:type="dxa"/>
            <w:vAlign w:val="bottom"/>
            <w:tcBorders>
              <w:left w:val="single" w:sz="8" w:color="auto"/>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32.1</w:t>
            </w:r>
          </w:p>
        </w:tc>
        <w:tc>
          <w:tcPr>
            <w:tcW w:w="120" w:type="dxa"/>
            <w:vAlign w:val="bottom"/>
            <w:tcBorders>
              <w:right w:val="single" w:sz="8" w:color="auto"/>
            </w:tcBorders>
          </w:tcPr>
          <w:p>
            <w:pPr>
              <w:spacing w:after="0"/>
              <w:rPr>
                <w:sz w:val="14"/>
                <w:szCs w:val="14"/>
                <w:color w:val="auto"/>
              </w:rPr>
            </w:pPr>
          </w:p>
        </w:tc>
        <w:tc>
          <w:tcPr>
            <w:tcW w:w="4960" w:type="dxa"/>
            <w:vAlign w:val="bottom"/>
            <w:tcBorders>
              <w:right w:val="single" w:sz="8" w:color="auto"/>
            </w:tcBorders>
            <w:gridSpan w:val="10"/>
          </w:tcPr>
          <w:p>
            <w:pPr>
              <w:spacing w:after="0" w:line="169" w:lineRule="exact"/>
              <w:rPr>
                <w:sz w:val="20"/>
                <w:szCs w:val="20"/>
                <w:color w:val="auto"/>
              </w:rPr>
            </w:pPr>
            <w:r>
              <w:rPr>
                <w:rFonts w:ascii="Times New Roman" w:cs="Times New Roman" w:eastAsia="Times New Roman" w:hAnsi="Times New Roman"/>
                <w:sz w:val="18"/>
                <w:szCs w:val="18"/>
                <w:color w:val="0000EE"/>
              </w:rPr>
              <w:t>Chief Executive Officer Certification pursuant to 18 U.S.C. Section</w:t>
            </w:r>
          </w:p>
        </w:tc>
        <w:tc>
          <w:tcPr>
            <w:tcW w:w="100" w:type="dxa"/>
            <w:vAlign w:val="bottom"/>
            <w:tcBorders>
              <w:right w:val="single" w:sz="8" w:color="auto"/>
            </w:tcBorders>
          </w:tcPr>
          <w:p>
            <w:pPr>
              <w:spacing w:after="0"/>
              <w:rPr>
                <w:sz w:val="14"/>
                <w:szCs w:val="14"/>
                <w:color w:val="auto"/>
              </w:rPr>
            </w:pPr>
          </w:p>
        </w:tc>
        <w:tc>
          <w:tcPr>
            <w:tcW w:w="920" w:type="dxa"/>
            <w:vAlign w:val="bottom"/>
            <w:tcBorders>
              <w:right w:val="single" w:sz="8" w:color="auto"/>
            </w:tcBorders>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920" w:type="dxa"/>
            <w:vAlign w:val="bottom"/>
            <w:tcBorders>
              <w:right w:val="single" w:sz="8" w:color="auto"/>
            </w:tcBorders>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920" w:type="dxa"/>
            <w:vAlign w:val="bottom"/>
            <w:tcBorders>
              <w:right w:val="single" w:sz="8" w:color="auto"/>
            </w:tcBorders>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72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1350.</w:t>
            </w:r>
          </w:p>
        </w:tc>
        <w:tc>
          <w:tcPr>
            <w:tcW w:w="380" w:type="dxa"/>
            <w:vAlign w:val="bottom"/>
            <w:tcBorders>
              <w:top w:val="single" w:sz="8" w:color="0000EE"/>
            </w:tcBorders>
          </w:tcPr>
          <w:p>
            <w:pPr>
              <w:spacing w:after="0"/>
              <w:rPr>
                <w:sz w:val="17"/>
                <w:szCs w:val="17"/>
                <w:color w:val="auto"/>
              </w:rPr>
            </w:pPr>
          </w:p>
        </w:tc>
        <w:tc>
          <w:tcPr>
            <w:tcW w:w="17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68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8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94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940" w:type="dxa"/>
            <w:vAlign w:val="bottom"/>
            <w:tcBorders>
              <w:left w:val="single" w:sz="8" w:color="auto"/>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32.2</w:t>
            </w:r>
          </w:p>
        </w:tc>
        <w:tc>
          <w:tcPr>
            <w:tcW w:w="120" w:type="dxa"/>
            <w:vAlign w:val="bottom"/>
            <w:tcBorders>
              <w:right w:val="single" w:sz="8" w:color="auto"/>
            </w:tcBorders>
          </w:tcPr>
          <w:p>
            <w:pPr>
              <w:spacing w:after="0"/>
              <w:rPr>
                <w:sz w:val="14"/>
                <w:szCs w:val="14"/>
                <w:color w:val="auto"/>
              </w:rPr>
            </w:pPr>
          </w:p>
        </w:tc>
        <w:tc>
          <w:tcPr>
            <w:tcW w:w="4960" w:type="dxa"/>
            <w:vAlign w:val="bottom"/>
            <w:tcBorders>
              <w:right w:val="single" w:sz="8" w:color="auto"/>
            </w:tcBorders>
            <w:gridSpan w:val="10"/>
          </w:tcPr>
          <w:p>
            <w:pPr>
              <w:spacing w:after="0" w:line="169" w:lineRule="exact"/>
              <w:rPr>
                <w:sz w:val="20"/>
                <w:szCs w:val="20"/>
                <w:color w:val="auto"/>
              </w:rPr>
            </w:pPr>
            <w:r>
              <w:rPr>
                <w:rFonts w:ascii="Times New Roman" w:cs="Times New Roman" w:eastAsia="Times New Roman" w:hAnsi="Times New Roman"/>
                <w:sz w:val="18"/>
                <w:szCs w:val="18"/>
                <w:color w:val="0000EE"/>
              </w:rPr>
              <w:t>Chief Financial Officer Certification pursuant to 18 U.S.C. Section</w:t>
            </w:r>
          </w:p>
        </w:tc>
        <w:tc>
          <w:tcPr>
            <w:tcW w:w="100" w:type="dxa"/>
            <w:vAlign w:val="bottom"/>
            <w:tcBorders>
              <w:right w:val="single" w:sz="8" w:color="auto"/>
            </w:tcBorders>
          </w:tcPr>
          <w:p>
            <w:pPr>
              <w:spacing w:after="0"/>
              <w:rPr>
                <w:sz w:val="14"/>
                <w:szCs w:val="14"/>
                <w:color w:val="auto"/>
              </w:rPr>
            </w:pPr>
          </w:p>
        </w:tc>
        <w:tc>
          <w:tcPr>
            <w:tcW w:w="920" w:type="dxa"/>
            <w:vAlign w:val="bottom"/>
            <w:tcBorders>
              <w:right w:val="single" w:sz="8" w:color="auto"/>
            </w:tcBorders>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920" w:type="dxa"/>
            <w:vAlign w:val="bottom"/>
            <w:tcBorders>
              <w:right w:val="single" w:sz="8" w:color="auto"/>
            </w:tcBorders>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920" w:type="dxa"/>
            <w:vAlign w:val="bottom"/>
            <w:tcBorders>
              <w:right w:val="single" w:sz="8" w:color="auto"/>
            </w:tcBorders>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72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1350.</w:t>
            </w:r>
          </w:p>
        </w:tc>
        <w:tc>
          <w:tcPr>
            <w:tcW w:w="380" w:type="dxa"/>
            <w:vAlign w:val="bottom"/>
            <w:tcBorders>
              <w:top w:val="single" w:sz="8" w:color="0000EE"/>
            </w:tcBorders>
          </w:tcPr>
          <w:p>
            <w:pPr>
              <w:spacing w:after="0"/>
              <w:rPr>
                <w:sz w:val="17"/>
                <w:szCs w:val="17"/>
                <w:color w:val="auto"/>
              </w:rPr>
            </w:pPr>
          </w:p>
        </w:tc>
        <w:tc>
          <w:tcPr>
            <w:tcW w:w="17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68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8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94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940" w:type="dxa"/>
            <w:vAlign w:val="bottom"/>
            <w:tcBorders>
              <w:left w:val="single" w:sz="8" w:color="auto"/>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right w:val="single" w:sz="8" w:color="auto"/>
            </w:tcBorders>
          </w:tcPr>
          <w:p>
            <w:pPr>
              <w:spacing w:after="0"/>
              <w:rPr>
                <w:sz w:val="14"/>
                <w:szCs w:val="14"/>
                <w:color w:val="auto"/>
              </w:rPr>
            </w:pPr>
          </w:p>
        </w:tc>
        <w:tc>
          <w:tcPr>
            <w:tcW w:w="4960" w:type="dxa"/>
            <w:vAlign w:val="bottom"/>
            <w:tcBorders>
              <w:right w:val="single" w:sz="8" w:color="auto"/>
            </w:tcBorders>
            <w:gridSpan w:val="10"/>
          </w:tcPr>
          <w:p>
            <w:pPr>
              <w:spacing w:after="0" w:line="169" w:lineRule="exact"/>
              <w:rPr>
                <w:sz w:val="20"/>
                <w:szCs w:val="20"/>
                <w:color w:val="auto"/>
              </w:rPr>
            </w:pPr>
            <w:r>
              <w:rPr>
                <w:rFonts w:ascii="Times New Roman" w:cs="Times New Roman" w:eastAsia="Times New Roman" w:hAnsi="Times New Roman"/>
                <w:sz w:val="18"/>
                <w:szCs w:val="18"/>
                <w:color w:val="0000EE"/>
              </w:rPr>
              <w:t>Press Release dated November 13, 2024</w:t>
            </w:r>
          </w:p>
        </w:tc>
        <w:tc>
          <w:tcPr>
            <w:tcW w:w="100" w:type="dxa"/>
            <w:vAlign w:val="bottom"/>
            <w:tcBorders>
              <w:right w:val="single" w:sz="8" w:color="auto"/>
            </w:tcBorders>
          </w:tcPr>
          <w:p>
            <w:pPr>
              <w:spacing w:after="0"/>
              <w:rPr>
                <w:sz w:val="14"/>
                <w:szCs w:val="14"/>
                <w:color w:val="auto"/>
              </w:rPr>
            </w:pPr>
          </w:p>
        </w:tc>
        <w:tc>
          <w:tcPr>
            <w:tcW w:w="920" w:type="dxa"/>
            <w:vAlign w:val="bottom"/>
            <w:tcBorders>
              <w:right w:val="single" w:sz="8" w:color="auto"/>
            </w:tcBorders>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920" w:type="dxa"/>
            <w:vAlign w:val="bottom"/>
            <w:tcBorders>
              <w:right w:val="single" w:sz="8" w:color="auto"/>
            </w:tcBorders>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920" w:type="dxa"/>
            <w:vAlign w:val="bottom"/>
            <w:tcBorders>
              <w:right w:val="single" w:sz="8" w:color="auto"/>
            </w:tcBorders>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17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8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94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20" w:type="dxa"/>
            <w:vAlign w:val="bottom"/>
            <w:tcBorders>
              <w:bottom w:val="single" w:sz="8" w:color="auto"/>
              <w:right w:val="single" w:sz="8" w:color="auto"/>
            </w:tcBorders>
          </w:tcPr>
          <w:p>
            <w:pPr>
              <w:spacing w:after="0"/>
              <w:rPr>
                <w:sz w:val="18"/>
                <w:szCs w:val="18"/>
                <w:color w:val="auto"/>
              </w:rPr>
            </w:pPr>
          </w:p>
        </w:tc>
        <w:tc>
          <w:tcPr>
            <w:tcW w:w="4960" w:type="dxa"/>
            <w:vAlign w:val="bottom"/>
            <w:tcBorders>
              <w:bottom w:val="single" w:sz="8" w:color="auto"/>
              <w:right w:val="single" w:sz="8" w:color="auto"/>
            </w:tcBorders>
            <w:gridSpan w:val="10"/>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10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0"/>
        </w:trPr>
        <w:tc>
          <w:tcPr>
            <w:tcW w:w="94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120" w:type="dxa"/>
            <w:vAlign w:val="bottom"/>
            <w:tcBorders>
              <w:bottom w:val="single" w:sz="8" w:color="auto"/>
              <w:right w:val="single" w:sz="8" w:color="auto"/>
            </w:tcBorders>
          </w:tcPr>
          <w:p>
            <w:pPr>
              <w:spacing w:after="0"/>
              <w:rPr>
                <w:sz w:val="18"/>
                <w:szCs w:val="18"/>
                <w:color w:val="auto"/>
              </w:rPr>
            </w:pPr>
          </w:p>
        </w:tc>
        <w:tc>
          <w:tcPr>
            <w:tcW w:w="4960" w:type="dxa"/>
            <w:vAlign w:val="bottom"/>
            <w:tcBorders>
              <w:bottom w:val="single" w:sz="8" w:color="auto"/>
              <w:right w:val="single" w:sz="8" w:color="auto"/>
            </w:tcBorders>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c>
          <w:tcPr>
            <w:tcW w:w="10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0"/>
        </w:trPr>
        <w:tc>
          <w:tcPr>
            <w:tcW w:w="94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120" w:type="dxa"/>
            <w:vAlign w:val="bottom"/>
            <w:tcBorders>
              <w:bottom w:val="single" w:sz="8" w:color="auto"/>
              <w:right w:val="single" w:sz="8" w:color="auto"/>
            </w:tcBorders>
          </w:tcPr>
          <w:p>
            <w:pPr>
              <w:spacing w:after="0"/>
              <w:rPr>
                <w:sz w:val="18"/>
                <w:szCs w:val="18"/>
                <w:color w:val="auto"/>
              </w:rPr>
            </w:pPr>
          </w:p>
        </w:tc>
        <w:tc>
          <w:tcPr>
            <w:tcW w:w="4960" w:type="dxa"/>
            <w:vAlign w:val="bottom"/>
            <w:tcBorders>
              <w:bottom w:val="single" w:sz="8" w:color="auto"/>
              <w:right w:val="single" w:sz="8" w:color="auto"/>
            </w:tcBorders>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10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0"/>
        </w:trPr>
        <w:tc>
          <w:tcPr>
            <w:tcW w:w="94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120" w:type="dxa"/>
            <w:vAlign w:val="bottom"/>
            <w:tcBorders>
              <w:bottom w:val="single" w:sz="8" w:color="auto"/>
              <w:right w:val="single" w:sz="8" w:color="auto"/>
            </w:tcBorders>
          </w:tcPr>
          <w:p>
            <w:pPr>
              <w:spacing w:after="0"/>
              <w:rPr>
                <w:sz w:val="18"/>
                <w:szCs w:val="18"/>
                <w:color w:val="auto"/>
              </w:rPr>
            </w:pPr>
          </w:p>
        </w:tc>
        <w:tc>
          <w:tcPr>
            <w:tcW w:w="4960" w:type="dxa"/>
            <w:vAlign w:val="bottom"/>
            <w:tcBorders>
              <w:bottom w:val="single" w:sz="8" w:color="auto"/>
              <w:right w:val="single" w:sz="8" w:color="auto"/>
            </w:tcBorders>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10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9"/>
        </w:trPr>
        <w:tc>
          <w:tcPr>
            <w:tcW w:w="94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120" w:type="dxa"/>
            <w:vAlign w:val="bottom"/>
            <w:tcBorders>
              <w:bottom w:val="single" w:sz="8" w:color="auto"/>
              <w:right w:val="single" w:sz="8" w:color="auto"/>
            </w:tcBorders>
          </w:tcPr>
          <w:p>
            <w:pPr>
              <w:spacing w:after="0"/>
              <w:rPr>
                <w:sz w:val="18"/>
                <w:szCs w:val="18"/>
                <w:color w:val="auto"/>
              </w:rPr>
            </w:pPr>
          </w:p>
        </w:tc>
        <w:tc>
          <w:tcPr>
            <w:tcW w:w="4960" w:type="dxa"/>
            <w:vAlign w:val="bottom"/>
            <w:tcBorders>
              <w:bottom w:val="single" w:sz="8" w:color="auto"/>
              <w:right w:val="single" w:sz="8" w:color="auto"/>
            </w:tcBorders>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c>
          <w:tcPr>
            <w:tcW w:w="10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0"/>
        </w:trPr>
        <w:tc>
          <w:tcPr>
            <w:tcW w:w="94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120" w:type="dxa"/>
            <w:vAlign w:val="bottom"/>
            <w:tcBorders>
              <w:bottom w:val="single" w:sz="8" w:color="auto"/>
              <w:right w:val="single" w:sz="8" w:color="auto"/>
            </w:tcBorders>
          </w:tcPr>
          <w:p>
            <w:pPr>
              <w:spacing w:after="0"/>
              <w:rPr>
                <w:sz w:val="18"/>
                <w:szCs w:val="18"/>
                <w:color w:val="auto"/>
              </w:rPr>
            </w:pPr>
          </w:p>
        </w:tc>
        <w:tc>
          <w:tcPr>
            <w:tcW w:w="4960" w:type="dxa"/>
            <w:vAlign w:val="bottom"/>
            <w:tcBorders>
              <w:bottom w:val="single" w:sz="8" w:color="auto"/>
              <w:right w:val="single" w:sz="8" w:color="auto"/>
            </w:tcBorders>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10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9"/>
        </w:trPr>
        <w:tc>
          <w:tcPr>
            <w:tcW w:w="94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94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104</w:t>
            </w:r>
          </w:p>
        </w:tc>
        <w:tc>
          <w:tcPr>
            <w:tcW w:w="120" w:type="dxa"/>
            <w:vAlign w:val="bottom"/>
            <w:tcBorders>
              <w:right w:val="single" w:sz="8" w:color="auto"/>
            </w:tcBorders>
          </w:tcPr>
          <w:p>
            <w:pPr>
              <w:spacing w:after="0"/>
              <w:rPr>
                <w:sz w:val="16"/>
                <w:szCs w:val="16"/>
                <w:color w:val="auto"/>
              </w:rPr>
            </w:pPr>
          </w:p>
        </w:tc>
        <w:tc>
          <w:tcPr>
            <w:tcW w:w="4960" w:type="dxa"/>
            <w:vAlign w:val="bottom"/>
            <w:tcBorders>
              <w:right w:val="single" w:sz="8" w:color="auto"/>
            </w:tcBorders>
            <w:gridSpan w:val="10"/>
          </w:tcPr>
          <w:p>
            <w:pPr>
              <w:spacing w:after="0" w:line="191" w:lineRule="exact"/>
              <w:rPr>
                <w:sz w:val="20"/>
                <w:szCs w:val="20"/>
                <w:color w:val="auto"/>
              </w:rPr>
            </w:pPr>
            <w:r>
              <w:rPr>
                <w:rFonts w:ascii="Times New Roman" w:cs="Times New Roman" w:eastAsia="Times New Roman" w:hAnsi="Times New Roman"/>
                <w:sz w:val="18"/>
                <w:szCs w:val="18"/>
                <w:color w:val="auto"/>
              </w:rPr>
              <w:t>Cover Page Interactive Data File (formatted as inline XBRL and</w:t>
            </w:r>
          </w:p>
        </w:tc>
        <w:tc>
          <w:tcPr>
            <w:tcW w:w="10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940" w:type="dxa"/>
            <w:vAlign w:val="bottom"/>
            <w:tcBorders>
              <w:left w:val="single" w:sz="8" w:color="auto"/>
              <w:bottom w:val="single" w:sz="8" w:color="auto"/>
              <w:right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4960" w:type="dxa"/>
            <w:vAlign w:val="bottom"/>
            <w:tcBorders>
              <w:bottom w:val="single" w:sz="8" w:color="auto"/>
              <w:right w:val="single" w:sz="8" w:color="auto"/>
            </w:tcBorders>
            <w:gridSpan w:val="10"/>
          </w:tcPr>
          <w:p>
            <w:pPr>
              <w:spacing w:after="0"/>
              <w:rPr>
                <w:sz w:val="20"/>
                <w:szCs w:val="20"/>
                <w:color w:val="auto"/>
              </w:rPr>
            </w:pPr>
            <w:r>
              <w:rPr>
                <w:rFonts w:ascii="Times New Roman" w:cs="Times New Roman" w:eastAsia="Times New Roman" w:hAnsi="Times New Roman"/>
                <w:sz w:val="18"/>
                <w:szCs w:val="18"/>
                <w:color w:val="auto"/>
              </w:rPr>
              <w:t>contained in Exhibit 101).</w:t>
            </w:r>
          </w:p>
        </w:tc>
        <w:tc>
          <w:tcPr>
            <w:tcW w:w="10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940" w:type="dxa"/>
            <w:vAlign w:val="bottom"/>
          </w:tcPr>
          <w:p>
            <w:pPr>
              <w:spacing w:after="0"/>
              <w:rPr>
                <w:sz w:val="24"/>
                <w:szCs w:val="24"/>
                <w:color w:val="auto"/>
              </w:rPr>
            </w:pPr>
          </w:p>
        </w:tc>
        <w:tc>
          <w:tcPr>
            <w:tcW w:w="4920" w:type="dxa"/>
            <w:vAlign w:val="bottom"/>
            <w:gridSpan w:val="8"/>
          </w:tcPr>
          <w:p>
            <w:pPr>
              <w:jc w:val="right"/>
              <w:ind w:right="140"/>
              <w:spacing w:after="0"/>
              <w:rPr>
                <w:sz w:val="20"/>
                <w:szCs w:val="20"/>
                <w:color w:val="auto"/>
              </w:rPr>
            </w:pPr>
            <w:r>
              <w:rPr>
                <w:rFonts w:ascii="Times New Roman" w:cs="Times New Roman" w:eastAsia="Times New Roman" w:hAnsi="Times New Roman"/>
                <w:sz w:val="18"/>
                <w:szCs w:val="18"/>
                <w:color w:val="auto"/>
              </w:rPr>
              <w:t>29</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7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7540" w:type="dxa"/>
            <w:vAlign w:val="bottom"/>
            <w:gridSpan w:val="2"/>
          </w:tcPr>
          <w:p>
            <w:pPr>
              <w:ind w:left="2500"/>
              <w:spacing w:after="0"/>
              <w:rPr>
                <w:sz w:val="20"/>
                <w:szCs w:val="20"/>
                <w:color w:val="auto"/>
              </w:rPr>
            </w:pPr>
            <w:r>
              <w:rPr>
                <w:rFonts w:ascii="Times New Roman" w:cs="Times New Roman" w:eastAsia="Times New Roman" w:hAnsi="Times New Roman"/>
                <w:sz w:val="18"/>
                <w:szCs w:val="18"/>
                <w:color w:val="auto"/>
              </w:rPr>
              <w:t>Creative Realities, Inc.</w:t>
            </w:r>
          </w:p>
        </w:tc>
      </w:tr>
      <w:tr>
        <w:trPr>
          <w:trHeight w:val="432"/>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13, 2024</w:t>
            </w:r>
          </w:p>
        </w:tc>
        <w:tc>
          <w:tcPr>
            <w:tcW w:w="306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Mills</w:t>
            </w:r>
          </w:p>
        </w:tc>
      </w:tr>
      <w:tr>
        <w:trPr>
          <w:trHeight w:val="191"/>
        </w:trPr>
        <w:tc>
          <w:tcPr>
            <w:tcW w:w="370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4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Richard Mills</w:t>
            </w:r>
          </w:p>
        </w:tc>
      </w:tr>
      <w:tr>
        <w:trPr>
          <w:trHeight w:val="234"/>
        </w:trPr>
        <w:tc>
          <w:tcPr>
            <w:tcW w:w="370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3700" w:type="dxa"/>
            <w:vAlign w:val="bottom"/>
          </w:tcPr>
          <w:p>
            <w:pPr>
              <w:spacing w:after="0"/>
              <w:rPr>
                <w:sz w:val="24"/>
                <w:szCs w:val="24"/>
                <w:color w:val="auto"/>
              </w:rPr>
            </w:pPr>
          </w:p>
        </w:tc>
        <w:tc>
          <w:tcPr>
            <w:tcW w:w="306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Will Logan</w:t>
            </w:r>
          </w:p>
        </w:tc>
      </w:tr>
      <w:tr>
        <w:trPr>
          <w:trHeight w:val="191"/>
        </w:trPr>
        <w:tc>
          <w:tcPr>
            <w:tcW w:w="370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4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Will Logan</w:t>
            </w:r>
          </w:p>
        </w:tc>
      </w:tr>
      <w:tr>
        <w:trPr>
          <w:trHeight w:val="234"/>
        </w:trPr>
        <w:tc>
          <w:tcPr>
            <w:tcW w:w="370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32"/>
        </w:trPr>
        <w:tc>
          <w:tcPr>
            <w:tcW w:w="3700" w:type="dxa"/>
            <w:vAlign w:val="bottom"/>
          </w:tcPr>
          <w:p>
            <w:pPr>
              <w:spacing w:after="0"/>
              <w:rPr>
                <w:sz w:val="24"/>
                <w:szCs w:val="24"/>
                <w:color w:val="auto"/>
              </w:rPr>
            </w:pPr>
          </w:p>
        </w:tc>
        <w:tc>
          <w:tcPr>
            <w:tcW w:w="306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30</w:t>
            </w:r>
          </w:p>
        </w:tc>
        <w:tc>
          <w:tcPr>
            <w:tcW w:w="4480" w:type="dxa"/>
            <w:vAlign w:val="bottom"/>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CHIEF EXECUTIVE OFFICER CERTIFICATION</w:t>
      </w:r>
    </w:p>
    <w:p>
      <w:pPr>
        <w:spacing w:after="0" w:line="31"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PURSUANT TO EXCHANGE ACT RULE 13a-14(a)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Mills, certify that:</w:t>
      </w:r>
    </w:p>
    <w:p>
      <w:pPr>
        <w:spacing w:after="0" w:line="225"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three and nine months ended September 30, 2024, of Creative Realities,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20" w:hanging="315"/>
        <w:spacing w:after="0" w:line="266" w:lineRule="auto"/>
        <w:tabs>
          <w:tab w:leader="none" w:pos="6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20" w:hanging="315"/>
        <w:spacing w:after="0" w:line="266" w:lineRule="auto"/>
        <w:tabs>
          <w:tab w:leader="none" w:pos="6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20" w:hanging="315"/>
        <w:spacing w:after="0" w:line="282" w:lineRule="auto"/>
        <w:tabs>
          <w:tab w:leader="none" w:pos="6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20" w:hanging="315"/>
        <w:spacing w:after="0" w:line="266" w:lineRule="auto"/>
        <w:tabs>
          <w:tab w:leader="none" w:pos="6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20" w:hanging="315"/>
        <w:spacing w:after="0" w:line="282" w:lineRule="auto"/>
        <w:tabs>
          <w:tab w:leader="none" w:pos="6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20" w:hanging="315"/>
        <w:spacing w:after="0" w:line="282" w:lineRule="auto"/>
        <w:tabs>
          <w:tab w:leader="none" w:pos="6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13, 2024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Mills</w:t>
            </w:r>
          </w:p>
        </w:tc>
      </w:tr>
      <w:tr>
        <w:trPr>
          <w:trHeight w:val="191"/>
        </w:trPr>
        <w:tc>
          <w:tcPr>
            <w:tcW w:w="580" w:type="dxa"/>
            <w:vAlign w:val="bottom"/>
          </w:tcPr>
          <w:p>
            <w:pPr>
              <w:spacing w:after="0"/>
              <w:rPr>
                <w:sz w:val="16"/>
                <w:szCs w:val="16"/>
                <w:color w:val="auto"/>
              </w:rPr>
            </w:pPr>
          </w:p>
        </w:tc>
        <w:tc>
          <w:tcPr>
            <w:tcW w:w="45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Richard Mills</w:t>
            </w:r>
          </w:p>
        </w:tc>
      </w:tr>
      <w:tr>
        <w:trPr>
          <w:trHeight w:val="234"/>
        </w:trPr>
        <w:tc>
          <w:tcPr>
            <w:tcW w:w="580" w:type="dxa"/>
            <w:vAlign w:val="bottom"/>
          </w:tcPr>
          <w:p>
            <w:pPr>
              <w:spacing w:after="0"/>
              <w:rPr>
                <w:sz w:val="20"/>
                <w:szCs w:val="20"/>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117"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CHIEF FINANCIAL OFFICER CERTIFICATION</w:t>
      </w:r>
    </w:p>
    <w:p>
      <w:pPr>
        <w:spacing w:after="0" w:line="31"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PURSUANT TO EXCHANGE ACT RULE 13a-14(a)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 Logan, certify that:</w:t>
      </w:r>
    </w:p>
    <w:p>
      <w:pPr>
        <w:spacing w:after="0" w:line="225"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three and nine months ended September 30, 2024, of Creative Realities,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20" w:hanging="315"/>
        <w:spacing w:after="0" w:line="266" w:lineRule="auto"/>
        <w:tabs>
          <w:tab w:leader="none" w:pos="6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20" w:hanging="315"/>
        <w:spacing w:after="0" w:line="266" w:lineRule="auto"/>
        <w:tabs>
          <w:tab w:leader="none" w:pos="6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20" w:hanging="315"/>
        <w:spacing w:after="0" w:line="282" w:lineRule="auto"/>
        <w:tabs>
          <w:tab w:leader="none" w:pos="6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20" w:hanging="315"/>
        <w:spacing w:after="0" w:line="266" w:lineRule="auto"/>
        <w:tabs>
          <w:tab w:leader="none" w:pos="6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20" w:hanging="315"/>
        <w:spacing w:after="0" w:line="282" w:lineRule="auto"/>
        <w:tabs>
          <w:tab w:leader="none" w:pos="6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20" w:hanging="315"/>
        <w:spacing w:after="0" w:line="282" w:lineRule="auto"/>
        <w:tabs>
          <w:tab w:leader="none" w:pos="6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13, 2024</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Will Logan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85432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Will Logan</w:t>
      </w:r>
    </w:p>
    <w:p>
      <w:pPr>
        <w:spacing w:after="0" w:line="2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17"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 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Creative Realities, Inc. (the “Company”) on Form 10-Q for the three and nine months ended September 30, 2024, as filed with the Securities and Exchange Commission on the date hereof (the “Report”), I, Richard Mills, certify, pursuant to 18 U.S.C. Section 1350, as adopted pursuant to Section 906 of the Sarbanes-Oxley Act of 2002, that:</w:t>
      </w:r>
    </w:p>
    <w:p>
      <w:pPr>
        <w:spacing w:after="0" w:line="176"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13,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Richard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00037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3000375" cy="8890"/>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Richard Mills</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17"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 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Creative Realities, Inc. (the “Company”) on Form 10-Q for the three and nine months ended September 30, 2024, as filed with the Securities and Exchange Commission on the date hereof (the “Report”), I, Will Logan, certify, pursuant to 18 U.S.C. Section 1350, as adopted pursuant to Section 906 of the Sarbanes-Oxley Act of 2002, that:</w:t>
      </w:r>
    </w:p>
    <w:p>
      <w:pPr>
        <w:spacing w:after="0" w:line="176"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13,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By:/s/ Will Logan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17145</wp:posOffset>
            </wp:positionV>
            <wp:extent cx="305181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3051810" cy="8890"/>
                    </a:xfrm>
                    <a:prstGeom prst="rect">
                      <a:avLst/>
                    </a:prstGeom>
                    <a:noFill/>
                  </pic:spPr>
                </pic:pic>
              </a:graphicData>
            </a:graphic>
          </wp:anchor>
        </w:drawing>
      </w:r>
    </w:p>
    <w:p>
      <w:pPr>
        <w:spacing w:after="0" w:line="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Will Logan</w:t>
      </w:r>
    </w:p>
    <w:p>
      <w:pPr>
        <w:spacing w:after="0" w:line="2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17"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 IMMEDIATE RELEASE</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Creative Realities Reports Fiscal 2024 Third Quarter Results</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i w:val="1"/>
          <w:iCs w:val="1"/>
          <w:color w:val="auto"/>
        </w:rPr>
        <w:t>25% Year-over-Year Top Line Revenue Growth; 53% increase in Adjusted EBITDA to $2.3 Million; On Track for Best Year Ever</w:t>
      </w:r>
    </w:p>
    <w:p>
      <w:pPr>
        <w:spacing w:after="0" w:line="19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LOUISVILLE, KY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November 13, 2024 </w:t>
      </w:r>
      <w:r>
        <w:rPr>
          <w:rFonts w:ascii="Times New Roman" w:cs="Times New Roman" w:eastAsia="Times New Roman" w:hAnsi="Times New Roman"/>
          <w:sz w:val="18"/>
          <w:szCs w:val="18"/>
          <w:color w:val="auto"/>
        </w:rPr>
        <w:t>– Creative Realities, Inc. (“Creative Realities,” “CRI,” or the “Company”) (NASDAQ: CREX), a leading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provider of digital signage and media solutions, today announced its financial results for the fiscal third quarter ended September 30, 2024.</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Highlights:</w:t>
      </w:r>
    </w:p>
    <w:p>
      <w:pPr>
        <w:spacing w:after="0" w:line="229" w:lineRule="exact"/>
        <w:rPr>
          <w:sz w:val="20"/>
          <w:szCs w:val="20"/>
          <w:color w:val="auto"/>
        </w:rPr>
      </w:pPr>
    </w:p>
    <w:p>
      <w:pPr>
        <w:ind w:left="500" w:hanging="317"/>
        <w:spacing w:after="0"/>
        <w:tabs>
          <w:tab w:leader="none" w:pos="5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third quarter revenue of $14.4 million, up 25% from $11.6 million in the prior-year period</w:t>
      </w:r>
    </w:p>
    <w:p>
      <w:pPr>
        <w:spacing w:after="0" w:line="225" w:lineRule="exact"/>
        <w:rPr>
          <w:rFonts w:ascii="Times New Roman" w:cs="Times New Roman" w:eastAsia="Times New Roman" w:hAnsi="Times New Roman"/>
          <w:sz w:val="18"/>
          <w:szCs w:val="18"/>
          <w:color w:val="auto"/>
        </w:rPr>
      </w:pPr>
    </w:p>
    <w:p>
      <w:pPr>
        <w:ind w:left="500" w:hanging="317"/>
        <w:spacing w:after="0" w:line="282" w:lineRule="auto"/>
        <w:tabs>
          <w:tab w:leader="none" w:pos="5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of $6.6 million for the three months ended September 30, 2024 versus $5.3 million in the third quarter of fiscal 2023, an increase of 25%</w:t>
      </w:r>
    </w:p>
    <w:p>
      <w:pPr>
        <w:spacing w:after="0" w:line="161" w:lineRule="exact"/>
        <w:rPr>
          <w:rFonts w:ascii="Times New Roman" w:cs="Times New Roman" w:eastAsia="Times New Roman" w:hAnsi="Times New Roman"/>
          <w:sz w:val="18"/>
          <w:szCs w:val="18"/>
          <w:color w:val="auto"/>
        </w:rPr>
      </w:pPr>
    </w:p>
    <w:p>
      <w:pPr>
        <w:ind w:left="500" w:hanging="317"/>
        <w:spacing w:after="0"/>
        <w:tabs>
          <w:tab w:leader="none" w:pos="5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improved by $1.9 million during third quarter, to breakeven, as compared to third quarter prior year</w:t>
      </w:r>
    </w:p>
    <w:p>
      <w:pPr>
        <w:spacing w:after="0" w:line="225" w:lineRule="exact"/>
        <w:rPr>
          <w:rFonts w:ascii="Times New Roman" w:cs="Times New Roman" w:eastAsia="Times New Roman" w:hAnsi="Times New Roman"/>
          <w:sz w:val="18"/>
          <w:szCs w:val="18"/>
          <w:color w:val="auto"/>
        </w:rPr>
      </w:pPr>
    </w:p>
    <w:p>
      <w:pPr>
        <w:ind w:left="500" w:hanging="317"/>
        <w:spacing w:after="0"/>
        <w:tabs>
          <w:tab w:leader="none" w:pos="5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of $2.3 million for the third quarter of 2024 versus $1.0 million in the prior-year period, an increase of 122%</w:t>
      </w:r>
    </w:p>
    <w:p>
      <w:pPr>
        <w:spacing w:after="0" w:line="225" w:lineRule="exact"/>
        <w:rPr>
          <w:rFonts w:ascii="Times New Roman" w:cs="Times New Roman" w:eastAsia="Times New Roman" w:hAnsi="Times New Roman"/>
          <w:sz w:val="18"/>
          <w:szCs w:val="18"/>
          <w:color w:val="auto"/>
        </w:rPr>
      </w:pPr>
    </w:p>
    <w:p>
      <w:pPr>
        <w:ind w:left="500" w:hanging="317"/>
        <w:spacing w:after="0"/>
        <w:tabs>
          <w:tab w:leader="none" w:pos="5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recurring revenue (“ARR”) of approximately $18.1 million at the end of the third quarter versus $18.0 million as of June 30, 2024</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financial results – including third quarter record revenue and profitable bottom-line performance – put us squarely on track for the Company’s best year in its history,” said Rick Mills, Chief Executive Officer. “Revenue rose 25% year-over-year, and Adjusted EBITDA climbed to $2.3 million, as we moved closer to achieving many of our goals for fiscal 2024. Our Adjusted EBITDA as a percentage of revenue rose to 15.8% in the quarter and to 11.5% year-to-date, bringing our trailing twelve-months Adjusted EBITDA to $7.4 million, or 13.6% of trailing twelve-month revenue. This Adjusted EBITDA is ahead of our prior projection of a 2024 exit run-rate of approximately 12% on revenue of $60 million. While the Company’s active business development pipeline positions us positively for 2025 and beyond, we project a shortfall in revenue against our prior projections for the 2024 fourth quarter and the fiscal year as material opportunities have taken longer to finalize, contract, and deploy, thus pushing these projected revenues into 2025. We are confident that 2024 will represent record revenue and profitability under any scenario and remain excited about the future and committed to accelerating growth, expanding margins, optimizing our capital structure and, as always, increasing returns for our shareholders.”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*Adjusted EBITDA is a non-GAAP financial measure. A reconciliation is provided in the tables of this press release.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2024 Third Quarter Financial Results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Sales were $14.4 million for the fiscal 2024 third quarter, an increase of $2.9 million, or 25%, as compared to the same period in fiscal 2023. Hardware revenue was $5.2 million, versus $4.8 million in the prior-year period, while service revenue rose to $9.2 million from $6.7 million in fiscal 2023. Service growth was significant year-over-year reflecting strong demand and a higher installed base of business.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Consolidated gross profit was $6.6 million for the fiscal 2024 third quarter versus $5.3 million in the prior-year period, and consolidated gross margin was 45.6% versus 45.8% in the fiscal 2023 third quarter. Gross margin on hardware revenue was 24.1% in fiscal 2024 as compared to 30.2% in the prior-year period, primarily reflecting product mix. Gross margin on service amounted to 57.9%, versus 57.1% in the fiscal 2023 third quarter. The Company anticipates margin expansion as revenue expands more quickly than the associated cost of deployment and support of those enhanced levels of revenue. Software subscription run-rates continued to rise, and the Company ended the quarter with record ARR of approximately $18.1 million on an annualized run rate.</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Sales and marketing expenses in the third quarter rose to $1.5 million, versus $1.3 million in the prior-year period, reflecting enhanced investment in business development activities. Third quarter general and administrative expenses were $3.9 million versus $3.8 in fiscal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posted operating income of approximately $1.1 million in the third quarter of fiscal 2024 compared to $0.2 million in fiscal 2023. CRI reported net income of $0.1 million, or $0.01 per diluted share, in the quarter ended September 30, 2024 versus a net loss of $1.9 million, or $(0.22) per diluted share, in the prior-year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EBITDA (defined later in this release) was $2.3 million in the third quarter of 2024 as compared to $1.0 million in the prior-year period.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Balance Sheet</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September 30, 2024, the Company had cash on hand of approximately $0.9 million, versus $2.9 million at December 31, 2023. The Company had outstanding debt of approximately $11.0 million as of September 30, 2024 versus $15.1 million at the start of the fiscal year. As of the end of the third quarter, the trailing twelve-month gross and net leverage ratios utilizing Adjusted EBTIDA were 1.49x and 1.37x, respectively, versus 2.97x and 2.40x at the beginning of 2024. Net debt is equal to the Company’s outstanding debt less cash on hand.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Details</w:t>
      </w:r>
    </w:p>
    <w:p>
      <w:pPr>
        <w:spacing w:after="0" w:line="31"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The Company will host a conference call to review the results of the third quarter 2024, and provide additional commentary about recent performance, today, November 13, at 9:00 am Eastern Time, which will include prepared remarks and materials from management, followed by a live Q&amp;A. The call will be hosted by Rick Mills, Chief Executive Officer, and Will Logan, Chief Financial Officer.</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Prior to the call, participants should register at </w:t>
      </w:r>
      <w:r>
        <w:rPr>
          <w:rFonts w:ascii="Times New Roman" w:cs="Times New Roman" w:eastAsia="Times New Roman" w:hAnsi="Times New Roman"/>
          <w:sz w:val="18"/>
          <w:szCs w:val="18"/>
          <w:u w:val="single" w:color="auto"/>
          <w:color w:val="auto"/>
        </w:rPr>
        <w:t>https://bit.ly/CRIearnings2024Q3</w:t>
      </w:r>
      <w:r>
        <w:rPr>
          <w:rFonts w:ascii="Times New Roman" w:cs="Times New Roman" w:eastAsia="Times New Roman" w:hAnsi="Times New Roman"/>
          <w:sz w:val="18"/>
          <w:szCs w:val="18"/>
          <w:color w:val="auto"/>
        </w:rPr>
        <w:t>. Once registered, participants can use the weblink provided in the registration email to participate in the live webcast. An archived edition of the earnings conference call will also be posted on the Company’s website later today and will remain available for one year.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Non-GAAP Measures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Creative Realities, Inc. prepares its consolidated financial statements in accordance with United States generally accepted accounting principles (“GAAP”). In addition to disclosing financial results prepared in accordance with GAAP, the Company discloses information regarding “EBITDA” and “Adjusted EBITDA.” CRI defines “EBITDA” as earnings before interest, income taxes, depreciation and amortization of intangibles. CRI defines “Adjusted EBITDA” as EBITDA excluding stock-based compensation, fair value adjustments and both cash and non-cash non-recurring gains and charges. EBITDA and Adjusted EBITDA are not measures of performance defined in accordance with GAAP. However, EBITDA and Adjusted EBITDA are used internally in planning and evaluating the Company’s operating performance. Accordingly, management believes that disclosure of these metrics offers investors, bankers and other stakeholders an additional view of the Company’s operations that, when coupled with the GAAP results, provides a more complete understanding of the Company’s financial results. EBITDA and Adjusted EBITDA should not be considered as an alternative to net income/(loss) or to net cash used in operating activities as measures of operating results or liquidity. Our calculation of EBITDA and Adjusted EBITDA may not be comparable to similarly titled measures used by other companies, and the measures exclude financial information that some may consider important in evaluating the Company’s performance. A reconciliation of GAAP net income/(loss) to EBITDA and Adjusted EBITDA is included in the accompanying financial schedules. For further information, please refer to Creative Realities, Inc.’s filings available online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including its Annual Report on Form 10-K filed with the Securities and Exchange Commission on March 21, 2024.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Creative Realities, Inc.</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Creative Realities designs, develops and deploys digital signage-based experiences for enterprise-level networks utilizing its Clarity™, ReflectView™, and iShowroom™ Content Management System (CMS) platforms. The Company is actively providing recurring SaaS and support services across diverse vertical markets, including but not limited to retail, automotive, digital-out-of-home (DOOH) advertising networks, convenience stores, foodservice/QSR, gaming, theater, and stadium venues. In addition, the Company assists clients in utilizing place-based digital media to achieve business objectives such as increased revenue, enhanced customer experiences, and improved productivity. This includes the design, deployment, and day to day management of Retail Media Networks to monetize on-premise foot traffic utilizing its AdLogic™ programmatic advertising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354965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Cautionary Note on Forward-Looking Statements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Section 27A of the Securities Act of 1933, as amended, Section 21E of the Securities Exchange Act of 1934, as amended, and the Private Securities Litigation Reform Act of 1995, and includes, among other things, discussions of our business strategies, product releases, future operations and capital resources. Words such as "estimates," "projects," "expects," "anticipates," "forecasts," "plans," "intends," "believes," "seeks," "may," "will," "should," "future," "propose" and variations of these words or similar expressions (or the negative versions of such words or expressions) are intended to identify forward-looking statements. Forward-looking statements are not guarantees of future performance, conditions or results. They are based on the opinions, estimates and beliefs of management as of the date such statements are made, and they are subject to known and unknown risks, uncertainties, assumptions and other factors, many of which are outside of our control, that may cause the actual results, level of activity, performance or achievements to be materially different from those expressed or implied by such forward-looking statements. Some of these risks are discussed in the “Risk Factors” section contained in Item 1A of our Annual Report on Form 10-K for the year ended December 31, 2023 and in our Quarterly Reports on Form 10-Q for the quarters ended March 31, 2024 and September 30, 2024, and the Company’s subsequent filings with the U.S. Securities and Exchange Commission. Important factors, among others, that may affect actual results or outcomes include: our strategy for customer retention, growth, product development, market position, financial results and reserves, our ability to execute on our business plan, our ability to retain key personnel, vendors and customers, our ability to remain listed on the Nasdaq Capital Market, our ability to realize the revenues included in our future guidance and backlog reports, our ability to satisfy our upcoming debt obligations and other liabilities, the ability of the Company to continue as a going concern, potential litigation, supply chain shortages, and general economic and market conditions impacting demand for our products and services. Readers should not place undue reliance upon any forward-looking statements. We assume no obligation to update or revise the forward-looking statements, whether as a result of new information, future events or otherwise, except as required by law.</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Christina Davies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cdavies@ideagrove.com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 Witty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cwitty@darrowir.com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646-438-9385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ir@cri.com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https://investors.cri.com/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CREATIVE REALITIES, INC.</w:t>
      </w:r>
    </w:p>
    <w:p>
      <w:pPr>
        <w:spacing w:after="0" w:line="3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0"/>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(unaudited)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868</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2,910</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11,300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12,468</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 net</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3,054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2,567</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15,965</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18,610</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499</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26,453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26,453</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23,519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24,062</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901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1,041</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8"/>
                <w:szCs w:val="18"/>
                <w:color w:val="auto"/>
              </w:rPr>
            </w:pPr>
          </w:p>
        </w:tc>
      </w:tr>
      <w:tr>
        <w:trPr>
          <w:trHeight w:val="24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67,562</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70,777</w:t>
            </w:r>
          </w:p>
        </w:tc>
      </w:tr>
      <w:tr>
        <w:trPr>
          <w:trHeight w:val="197"/>
        </w:trPr>
        <w:tc>
          <w:tcPr>
            <w:tcW w:w="80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6,446</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7,876</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3,649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3,761</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2,769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1,132</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Customer deposits</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3,398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3,233</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maturities of operating leases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505</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portion of related party term debt</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3,690</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portion of contingent consideration, at fair value</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10,794</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27,517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20,197</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10,979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related party term debt</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9,829</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obligations under operating leases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536</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contingent consideration, at fair value</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11,208</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39,268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41,946</w:t>
            </w:r>
          </w:p>
        </w:tc>
      </w:tr>
      <w:tr>
        <w:trPr>
          <w:trHeight w:val="210"/>
        </w:trPr>
        <w:tc>
          <w:tcPr>
            <w:tcW w:w="80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80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$0.01 par value, 66,666 shares authorized; 10,447 and 10,409 shares issued and</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respectively</w:t>
            </w:r>
          </w:p>
        </w:tc>
        <w:tc>
          <w:tcPr>
            <w:tcW w:w="14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82,206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82,073</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(54,016)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(53,346)</w:t>
            </w:r>
          </w:p>
        </w:tc>
      </w:tr>
      <w:tr>
        <w:trPr>
          <w:trHeight w:val="209"/>
        </w:trPr>
        <w:tc>
          <w:tcPr>
            <w:tcW w:w="80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28,294</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28,831</w:t>
            </w:r>
          </w:p>
        </w:tc>
        <w:tc>
          <w:tcPr>
            <w:tcW w:w="100" w:type="dxa"/>
            <w:vAlign w:val="bottom"/>
            <w:tcBorders>
              <w:top w:val="single" w:sz="8" w:color="CCEEFF"/>
            </w:tcBorders>
          </w:tcPr>
          <w:p>
            <w:pPr>
              <w:spacing w:after="0"/>
              <w:rPr>
                <w:sz w:val="18"/>
                <w:szCs w:val="18"/>
                <w:color w:val="auto"/>
              </w:rPr>
            </w:pPr>
          </w:p>
        </w:tc>
      </w:tr>
      <w:tr>
        <w:trPr>
          <w:trHeight w:val="25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67,562</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70,777</w:t>
            </w:r>
          </w:p>
        </w:tc>
      </w:tr>
      <w:tr>
        <w:trPr>
          <w:trHeight w:val="555"/>
        </w:trPr>
        <w:tc>
          <w:tcPr>
            <w:tcW w:w="800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34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CREATIVE REALITIES,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gridSpan w:val="5"/>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20" w:type="dxa"/>
            <w:vAlign w:val="bottom"/>
          </w:tcPr>
          <w:p>
            <w:pPr>
              <w:spacing w:after="0"/>
              <w:rPr>
                <w:sz w:val="18"/>
                <w:szCs w:val="18"/>
                <w:color w:val="auto"/>
              </w:rPr>
            </w:pPr>
          </w:p>
        </w:tc>
        <w:tc>
          <w:tcPr>
            <w:tcW w:w="2420" w:type="dxa"/>
            <w:vAlign w:val="bottom"/>
            <w:gridSpan w:val="5"/>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r>
      <w:tr>
        <w:trPr>
          <w:trHeight w:val="238"/>
        </w:trPr>
        <w:tc>
          <w:tcPr>
            <w:tcW w:w="5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gridSpan w:val="5"/>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Pr>
          <w:p>
            <w:pPr>
              <w:spacing w:after="0"/>
              <w:rPr>
                <w:sz w:val="20"/>
                <w:szCs w:val="20"/>
                <w:color w:val="auto"/>
              </w:rPr>
            </w:pPr>
          </w:p>
        </w:tc>
        <w:tc>
          <w:tcPr>
            <w:tcW w:w="2420" w:type="dxa"/>
            <w:vAlign w:val="bottom"/>
            <w:gridSpan w:val="5"/>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10"/>
        </w:trPr>
        <w:tc>
          <w:tcPr>
            <w:tcW w:w="59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Hardware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5,241</w:t>
            </w:r>
          </w:p>
        </w:tc>
        <w:tc>
          <w:tcPr>
            <w:tcW w:w="26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4,847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14,409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12,606</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Services and other</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9,201</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6,721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25,433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18,102</w:t>
            </w:r>
          </w:p>
        </w:tc>
      </w:tr>
      <w:tr>
        <w:trPr>
          <w:trHeight w:val="20"/>
        </w:trPr>
        <w:tc>
          <w:tcPr>
            <w:tcW w:w="59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sales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14,442</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11,568</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39,842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30,708</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Hardware</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3,384</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10,682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9,314</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Services and other</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3,874</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2,881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10,019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6,704</w:t>
            </w:r>
          </w:p>
        </w:tc>
      </w:tr>
      <w:tr>
        <w:trPr>
          <w:trHeight w:val="20"/>
        </w:trPr>
        <w:tc>
          <w:tcPr>
            <w:tcW w:w="59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cost of sales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7,853</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6,265</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20,701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16,018</w:t>
            </w:r>
          </w:p>
        </w:tc>
      </w:tr>
      <w:tr>
        <w:trPr>
          <w:trHeight w:val="20"/>
        </w:trPr>
        <w:tc>
          <w:tcPr>
            <w:tcW w:w="5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6,589</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5,303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19,141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14,690</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1,301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4,655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3,666</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3,928</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3,842</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12,834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11,654</w:t>
            </w:r>
          </w:p>
        </w:tc>
      </w:tr>
      <w:tr>
        <w:trPr>
          <w:trHeight w:val="20"/>
        </w:trPr>
        <w:tc>
          <w:tcPr>
            <w:tcW w:w="5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5,453</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5,143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17,489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15,320</w:t>
            </w:r>
          </w:p>
        </w:tc>
      </w:tr>
      <w:tr>
        <w:trPr>
          <w:trHeight w:val="20"/>
        </w:trPr>
        <w:tc>
          <w:tcPr>
            <w:tcW w:w="59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income (loss)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1,652</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(630)</w:t>
            </w:r>
          </w:p>
        </w:tc>
      </w:tr>
      <w:tr>
        <w:trPr>
          <w:trHeight w:val="216"/>
        </w:trPr>
        <w:tc>
          <w:tcPr>
            <w:tcW w:w="5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expenses (income):</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including amortization of debt discount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1,479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2,324</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loss on change in fair value of contingent consideration</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1,369</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1,461</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expense (income)</w:t>
            </w:r>
          </w:p>
        </w:tc>
        <w:tc>
          <w:tcPr>
            <w:tcW w:w="1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(132)</w:t>
            </w:r>
          </w:p>
        </w:tc>
      </w:tr>
      <w:tr>
        <w:trPr>
          <w:trHeight w:val="20"/>
        </w:trPr>
        <w:tc>
          <w:tcPr>
            <w:tcW w:w="5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expenses (income)</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2,106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2,096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3,653</w:t>
            </w:r>
          </w:p>
        </w:tc>
      </w:tr>
      <w:tr>
        <w:trPr>
          <w:trHeight w:val="20"/>
        </w:trPr>
        <w:tc>
          <w:tcPr>
            <w:tcW w:w="59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 (loss) before income taxes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(1,946)</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(444)</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(4,283)</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(192)</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(73)</w:t>
            </w:r>
          </w:p>
        </w:tc>
      </w:tr>
      <w:tr>
        <w:trPr>
          <w:trHeight w:val="20"/>
        </w:trPr>
        <w:tc>
          <w:tcPr>
            <w:tcW w:w="59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6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(1,931)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(4,356)</w:t>
            </w:r>
          </w:p>
        </w:tc>
      </w:tr>
      <w:tr>
        <w:trPr>
          <w:trHeight w:val="20"/>
        </w:trPr>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9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Basic earning (loss) per common share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0.01</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(0.22)</w:t>
            </w:r>
          </w:p>
        </w:tc>
        <w:tc>
          <w:tcPr>
            <w:tcW w:w="1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(0.06)</w:t>
            </w:r>
          </w:p>
        </w:tc>
        <w:tc>
          <w:tcPr>
            <w:tcW w:w="240" w:type="dxa"/>
            <w:vAlign w:val="bottom"/>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(0.56)</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5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Diluted earning (loss) per common share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0.01</w:t>
            </w:r>
          </w:p>
        </w:tc>
        <w:tc>
          <w:tcPr>
            <w:tcW w:w="260" w:type="dxa"/>
            <w:vAlign w:val="bottom"/>
          </w:tcPr>
          <w:p>
            <w:pPr>
              <w:spacing w:after="0"/>
              <w:rPr>
                <w:sz w:val="17"/>
                <w:szCs w:val="17"/>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(0.22)</w:t>
            </w: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(0.06)</w:t>
            </w:r>
          </w:p>
        </w:tc>
        <w:tc>
          <w:tcPr>
            <w:tcW w:w="24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(0.56)</w:t>
            </w:r>
          </w:p>
        </w:tc>
      </w:tr>
      <w:tr>
        <w:trPr>
          <w:trHeight w:val="20"/>
        </w:trPr>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9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Weighted average shares outstanding - basic</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10,447</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8,713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10,438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7,775</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5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10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10,634</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8,713</w:t>
            </w:r>
          </w:p>
        </w:tc>
        <w:tc>
          <w:tcPr>
            <w:tcW w:w="120" w:type="dxa"/>
            <w:vAlign w:val="bottom"/>
          </w:tcPr>
          <w:p>
            <w:pPr>
              <w:spacing w:after="0"/>
              <w:rPr>
                <w:sz w:val="17"/>
                <w:szCs w:val="17"/>
                <w:color w:val="auto"/>
              </w:rPr>
            </w:pPr>
          </w:p>
        </w:tc>
        <w:tc>
          <w:tcPr>
            <w:tcW w:w="120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10,438</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7,775</w:t>
            </w:r>
          </w:p>
        </w:tc>
      </w:tr>
      <w:tr>
        <w:trPr>
          <w:trHeight w:val="20"/>
        </w:trPr>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70"/>
        </w:trPr>
        <w:tc>
          <w:tcPr>
            <w:tcW w:w="5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CREATIVE REALITIES,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per share amounts)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262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80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80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9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(670)</w:t>
            </w:r>
          </w:p>
        </w:tc>
        <w:tc>
          <w:tcPr>
            <w:tcW w:w="102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(4,356)</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2,901</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2,393</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569</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1,078</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stock-based compensation</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539</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1,059</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Bad debt expense</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186</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318</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inventory reserves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loss on change in fair value of contingent consideration</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(414)</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1,461</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157</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to operating assets and liabilities: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982</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2,080</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(422)</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(180)</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859</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(1,360)</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683</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1,637</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2,284</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Customer deposits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165</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1,054</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w:t>
            </w:r>
          </w:p>
        </w:tc>
      </w:tr>
      <w:tr>
        <w:trPr>
          <w:trHeight w:val="209"/>
        </w:trPr>
        <w:tc>
          <w:tcPr>
            <w:tcW w:w="8000" w:type="dxa"/>
            <w:vAlign w:val="bottom"/>
            <w:tcBorders>
              <w:top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9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4,750</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8,306</w:t>
            </w:r>
          </w:p>
        </w:tc>
        <w:tc>
          <w:tcPr>
            <w:tcW w:w="100" w:type="dxa"/>
            <w:vAlign w:val="bottom"/>
            <w:tcBorders>
              <w:top w:val="single" w:sz="8" w:color="CCEEFF"/>
            </w:tcBorders>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(287)</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Capitalization of labor for software development</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(2,293)</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(2,851)</w:t>
            </w:r>
          </w:p>
        </w:tc>
      </w:tr>
      <w:tr>
        <w:trPr>
          <w:trHeight w:val="20"/>
        </w:trPr>
        <w:tc>
          <w:tcPr>
            <w:tcW w:w="80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(2,302)</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(3,138)</w:t>
            </w: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9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sale of common stock, net of offering expenses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5,454</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borrowings under revolving credit facility</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21,854</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 of borrowings under revolving credit facility</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(10,875)</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 of deferred financing costs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(289)</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 of term debt</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(15,147)</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(3,865)</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Principal payments on finance leases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r>
      <w:tr>
        <w:trPr>
          <w:trHeight w:val="20"/>
        </w:trPr>
        <w:tc>
          <w:tcPr>
            <w:tcW w:w="80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(4,490)</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1,575</w:t>
            </w:r>
          </w:p>
        </w:tc>
      </w:tr>
      <w:tr>
        <w:trPr>
          <w:trHeight w:val="20"/>
        </w:trPr>
        <w:tc>
          <w:tcPr>
            <w:tcW w:w="80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Increase (decrease) in cash and cash equivalents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(2,042)</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6,743</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beginning of period</w:t>
            </w:r>
          </w:p>
        </w:tc>
        <w:tc>
          <w:tcPr>
            <w:tcW w:w="9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100" w:type="dxa"/>
            <w:vAlign w:val="bottom"/>
          </w:tcPr>
          <w:p>
            <w:pPr>
              <w:spacing w:after="0"/>
              <w:rPr>
                <w:sz w:val="18"/>
                <w:szCs w:val="18"/>
                <w:color w:val="auto"/>
              </w:rPr>
            </w:pPr>
          </w:p>
        </w:tc>
      </w:tr>
      <w:tr>
        <w:trPr>
          <w:trHeight w:val="25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868</w:t>
            </w:r>
          </w:p>
        </w:tc>
        <w:tc>
          <w:tcPr>
            <w:tcW w:w="102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8,376</w:t>
            </w:r>
          </w:p>
        </w:tc>
      </w:tr>
      <w:tr>
        <w:trPr>
          <w:trHeight w:val="555"/>
        </w:trPr>
        <w:tc>
          <w:tcPr>
            <w:tcW w:w="8000" w:type="dxa"/>
            <w:vAlign w:val="bottom"/>
            <w:tcBorders>
              <w:top w:val="single" w:sz="8" w:color="CCEEFF"/>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56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5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GAAP NET LOSS TO ADJUSTED EBITDA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unaudited)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Creative Realities, Inc. prepares its consolidated financial statements in accordance with United States generally accepted accounting principles (“GAAP”).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disclosing financial results prepared in accordance with GAAP, the Company discloses information regarding “EBITDA” and “Adjusted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EBITDA.” CRI defines “EBITDA” as earnings before interest, income taxes, depreciation and amortization of intangibles. CRI defines “Adjusted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EBITDA” as EBITDA excluding stock-based compensation, fair value adjustments and both cash and non-cash non-recurring gains and charges.</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EBITDA and Adjusted EBITDA are non-GAAP financial measures and should not be considered as a substitute for net income (loss), operating income (loss) or any other performance measure derived in accordance with United States generally accepted accounting principles (“GAAP”) or as an alternative to net cash provided by operating activities as a measure of CRI’s profitability or liquidity. CRI’s management believes EBITDA and Adjusted EBITDA are useful financial metrics because they allow external users of CRI’s financial statements, such as industry analysts, investors, lenders and rating agencies, to more effectively evaluate CRI’s operating performance, compare the results of its operations from period to period and against CRI’s peers without regard to CRI’s financing methods, hedging positions or capital structure and because it highlights trends in CRI’s business that may not otherwise be apparent when relying solely on GAAP measures. CRI also presents EBITDA and Adjusted EBITDA because it believes EBITDA and Adjusted EBITDA are important supplemental measures of its performance that are frequently used by others in evaluating companies in its industry. Because EBITDA and Adjusted EBITDA exclude some, but not all, items that affect net income (loss) and may vary among companies, the EBITDA and Adjusted EBITDA CRI presents may not be comparable to similarly titled measures of other companies.</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EBITDA and Adjusted EBITDA from net loss, CRI’s most directly comparable financial measure calculated and presented in accordance with GAAP.</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Quarters Ended</w:t>
            </w: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3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gridSpan w:val="2"/>
          </w:tcPr>
          <w:p>
            <w:pPr>
              <w:jc w:val="right"/>
              <w:ind w:right="340"/>
              <w:spacing w:after="0" w:line="188" w:lineRule="exact"/>
              <w:rPr>
                <w:sz w:val="20"/>
                <w:szCs w:val="20"/>
                <w:color w:val="auto"/>
              </w:rPr>
            </w:pPr>
            <w:r>
              <w:rPr>
                <w:rFonts w:ascii="Times New Roman" w:cs="Times New Roman" w:eastAsia="Times New Roman" w:hAnsi="Times New Roman"/>
                <w:sz w:val="18"/>
                <w:szCs w:val="18"/>
                <w:b w:val="1"/>
                <w:bCs w:val="1"/>
                <w:color w:val="auto"/>
                <w:w w:val="98"/>
              </w:rPr>
              <w:t>September 30</w:t>
            </w:r>
          </w:p>
        </w:tc>
        <w:tc>
          <w:tcPr>
            <w:tcW w:w="220" w:type="dxa"/>
            <w:vAlign w:val="bottom"/>
          </w:tcPr>
          <w:p>
            <w:pPr>
              <w:spacing w:after="0"/>
              <w:rPr>
                <w:sz w:val="16"/>
                <w:szCs w:val="16"/>
                <w:color w:val="auto"/>
              </w:rPr>
            </w:pPr>
          </w:p>
        </w:tc>
        <w:tc>
          <w:tcPr>
            <w:tcW w:w="1140" w:type="dxa"/>
            <w:vAlign w:val="bottom"/>
            <w:gridSpan w:val="2"/>
          </w:tcPr>
          <w:p>
            <w:pPr>
              <w:jc w:val="right"/>
              <w:ind w:right="440"/>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right"/>
              <w:ind w:right="460"/>
              <w:spacing w:after="0" w:line="188"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16"/>
                <w:szCs w:val="16"/>
                <w:color w:val="auto"/>
              </w:rPr>
            </w:pPr>
          </w:p>
        </w:tc>
        <w:tc>
          <w:tcPr>
            <w:tcW w:w="1260" w:type="dxa"/>
            <w:vAlign w:val="bottom"/>
            <w:gridSpan w:val="2"/>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80" w:type="dxa"/>
            <w:vAlign w:val="bottom"/>
          </w:tcPr>
          <w:p>
            <w:pPr>
              <w:spacing w:after="0"/>
              <w:rPr>
                <w:sz w:val="16"/>
                <w:szCs w:val="16"/>
                <w:color w:val="auto"/>
              </w:rPr>
            </w:pPr>
          </w:p>
        </w:tc>
        <w:tc>
          <w:tcPr>
            <w:tcW w:w="1240" w:type="dxa"/>
            <w:vAlign w:val="bottom"/>
            <w:gridSpan w:val="2"/>
          </w:tcPr>
          <w:p>
            <w:pPr>
              <w:jc w:val="right"/>
              <w:ind w:right="10"/>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16"/>
                <w:szCs w:val="16"/>
                <w:color w:val="auto"/>
              </w:rPr>
            </w:pPr>
          </w:p>
        </w:tc>
      </w:tr>
      <w:tr>
        <w:trPr>
          <w:trHeight w:val="238"/>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Quarters ended</w:t>
            </w:r>
          </w:p>
        </w:tc>
        <w:tc>
          <w:tcPr>
            <w:tcW w:w="1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09"/>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net (loss) income</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(615)</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1,419</w:t>
            </w: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(1,931)</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363</w:t>
            </w:r>
          </w:p>
        </w:tc>
      </w:tr>
      <w:tr>
        <w:trPr>
          <w:trHeight w:val="216"/>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interest, net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303</w:t>
            </w:r>
          </w:p>
        </w:tc>
        <w:tc>
          <w:tcPr>
            <w:tcW w:w="2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371</w:t>
            </w: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Depreciation/amortization:</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878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790</w:t>
            </w:r>
          </w:p>
        </w:tc>
        <w:tc>
          <w:tcPr>
            <w:tcW w:w="10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781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766</w:t>
            </w:r>
          </w:p>
        </w:tc>
      </w:tr>
      <w:tr>
        <w:trPr>
          <w:trHeight w:val="216"/>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employee share-based awards</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of property &amp; equipment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192</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r>
      <w:tr>
        <w:trPr>
          <w:trHeight w:val="20"/>
        </w:trPr>
        <w:tc>
          <w:tcPr>
            <w:tcW w:w="39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EBITDA</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1,684</w:t>
            </w:r>
          </w:p>
        </w:tc>
        <w:tc>
          <w:tcPr>
            <w:tcW w:w="2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856</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1,405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2,930</w:t>
            </w: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(393)</w:t>
            </w:r>
          </w:p>
        </w:tc>
      </w:tr>
      <w:tr>
        <w:trPr>
          <w:trHeight w:val="20"/>
        </w:trPr>
        <w:tc>
          <w:tcPr>
            <w:tcW w:w="3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39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Adjustments</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8"/>
        </w:trPr>
        <w:tc>
          <w:tcPr>
            <w:tcW w:w="39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Loss (Gain) on fair value of contingent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consideration</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598</w:t>
            </w:r>
          </w:p>
        </w:tc>
        <w:tc>
          <w:tcPr>
            <w:tcW w:w="22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(604)</w:t>
            </w:r>
          </w:p>
        </w:tc>
        <w:tc>
          <w:tcPr>
            <w:tcW w:w="100" w:type="dxa"/>
            <w:vAlign w:val="bottom"/>
          </w:tcPr>
          <w:p>
            <w:pPr>
              <w:spacing w:after="0"/>
              <w:rPr>
                <w:sz w:val="20"/>
                <w:szCs w:val="20"/>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1,369</w:t>
            </w: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1,059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 – Director grants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expense</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39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2,271</w:t>
            </w:r>
          </w:p>
        </w:tc>
        <w:tc>
          <w:tcPr>
            <w:tcW w:w="2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1,525</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766</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2,830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1,022</w:t>
            </w:r>
          </w:p>
        </w:tc>
      </w:tr>
      <w:tr>
        <w:trPr>
          <w:trHeight w:val="20"/>
        </w:trPr>
        <w:tc>
          <w:tcPr>
            <w:tcW w:w="3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5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o"/>
      <w:numFmt w:val="bullet"/>
      <w:start w:val="1"/>
    </w:lvl>
  </w:abstractNum>
  <w:abstractNum w:abstractNumId="7">
    <w:nsid w:val="4DB127F8"/>
    <w:multiLevelType w:val="hybridMultilevel"/>
    <w:lvl w:ilvl="0">
      <w:lvlJc w:val="left"/>
      <w:lvlText w:val="%1."/>
      <w:numFmt w:val="decimal"/>
      <w:start w:val="1"/>
    </w:lvl>
    <w:lvl w:ilvl="1">
      <w:lvlJc w:val="left"/>
      <w:lvlText w:val="%2)"/>
      <w:numFmt w:val="lowerLetter"/>
      <w:start w:val="1"/>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45" Type="http://schemas.openxmlformats.org/officeDocument/2006/relationships/hyperlink" Target="http://www.sec.gov/Archives/edgar/data/1356093/000143774924031488/crex20241016_s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2024-11-13T07:31:55Z</dcterms:created>
  <dcterms:modified xsi:type="dcterms:W3CDTF">2024-11-13T07:31:55Z</dcterms:modified>
</cp:coreProperties>
</file>