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3420" w:right="940" w:hanging="2479"/>
        <w:spacing w:after="0" w:line="503" w:lineRule="auto"/>
        <w:tabs>
          <w:tab w:leader="none" w:pos="11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151765</wp:posOffset>
            </wp:positionV>
            <wp:extent cx="277749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3"/>
              </w:rPr>
              <w:t>Zip Code</w:t>
            </w:r>
          </w:p>
        </w:tc>
      </w:tr>
      <w:tr>
        <w:trPr>
          <w:trHeight w:val="377"/>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(502) 791-8800</w:t>
            </w:r>
          </w:p>
        </w:tc>
        <w:tc>
          <w:tcPr>
            <w:tcW w:w="15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7"/>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ind w:left="34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2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color w:val="auto"/>
                <w:w w:val="95"/>
              </w:rPr>
              <w:t>CREX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760" w:type="dxa"/>
            <w:vAlign w:val="bottom"/>
            <w:gridSpan w:val="3"/>
          </w:tcPr>
          <w:p>
            <w:pPr>
              <w:jc w:val="center"/>
              <w:ind w:right="920"/>
              <w:spacing w:after="0"/>
              <w:rPr>
                <w:sz w:val="20"/>
                <w:szCs w:val="20"/>
                <w:color w:val="auto"/>
              </w:rPr>
            </w:pPr>
            <w:r>
              <w:rPr>
                <w:rFonts w:ascii="Arial" w:cs="Arial" w:eastAsia="Arial" w:hAnsi="Arial"/>
                <w:sz w:val="18"/>
                <w:szCs w:val="18"/>
                <w:color w:val="auto"/>
                <w:w w:val="89"/>
              </w:rPr>
              <w:t>Warrants to purchase Common Stock</w:t>
            </w:r>
          </w:p>
        </w:tc>
        <w:tc>
          <w:tcPr>
            <w:tcW w:w="288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CREXW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3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0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060"/>
              <w:spacing w:after="0"/>
              <w:rPr>
                <w:sz w:val="20"/>
                <w:szCs w:val="20"/>
                <w:color w:val="auto"/>
              </w:rPr>
            </w:pPr>
            <w:r>
              <w:rPr>
                <w:rFonts w:ascii="Arial" w:cs="Arial" w:eastAsia="Arial" w:hAnsi="Arial"/>
                <w:sz w:val="18"/>
                <w:szCs w:val="18"/>
                <w:color w:val="auto"/>
                <w:w w:val="94"/>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120" w:type="dxa"/>
            <w:vAlign w:val="bottom"/>
          </w:tcPr>
          <w:p>
            <w:pPr>
              <w:ind w:left="2060"/>
              <w:spacing w:after="0"/>
              <w:rPr>
                <w:sz w:val="20"/>
                <w:szCs w:val="20"/>
                <w:color w:val="auto"/>
              </w:rPr>
            </w:pPr>
            <w:r>
              <w:rPr>
                <w:rFonts w:ascii="Arial" w:cs="Arial" w:eastAsia="Arial" w:hAnsi="Arial"/>
                <w:sz w:val="18"/>
                <w:szCs w:val="18"/>
                <w:color w:val="auto"/>
                <w:w w:val="95"/>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15, 2021, the registrant had 11,937,980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84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CREATIVE REALITIES,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$489 and $1,230,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2,591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Work-in-process and 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9,012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20,618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seller note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related party convertible loans payable,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and finance leases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5,878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7,333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Payroll Protection Program note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loans payable, net of $171 and $168 discount,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4,595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accrued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16,283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$0.01 par value, 200,000 shares authorized; 11,919 and 10,924 shares issued and outstanding,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(50,532)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(52,486)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20,618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19"/>
                <w:szCs w:val="19"/>
                <w:color w:val="auto"/>
              </w:rPr>
            </w:pPr>
          </w:p>
        </w:tc>
        <w:tc>
          <w:tcPr>
            <w:tcW w:w="2420" w:type="dxa"/>
            <w:vAlign w:val="bottom"/>
            <w:gridSpan w:val="5"/>
          </w:tcPr>
          <w:p>
            <w:pPr>
              <w:jc w:val="right"/>
              <w:ind w:right="161"/>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2,215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6,707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sales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818</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60"/>
              <w:spacing w:after="0" w:line="203"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2,444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6,456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(recovery) /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2,751</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 (expense)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Benefit/(provision)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earnings/(loss)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 earnings/(loss)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10,312</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Shares issued for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Paycheck Protection Program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Seller Note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(1,538)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notes due to in-kind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Capitalization of labor for software development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 warrant exercise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Seller Note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shares via registered direct offering,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Three months ended September 30, 2021</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11,876,679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(50,189)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31,257</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11,524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11,919,460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60,178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(50,532</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Nine months ended September 30, 2021</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10,924,287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(52,486)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53,461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44,568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Disbursed Escrow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Gain on Extinguishment of Special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Sales of Shares via registered direct offering, net of offering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income /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11,919,460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(50,532</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Three months ended September 30, 2020</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9,854,623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(51,284)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through at-the-market offering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578,183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September 30,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10,442,850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55,944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(51,869</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Nine months ended September 30, 2020</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9,774,546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(35,642)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62,521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through at-the-market offering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578,183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income /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(16,227)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10,442,850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(51,869</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 currency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condensed consolidated financial statements to “we,” “us,” “our” and “the Company” refer to Creative Realities, Inc.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Our main operations are conducted directly through Creative Realities, Inc., and under our wholly owned subsidiaries Allure Global Solutions, Inc., a Georgia corporation (“Allure”),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three months ended September 30, 2021 and 2020 we incurred net losses of $343 and $585, respectively. For the nine months ended September 30, 2021 and 2020, we recognized/(incurred) net income/(losses) of $1,954 and ($16,227), respectively. As of September 30, 2021, we had cash and cash equivalents of $2,772 and a working capital surplus of $3,134.</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January 11, 2021, we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jc w:val="both"/>
        <w:ind w:right="20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$1,849, which the Company intends to use for general corporate purposes. The closing of the Offering occurred on February 22, 2021.</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On March 7, 2021, the Company and Slipstream entered into an agreement to refinance the Company’s Loan and Security Agreement, including</w:t>
      </w:r>
    </w:p>
    <w:p>
      <w:pPr>
        <w:spacing w:after="0" w:line="46" w:lineRule="exact"/>
        <w:rPr>
          <w:sz w:val="20"/>
          <w:szCs w:val="20"/>
          <w:color w:val="auto"/>
        </w:rPr>
      </w:pPr>
    </w:p>
    <w:p>
      <w:pPr>
        <w:ind w:right="10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extension of all maturity dates therein to March 31, 2023, (2) the conversion of the Disbursed Escrow Promissory Note into equity, (3) access to an additional $1,000 via a multi-advance line of credit facility, and (4) the removal of the three times liquidation preference with respect to the Company’s Secured Convertible Special Loan Promissory Note.</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13, 2021, the Company and Christie Digital Systems, Inc. (“Seller”) entered into a settlement agreement with respect to the Amended and Restated Seller Note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Seller Note and sale transaction under the Allure Purchase Agreement and all related agreements. The settlement resulted in the Company recording a gain on settlement of obligations of $1,624, representing $1,538 related to the Seller Note and $86 of related interest thereon, during the three months ended June 30, 2021.</w:t>
      </w:r>
    </w:p>
    <w:p>
      <w:pPr>
        <w:spacing w:after="0" w:line="19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Management believes that, based on (i) the forgiveness of our PPP Loan, (ii) the execution of the Offering and remaining availability for incremental offerings under our previously registered Form S-3 registration statement (including our current at-the-market offering), (iii) the refinancing of our debt, including extension of the maturity date on our term and convertible loans, as well as access to incremental borrowings under the new multi-advance line of credit, (iv) the settlement of the Seller Note, and (v) our operational forecast through 2022, we can continue as a going concern through at least November 15, 2022. However, given our history of net losses and cash used in operating activities, we obtained a continued support letter from Slipstream through November 15, 2022. We can provide no assurance that our ongoing operational efforts will be successful, which could have a material adverse effect on our results of operations and cash flows.</w:t>
      </w:r>
    </w:p>
    <w:p>
      <w:pPr>
        <w:spacing w:after="0" w:line="19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during the three and nine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2020, included in the Company’s Annual Report on Form 10-K filed with the Securities and Exchange Commission on March 10, 2021.</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7" w:name="page8"/>
    <w:bookmarkEnd w:id="7"/>
    <w:p>
      <w:pPr>
        <w:ind w:right="40"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typically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Company recognizes contract assets or unbilled receivables related to revenue recognized for services completed but not yet invoiced to the clients. Unbilled receivables are recorded as accounts receivable when the Company has an unconditional right to contract consideration.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5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net realizable value, determined by the first-in, first-out (FIFO) method, and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 of $260 and $104, respectively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 on consignment with distributors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in accordance with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w:t>
      </w:r>
      <w:r>
        <w:rPr>
          <w:rFonts w:ascii="Arial" w:cs="Arial" w:eastAsia="Arial" w:hAnsi="Arial"/>
          <w:sz w:val="18"/>
          <w:szCs w:val="18"/>
          <w:color w:val="auto"/>
        </w:rPr>
        <w:t>. Under ASC 360, impairment losses are recorded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the carrying value of an asset may not be recoverable. We evaluated whether there were any triggering events for consideration of impairment of long-lived assets as of September 30, 2021 and concluded there were none.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ind w:right="40"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Basic and Diluted Income/(Loss) per Common Share</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6,776,771 at September 30, 2021 were excluded from the computation of income/(loss) per share as the strike price on the options and warrants were higher than the Company’s market price and therefore anti-dilutive. Diluted weighted average shares outstanding for the three and nine-months ended September 30, 2021 included 8,333 options which were both exercisable and in-the-money as of September 30, 2021. Those options were included in the calculation of diluted earnings per share as of the beginning of the calculation period. Shares reserved for outstanding stock options, including stock options with performance restricted vesting, and warrants totaling approximately 7,229,998 at September 30, 2020 were excluded from the computation of income/(loss) per share due to the net loss in the period.</w:t>
      </w:r>
    </w:p>
    <w:p>
      <w:pPr>
        <w:spacing w:after="0" w:line="18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In calculating diluted earnings per share for the three and nine months ended September 30, 2021 and 2020,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we excluded the dilutive effect of the potential issuance of common stock upon an assumed conversion of the Convertible Loan as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intent and ability to settle the debt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September 30, 2021 and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Goodwill</w:t>
      </w:r>
    </w:p>
    <w:p>
      <w:pPr>
        <w:spacing w:after="0" w:line="225"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 xml:space="preserve">We follow the provisions of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Pursuant to ASC 350, goodwill acquired in a purchase business combination is not amortized, but instead tested for impairment at least annually. The Company uses a measurement date of September 30 (see Note</w:t>
      </w:r>
    </w:p>
    <w:p>
      <w:pPr>
        <w:ind w:right="300"/>
        <w:spacing w:after="0" w:line="260" w:lineRule="auto"/>
        <w:rPr>
          <w:sz w:val="20"/>
          <w:szCs w:val="20"/>
          <w:color w:val="auto"/>
        </w:rPr>
      </w:pPr>
      <w:r>
        <w:rPr>
          <w:rFonts w:ascii="Arial" w:cs="Arial" w:eastAsia="Arial" w:hAnsi="Arial"/>
          <w:sz w:val="18"/>
          <w:szCs w:val="18"/>
          <w:color w:val="auto"/>
        </w:rPr>
        <w:t>7 Intangible Assets and Goodwill). For quarters that do not coincide with the measurement date, we evaluate whether there are any triggering events for consideration of impairment of goodwill.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9.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as amended.</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64"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Operating leases are included in operating lease right-of-use assets, current maturities of operating leases, and long-term obligations under operating leases on our condensed consolidated balance sheets. Finance leases are included in property and equipment, net, current maturities of finance leases, and long-term obligations under financing leases on our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August 2020, the FASB issued Accounting Standards Update No.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 (ASU 2020-06)</w:t>
      </w:r>
      <w:r>
        <w:rPr>
          <w:rFonts w:ascii="Arial" w:cs="Arial" w:eastAsia="Arial" w:hAnsi="Arial"/>
          <w:sz w:val="16"/>
          <w:szCs w:val="16"/>
          <w:color w:val="auto"/>
        </w:rPr>
        <w:t>, which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do not expect the adoption of this guidance to have a material impact on our consolidated financial statements.</w:t>
      </w:r>
    </w:p>
    <w:p>
      <w:pPr>
        <w:spacing w:after="0" w:line="16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and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Nine Months</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Hardware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Installation Services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Managed Services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4,174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4,216</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Services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Hardware and Services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12,467</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aggregate amount of the transaction price allocated to installation service performance obligations that are partially unsatisfied as of September 30, 2021 and 2020 were $35 and $0.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Software and software license sales are recognized as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revenues are classified as “Managed Services” within our disaggregated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Company sells maintenance and support services which include access to technical support personnel for software and hardware troubleshooting and monitoring of the health of a customer’s network, access to a sophisticated web-portal for managing the end-to-end hardware and software digital ecosystem, and hosting support services through our network operations center, or NOC. These services provide either physical or automated remote monitoring which support customer networks 7 days a week, 24 hours a day.</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contracts are generally 12-36 months in length and generally automatically renew for additional 12-month periods unless cancelled by the customer. Rates for maintenance and support contracts are typically established based upon a fee per location or fee per device structure, with total fees subject to the number of services selected. Revenue is recognized ratably and evenly over the term of the agreement. Maintenance and Support revenues are classified as “Managed Services” within our disaggregated revenue.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FAIR VALUE MEASUREMENT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As discussed in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the Convertible Loan is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We utilized a discounted cash flow analysis in updating our fair value analysis of the Convertible Loan, resulting in recognition of a $0 and $166 gain during the three and nine-months ended September 30, 2021, respectively, from the change in fair value of the liability and a corresponding increase in the debt balance recorded in the Condensed Consolidated Balance Sheet. The Company recorded a $0 and $702 loss during the same periods in 2020, respectively, related to the fair value of the Special Loan.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6: SUPPLEMENTAL CASH FLOW STATEMENT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92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w w:val="91"/>
              </w:rPr>
              <w:t>Supplemental Cash Flow Information</w:t>
            </w:r>
          </w:p>
        </w:tc>
        <w:tc>
          <w:tcPr>
            <w:tcW w:w="5760" w:type="dxa"/>
            <w:vAlign w:val="bottom"/>
            <w:gridSpan w:val="2"/>
            <w:vMerge w:val="restart"/>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920" w:type="dxa"/>
            <w:vAlign w:val="bottom"/>
            <w:tcBorders>
              <w:bottom w:val="single" w:sz="8" w:color="auto"/>
            </w:tcBorders>
            <w:vMerge w:val="continue"/>
          </w:tcPr>
          <w:p>
            <w:pPr>
              <w:spacing w:after="0"/>
              <w:rPr>
                <w:sz w:val="14"/>
                <w:szCs w:val="14"/>
                <w:color w:val="auto"/>
              </w:rPr>
            </w:pPr>
          </w:p>
        </w:tc>
        <w:tc>
          <w:tcPr>
            <w:tcW w:w="5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80" w:type="dxa"/>
            <w:vAlign w:val="bottom"/>
            <w:gridSpan w:val="3"/>
          </w:tcPr>
          <w:p>
            <w:pPr>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Income taxes,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24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4,635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3,960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2,870</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80"/>
              <w:spacing w:after="0" w:line="203" w:lineRule="exact"/>
              <w:rPr>
                <w:sz w:val="20"/>
                <w:szCs w:val="20"/>
                <w:color w:val="auto"/>
              </w:rPr>
            </w:pPr>
            <w:r>
              <w:rPr>
                <w:rFonts w:ascii="Arial" w:cs="Arial" w:eastAsia="Arial" w:hAnsi="Arial"/>
                <w:sz w:val="18"/>
                <w:szCs w:val="18"/>
                <w:color w:val="auto"/>
                <w:w w:val="84"/>
              </w:rPr>
              <w:t>9,235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5,863</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10,985</w:t>
            </w:r>
          </w:p>
        </w:tc>
        <w:tc>
          <w:tcPr>
            <w:tcW w:w="220" w:type="dxa"/>
            <w:vAlign w:val="bottom"/>
            <w:tcBorders>
              <w:top w:val="single" w:sz="8" w:color="CCEEFF"/>
              <w:bottom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7,195</w:t>
            </w:r>
          </w:p>
        </w:tc>
        <w:tc>
          <w:tcPr>
            <w:tcW w:w="100" w:type="dxa"/>
            <w:vAlign w:val="bottom"/>
            <w:tcBorders>
              <w:top w:val="single" w:sz="8" w:color="CCEEFF"/>
              <w:bottom w:val="single" w:sz="8" w:color="CCEEFF"/>
            </w:tcBorders>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5,863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3,372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3,790</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263" w:lineRule="auto"/>
        <w:rPr>
          <w:sz w:val="20"/>
          <w:szCs w:val="20"/>
          <w:color w:val="auto"/>
        </w:rPr>
      </w:pPr>
      <w:r>
        <w:rPr>
          <w:rFonts w:ascii="Arial" w:cs="Arial" w:eastAsia="Arial" w:hAnsi="Arial"/>
          <w:sz w:val="18"/>
          <w:szCs w:val="18"/>
          <w:color w:val="auto"/>
        </w:rPr>
        <w:t>For the three months ended September 30, 2021 and 2020, amortization of intangible assets charged to operations was $139 and $161, respectively. For the nine months ended September 30, 2021 and 2020 amortization of intangible assets charged to operations was $418 and $478,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The Company has only one reporting unit, and therefore the entire goodwill is allocated to that reporting unit. There were no indicators of impairment as of or during the three and nine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Impairment Assessment – March 31, 2020</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Despite the excess fair value identified in our 2019 annual impairment assessment, we determined that the reduced cash flow projections and the significant decline in our market capitalization as a result of the COVID-19 pandemic during the three months ended March 31, 2020 indicated that an impairment loss may have been incurred during the first quarter. As a result of our qualitative assessment, we concluded that indicators of impairment were present and that a quantitative interim impairment assessment of our goodwill was necessary, resulting in us recording a non-cash impairment loss</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of $10,646 as of March 31, 2020. We recorded the estimated impairment losses in the caption “Goodwill impairment” in our Consolidated Statement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debt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5"/>
              </w:rPr>
              <w:t>Issuance</w:t>
            </w:r>
          </w:p>
        </w:tc>
        <w:tc>
          <w:tcPr>
            <w:tcW w:w="1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Principal</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Warrants</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56"/>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G</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4,766</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6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8.0% interest</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70"/>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H</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3/7/2021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2,417</w:t>
            </w:r>
          </w:p>
        </w:tc>
        <w:tc>
          <w:tcPr>
            <w:tcW w:w="22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tcPr>
          <w:p>
            <w:pPr>
              <w:spacing w:after="0"/>
              <w:rPr>
                <w:sz w:val="23"/>
                <w:szCs w:val="2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line="270" w:lineRule="exact"/>
              <w:rPr>
                <w:sz w:val="20"/>
                <w:szCs w:val="20"/>
                <w:color w:val="auto"/>
              </w:rPr>
            </w:pPr>
            <w:r>
              <w:rPr>
                <w:rFonts w:ascii="Arial" w:cs="Arial" w:eastAsia="Arial" w:hAnsi="Arial"/>
                <w:sz w:val="18"/>
                <w:szCs w:val="18"/>
                <w:color w:val="auto"/>
                <w:w w:val="87"/>
              </w:rPr>
              <w:t>10.0% interest</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1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gridSpan w:val="2"/>
            <w:vMerge w:val="continue"/>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7,183</w:t>
            </w:r>
          </w:p>
        </w:tc>
        <w:tc>
          <w:tcPr>
            <w:tcW w:w="220" w:type="dxa"/>
            <w:vAlign w:val="bottom"/>
            <w:vMerge w:val="continue"/>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8"/>
                <w:szCs w:val="18"/>
                <w:color w:val="auto"/>
                <w:w w:val="93"/>
              </w:rPr>
              <w:t>Fair value (H)</w:t>
            </w:r>
          </w:p>
        </w:tc>
        <w:tc>
          <w:tcPr>
            <w:tcW w:w="1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(166)</w:t>
            </w: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7,017</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12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Total debt, net</w:t>
            </w: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6,846</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1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1,209</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5,637</w:t>
            </w: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5"/>
              </w:rPr>
              <w:t>Issuance</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Debt Type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300" w:type="dxa"/>
            <w:vAlign w:val="bottom"/>
          </w:tcPr>
          <w:p>
            <w:pPr>
              <w:spacing w:after="0"/>
              <w:rPr>
                <w:sz w:val="20"/>
                <w:szCs w:val="20"/>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Principal</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Warrants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 interest</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61,729</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8/17/2016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588,236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D</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11/19/2018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2/15/2020</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3.5% interest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30"/>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4/27/2020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4/27/2022</w:t>
            </w:r>
          </w:p>
        </w:tc>
        <w:tc>
          <w:tcPr>
            <w:tcW w:w="12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1.0% interest</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gridSpan w:val="2"/>
            <w:vMerge w:val="continue"/>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220" w:type="dxa"/>
            <w:vAlign w:val="bottom"/>
            <w:vMerge w:val="continue"/>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2"/>
              </w:rPr>
              <w:t>Fair value (E)</w:t>
            </w:r>
          </w:p>
        </w:tc>
        <w:tc>
          <w:tcPr>
            <w:tcW w:w="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8"/>
                <w:szCs w:val="18"/>
                <w:color w:val="auto"/>
              </w:rPr>
              <w:t>93</w:t>
            </w: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3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Total debt,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3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(1,637)</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Secured Disbursed Escrow Promissory Note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Revolving Promissory Note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Amended and Restated Seller Note from acquisition of Allure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 Paycheck Protection Program Loan from Small Business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 – New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 Convertible Loan with related party, at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Interest is paid-in-kind (“PIK”) through October 2021, at which point interest becomes payable in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(the “PPP Loan”) pursuant to the Paycheck Protection Program under the Coronavirus Aid, Relief, and Economic Security Act and applicable regulations (the “CARES Act”). The Promissory Note had a term of two years with a 1% per annum interest rate.</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January 11, 2021, the Company received a notice from Old National Bank that the full principal amount of the PPP Loan and the accrued interest have been forgiven, resulting in a gain of $1,552 during the six months ended June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March 7, 2021, the Company refinanced its current debt facilities with Slipstream Communications, LLC (“Slipstream”), pursuant to an Amended and Restated Credit and Security Agreement (the “Credit Agreement”). The debt facilities continue to be fully secured by all assets of the Company. The maturity date (“Maturity Date”) on the outstanding debt and new debt was extended to March 31, 2023. The Credit Agreement (i) provides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of the New Term Loan only.</w:t>
      </w:r>
    </w:p>
    <w:p>
      <w:pPr>
        <w:spacing w:after="0" w:line="18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Company’s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88"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w:t>
      </w:r>
    </w:p>
    <w:p>
      <w:pPr>
        <w:spacing w:after="0" w:line="5" w:lineRule="exact"/>
        <w:rPr>
          <w:sz w:val="20"/>
          <w:szCs w:val="20"/>
          <w:color w:val="auto"/>
        </w:rPr>
      </w:pPr>
    </w:p>
    <w:p>
      <w:pPr>
        <w:ind w:right="40" w:firstLine="8"/>
        <w:spacing w:after="0" w:line="260"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 approval is obtained for ownership in excess of 19.99%. On May 17, 2021, the Company’s stockholders approved the issuance of Shares in excess of the Exchange Limitations.</w:t>
      </w:r>
    </w:p>
    <w:p>
      <w:pPr>
        <w:spacing w:after="0" w:line="18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We evaluated the instruments within the Credit Agreement separately for purposes of concluding on whether the amendment represented a modification or extinguishment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The Convertible Loan was deemed to have had a substantive conversion feature both added and removed via the Credit Agreement, one which the holder is reasonably willing and able to exercise their rights under the agreement, resulting in extinguishment accounting for the Convertible Loan during the three months ended March 31, 2021. Pursuant to ASC 825-10-25-1, </w:t>
      </w:r>
      <w:r>
        <w:rPr>
          <w:rFonts w:ascii="Arial" w:cs="Arial" w:eastAsia="Arial" w:hAnsi="Arial"/>
          <w:sz w:val="16"/>
          <w:szCs w:val="16"/>
          <w:i w:val="1"/>
          <w:iCs w:val="1"/>
          <w:color w:val="auto"/>
        </w:rPr>
        <w:t>Fair Value Option</w:t>
      </w:r>
      <w:r>
        <w:rPr>
          <w:rFonts w:ascii="Arial" w:cs="Arial" w:eastAsia="Arial" w:hAnsi="Arial"/>
          <w:sz w:val="16"/>
          <w:szCs w:val="16"/>
          <w:color w:val="auto"/>
        </w:rPr>
        <w:t>, we made an irrevocable election to report the Convertible Loan at fair value, with changes in fair value recorded through the Company’s Condensed Consolidated Statement of Operations in each reporting period.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ind w:right="60" w:firstLine="648"/>
        <w:spacing w:after="0" w:line="257" w:lineRule="auto"/>
        <w:rPr>
          <w:sz w:val="20"/>
          <w:szCs w:val="20"/>
          <w:color w:val="auto"/>
        </w:rPr>
      </w:pPr>
      <w:r>
        <w:rPr>
          <w:rFonts w:ascii="Arial" w:cs="Arial" w:eastAsia="Arial" w:hAnsi="Arial"/>
          <w:sz w:val="18"/>
          <w:szCs w:val="18"/>
          <w:color w:val="auto"/>
        </w:rPr>
        <w:t xml:space="preserve">We evaluated the Credit Agreement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The New Term Loan was accounted for as a modification, resulting in recording of $133 of incremental debt discount which will be amortized straight-line over the remaining life of the debt. We recorded a net gain of $26 via the extinguishment of the Special Loan, which was recorded as additional paid in capital in the Statement of Shareholders Equity given the transaction was with a related party, Slipstream. We expensed $69 of costs incurred with third parties as a result of extinguishment of the Special Loan, modification of the New Term Loan, and extinguishment of the Disbursed Escrow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48" w:lineRule="exact"/>
        <w:rPr>
          <w:sz w:val="20"/>
          <w:szCs w:val="20"/>
          <w:color w:val="auto"/>
        </w:rPr>
      </w:pPr>
    </w:p>
    <w:p>
      <w:pPr>
        <w:ind w:right="520" w:firstLine="648"/>
        <w:spacing w:after="0" w:line="311" w:lineRule="auto"/>
        <w:rPr>
          <w:sz w:val="20"/>
          <w:szCs w:val="20"/>
          <w:color w:val="auto"/>
        </w:rPr>
      </w:pPr>
      <w:r>
        <w:rPr>
          <w:rFonts w:ascii="Arial" w:cs="Arial" w:eastAsia="Arial" w:hAnsi="Arial"/>
          <w:sz w:val="16"/>
          <w:szCs w:val="16"/>
          <w:color w:val="auto"/>
        </w:rPr>
        <w:t>On February 28, 2021, January 31, 2021, December 31, 2020, November 30, 2020, and September 29, 2020, the Company entered into amendments to Loan and Security Agreement with its subsidiaries and Slipstream to amend the automatic conversion date of the Special Loan. Each amendment extended the automatic conversion date of the Special Loan. The Company paid no fees in exchange for these extensions.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bears no interest. Upon entry into the Credit Agreement on March 7, 2021, this note was converted into Disbursed Escrow Conversion Shares, with elimination of the debt recorded as an equity issuance with the Statement of Shareholders Equity during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Seller Note from acquisition of Allure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Amended and Restated Seller Note represented a note payable due from Allure to Seller, under a pre-existing Seller Note which was amended and restated to a reduced amount of $1,637 through the Stock Purchase Agreement and a subsequent net working capital adjustment. That debt accrued interest at 3.5% per annum, and required us to make quarterly payments of interest only through February 19, 2020, on which date the promissory note matured and all remaining amounts owing thereunder became due.</w:t>
      </w:r>
    </w:p>
    <w:p>
      <w:pPr>
        <w:spacing w:after="0" w:line="187"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On February 20, 2020, Creative Realities, Inc. and Allure made a demand for arbitration against Seller for (1) breach of contract, (2) indemnification, and (3) fraudulent misrepresentation under the Allure Purchase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Seller Note and the accrued interest have been eliminated, resulting in a gain in the Condensed Consolidated Financial statements of $1,624, representing $1,538 related to the Seller Note and $86 of related interest thereon, during the three months ended June 30,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These suits remain in the early stages of litigation and, as a result, the outcome of the suit and the allocation of liability, if any, remain unclear, so the Company is unable to reasonably estimate the possible liability, recovery, or range of magnitude for either the liability or recover, if any, at the time of this filing.</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noted above, the Company is not party to any other material legal proceedings, other than ordinary routine litigation incidental to the business, as of November 15, 2021, and there were no other such proceedings pending during the period covered by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nine months ended September 30, 2021, (i) the full principal amount of the PPP Loan and the accrued interest of $1,552 were forgiven and recorded as a gain on settlement, (ii) the Company settled the Amended and Restated Seller Note and related accrued interest for $100, recording a gain on settlement of $1,624, representing $1,538 related to the Amended and Restated Seller Note and $86 of related interest thereon, and (iii) the statute of limitations passed related to the remaining liability on a lease abandoned by the Company in 2015, resulting in a gain of $256.</w:t>
      </w:r>
    </w:p>
    <w:p>
      <w:pPr>
        <w:spacing w:after="0" w:line="17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During the three and nine months ended September 30, 2020, the Company settled and/or wrote off other obligations of $155 and $406,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In addition to the financing transactions with Slipstream, a related party,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we have the following related party transactions.</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33 Degrees Convenience Connect, Inc., a related party that is approximately 17.5% owned by a member of our senior management (“33 Degrees”), is a customer of both equipment and services from the Company. For the three and nine months ended September 30, 2021, the Company had sales to 33 Degrees of $82, or 1.7%, and $365, or 2.8%, respectively, of consolidated revenue. For the three and nine months ended September 30, 2020, the Company had sales to 33 Degrees of $131, or 2.6%, and $922, or 7.4%, respectively, of consolidated revenue.</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Accounts receivable due from 33 Degrees was $5, or 0.17%, and $40, or 1.2% of consolidated accounts receivable at September 30, 2021 and December 31,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229"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right="180" w:firstLine="648"/>
        <w:spacing w:after="0" w:line="277" w:lineRule="auto"/>
        <w:rPr>
          <w:sz w:val="20"/>
          <w:szCs w:val="20"/>
          <w:color w:val="auto"/>
        </w:rPr>
      </w:pPr>
      <w:r>
        <w:rPr>
          <w:rFonts w:ascii="Arial" w:cs="Arial" w:eastAsia="Arial" w:hAnsi="Arial"/>
          <w:sz w:val="18"/>
          <w:szCs w:val="18"/>
          <w:color w:val="auto"/>
        </w:rPr>
        <w:t>For the three and nine-months ended September 30, 2021, we reported tax expense of $1 and $9, respectively. As of September 30, 2021, the net deferred tax assets totaled $0 after valuation allowance, consistent with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outstanding warrants is included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Warrants (Equity)</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4,426,900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Warrants issued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(263,938)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Balance September 30, 2021</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3"/>
            <w:vMerge w:val="continue"/>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4,162,962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w w:val="98"/>
              </w:rPr>
              <w:t>NOTE 13: STOCK-BASED COMPENSATION</w:t>
            </w:r>
          </w:p>
        </w:tc>
        <w:tc>
          <w:tcPr>
            <w:tcW w:w="960" w:type="dxa"/>
            <w:vAlign w:val="bottom"/>
            <w:gridSpan w:val="2"/>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3660" w:type="dxa"/>
            <w:vAlign w:val="bottom"/>
            <w:tcBorders>
              <w:bottom w:val="single" w:sz="8" w:color="auto"/>
            </w:tcBorders>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gridSpan w:val="3"/>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Time Vesting Options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$3.00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$3.01 - $7.50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184,830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176,497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$7.51+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103,979</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1,813,809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784,017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Performance Vesting Options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$3.00</w:t>
            </w: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right"/>
              <w:ind w:right="590"/>
              <w:spacing w:after="0"/>
              <w:rPr>
                <w:sz w:val="20"/>
                <w:szCs w:val="20"/>
                <w:color w:val="auto"/>
              </w:rPr>
            </w:pPr>
            <w:r>
              <w:rPr>
                <w:rFonts w:ascii="Arial" w:cs="Arial" w:eastAsia="Arial" w:hAnsi="Arial"/>
                <w:sz w:val="18"/>
                <w:szCs w:val="18"/>
                <w:b w:val="1"/>
                <w:bCs w:val="1"/>
                <w:i w:val="1"/>
                <w:iCs w:val="1"/>
                <w:color w:val="auto"/>
              </w:rPr>
              <w:t>Time Vesting Options</w:t>
            </w:r>
          </w:p>
        </w:tc>
        <w:tc>
          <w:tcPr>
            <w:tcW w:w="100" w:type="dxa"/>
            <w:vAlign w:val="bottom"/>
          </w:tcPr>
          <w:p>
            <w:pPr>
              <w:spacing w:after="0"/>
              <w:rPr>
                <w:sz w:val="24"/>
                <w:szCs w:val="24"/>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w w:val="94"/>
              </w:rPr>
              <w:t>Performance Vesting Options</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18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Date/Activity</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18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3"/>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3"/>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7.2 years as of September 30,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On June 1, 2020 the Board of Directors of the Company granted 10-year options to purchase an aggregate of 2,380,000 shares of its common stock to employees of the Company subject to shareholder approval of an increase in the reserve of shares authorized for issuance under the Company’s 2014 Stock Incentive Plan (as amended, the “Plan”). On July 10, 2020, the Company held a special meeting of the Company’s shareholders at which the shareholders approved the amendment to the Plan, which increased the reserve of shares authorized for issuance thereunder to 6,000,000 shares.</w:t>
      </w:r>
    </w:p>
    <w:p>
      <w:pPr>
        <w:spacing w:after="0" w:line="15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Of the 2,380,000 options awarded, 1,580,000 vest over 3 years and have an exercise price of $2.53, the market value of the Company’s common stock on the grant date. The fair value of the options on the grant date was $1.87 and was determined using the Black-Scholes model. These values were calculated using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6.25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remaining 800,000 options awarded vest in equal installments over a three-year period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following three years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Calendar Year</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Revenue Target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 million</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36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$35 million</w:t>
            </w: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$38 million</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The exercise price of the foregoing options is $2.53 per share, the closing price of the Company’s common stock on the date of issuance. The options were issued from the Plan. The fair value of the options on the grant date was $1.87 and was determined using the Black-Scholes model. These values were calculated using the same weighted average assumptions as the time vesting options issued. Performance against the identified revenue and EBITDA targets will be assessed quarterly by the Company in order to determine whether any compensation expense should be recorded.</w:t>
      </w:r>
    </w:p>
    <w:p>
      <w:pPr>
        <w:spacing w:after="0" w:line="1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three months ended March 31, 2021, the Company deemed it probable that the Company would achieve the EBITDA target for Calendar Year 2021 and recorded catch-up compensation expense in the Consolidated Statement of Operations with respect to these awards of $263 during the three months ended March 31, 2021. These awards have not yet vested and are subject to actual results for the full fiscal year 2021. Should this target not be achieved, amounts recorded as expense in the Condensed Consolidated Statement of Operations would be reversed. The Company recorded $79 during the three months ended September 30, 2021 and anticipates recording $79 in each subsequent quarter of 2021 related to the EBITDA target for Calendar Year 2020 and 2021 portion of these awards.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12,135 options outstanding under the 2006 Equity Incentive Plan.</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Compensation expense recognized for the issuance of stock options, inclusive of performance-restricted stock options, for the three and nine months ended September 30, 2021 of $331 and $1,177, respectively, was included in general and administrative expense in the Condensed Consolidated Financial Statements. Compensation expense recognized for the issuance of stock options for the three and nine months ended September 30, 2020 of $273 and $442, respectively, was included in general and administrative expense in the Condensed Consolidated Financial Statements. Amounts recorded include stock compensation expense for awards granted to directors of the Company in exchange for services at fair value.</w:t>
      </w:r>
    </w:p>
    <w:p>
      <w:pPr>
        <w:spacing w:after="0" w:line="161"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As of September 30, 2021, there was approximately $1,609 and $1,078 of total unrecognized compensation expense related to unvested share-based awards with time vesting and performance vesting criteria, respectively. As of September 30, 2020, there was approximately $2,617 and $1,499 of total unrecognized compensation expense related to unvested share-based awards with time vesting and performance vesting criteria, respectively.</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During the three and nine months ended September 30, 2021, the Company engaged certain consultants to perform services in exchange for Company common stock. Shares issued for services were calculated based on the ten (10) day volume weighted average price (“VWAP”) for the last ten</w:t>
      </w:r>
    </w:p>
    <w:p>
      <w:pPr>
        <w:ind w:right="240" w:firstLine="8"/>
        <w:spacing w:after="0" w:line="255"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days during the month of service provided. The Company recorded $45 and $85 in compensation expenses in exchange for issuance of 31,257 and 53,459 shares during the three and nine months ended September 30, 2021, respectively. $15 of the compensation expenses were recorded as capitalized software.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had one (1) and two (2) customers that in the aggregate accounted for 30.6% and 42.6% of accounts receivable as of September 30, 2021, and December 31, 2020, respectively.</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had two (2) and one (1) customer that accounted for 45.9% and 11.3% of revenue for the three months ended September 30, 2021, and 2020, respectively. We had two (2) and one (1) customer that accounted for 40.1% and 11.5% of revenue for the nine months ended September 30, 2021 and 2020,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had two (2) vendors that accounted for 47.2% and 47.0% of outstanding accounts payable at September 30, 2021 and December 31,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LEASES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2021 and 2025.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ectPr>
          <w:pgSz w:w="11900" w:h="16838" w:orient="portrait"/>
          <w:cols w:equalWidth="0" w:num="1">
            <w:col w:w="11240"/>
          </w:cols>
          <w:pgMar w:left="320" w:top="881" w:right="339" w:bottom="821" w:gutter="0" w:footer="0" w:header="0"/>
        </w:sectPr>
      </w:pPr>
    </w:p>
    <w:p>
      <w:pPr>
        <w:spacing w:after="0" w:line="187" w:lineRule="exact"/>
        <w:rPr>
          <w:sz w:val="20"/>
          <w:szCs w:val="20"/>
          <w:color w:val="auto"/>
        </w:rPr>
      </w:pPr>
    </w:p>
    <w:p>
      <w:pPr>
        <w:jc w:val="right"/>
        <w:ind w:right="1840"/>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Nine Months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20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r>
      <w:tr>
        <w:trPr>
          <w:trHeight w:val="418"/>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250"/>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240</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80" w:space="720"/>
            <w:col w:w="2640"/>
          </w:cols>
          <w:pgMar w:left="320" w:top="881" w:right="339" w:bottom="821"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3.1 years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 years</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0.9 years</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418"/>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September 30, 2021: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The remainder of 2021</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830</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lease liabilities</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 net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EMPLOYEE RETENTION CREDITS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CARES Act provides an employee retention credit (“ERC”) that is a refundable tax credit against certain employer taxes. On December 27, 2020, Congress enacted the Taxpayer Certainty and Disaster Tax Relief Act of 2020, which amended and extended ERC availability under Section 2301 of the CARES Act. Before the enactment of the Taxpayer Certainty and Disaster Tax Relief Act of 2020, businesses who were provided SBA PPP Loans under the CARES Act were ineligible for the ERC. Following enactment of the Taxpayer Certainty and Disaster Tax Relief Act of 2020, such businesses became retroactively eligible for the ERC.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821" w:gutter="0" w:footer="0" w:header="0"/>
          <w:type w:val="continuous"/>
        </w:sectPr>
      </w:pPr>
    </w:p>
    <w:bookmarkStart w:id="21" w:name="page22"/>
    <w:bookmarkEnd w:id="21"/>
    <w:p>
      <w:pPr>
        <w:ind w:firstLine="648"/>
        <w:spacing w:after="0" w:line="311" w:lineRule="auto"/>
        <w:rPr>
          <w:sz w:val="20"/>
          <w:szCs w:val="20"/>
          <w:color w:val="auto"/>
        </w:rPr>
      </w:pPr>
      <w:r>
        <w:rPr>
          <w:rFonts w:ascii="Arial" w:cs="Arial" w:eastAsia="Arial" w:hAnsi="Arial"/>
          <w:sz w:val="16"/>
          <w:szCs w:val="16"/>
          <w:color w:val="auto"/>
        </w:rPr>
        <w:t>As a result of the foregoing legislation, the Company is eligible to claim a refundable tax credit against the employer share of Social Security taxes equal to seventy percent (70%) of the qualified wages that the Company pays to employees between December 31, 2020 and September 30, 2021. Qualified wages are limited to $10 per employee per calendar quarter in 2021 for a maximum ERC per employee of $7 per calendar quarter in 2021.</w:t>
      </w:r>
    </w:p>
    <w:p>
      <w:pPr>
        <w:spacing w:after="0" w:line="14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 Taxpayer Certainty and Disaster Tax Relief Act of 2020, the Company is now eligible to make ERC claims for each quarter in 2020 and 2021, subject to the other eligibility requirements.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ERC was extended and expanded in March 2021 through December 31, 2021, as part of the American Rescue Plan Act of 2021 (“ARPA”). Under the CARES Act, the amount of credit was fifty percent (50%) of qualified wages paid to the employee plus the employer cost to provide health benefits. Under the Consolidated Appropriations Act of 2021, eligible employers can claim a refundable tax credit against the employer share of Social Security taxes equal to seventy percent (70%) of the qualified wages they pay to employees after December 31, 2020, through September 30, 2021. The ARPA allows employers to retain a seventy percent (70%) credit for qualified wages paid between July 1, 2021, and December 31, 2021, including the cost to provide health benefits.</w:t>
      </w:r>
    </w:p>
    <w:p>
      <w:pPr>
        <w:spacing w:after="0" w:line="19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qualified for the ERC beginning on March 13, 2020 (the earliest eligibility date) through September 30, 2021 (the most recent assessment date).</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During the three months ended September 30, 2021, the Company recorded an ERC totaling $422 for credits earned for wages paid the third quarter of 2021. The credit for the third quarter of 2021 was claimed on the Company’s original Form 941. The Company has recorded these amounts as receivable within prepaid and other currents assets within the Condensed Consolidated Balance Sheet as of September 30, 2021.</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three months ended September 30, 2021, the $422 of ERCs were included as a reduction in payroll taxes within the Condensed Consolidated Statement of Operations and allocated to the financial statement caption from which the employee taxes were originally incurred. As a result, the Company recorded a reduction in expenses of $136, $50, $49, and $186 in Cost of Goods – Services, Sales and Marketing Expenses, Research and Development Expenses, and General and Administrative Expenses, respectively, for the three months ended September 30, 2021.</w:t>
      </w:r>
    </w:p>
    <w:p>
      <w:pPr>
        <w:spacing w:after="0" w:line="17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would qualify for an ERC for each remaining quarter during 2021 in which the Company experiences a “significant decline in gross receipts,” defined as quarterly gross receipts that are less than eighty percent (80%) of its gross receipts for the same calendar quarter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SUBSEQUENT EVENTS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November 12, 2021, the Company and Reflect Systems, Inc., a Delaware corporation (“RSI”), entered into an Agreement and Plan of Merger (the "Merger Agreement") providing for the merger of RSI with a wholly owned subsidiary of the Company in exchange for the consideration described below (the “Merger”). RSI provides digital signage solutions, including software, strategic and media services to a wide range of companies across the retail, financial, hospitality and entertainment, healthcare, and employee communications industries in the North America.</w:t>
      </w:r>
    </w:p>
    <w:p>
      <w:pPr>
        <w:spacing w:after="0" w:line="17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Reflect offers digital signage platforms, including ReflectView, which delivers content to more than 75,000 devices. Through its strategic services, RSI assists its customers with designing, deploying and optimizing their digital signage networks, and through its media services, RSI assists customers with monetizing their digital advertising networks.</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If the Merger is consummated, each outstanding Reflect share will be converted into the right to receive a portion of (i) $18,667 in cash, subject to certain adjustments set forth in the Merger Agreement, (ii) 2,333,334 shares of Creative Realities common stock, par value $0.01 per share, referred to herein as the “Creative Realities shares,” and (iii) contingent cash payable on or after the three-year anniversary of the effective time of the merger, in an amount by which the closing price of the Creative Realities shares on such anniversary is than $6.40 per share, or if certain customers of Reflect collectively achieve over 85,000 billable devices online at any time on or before December 31, 2022, $7.20 per share, in each case multiplied by the amount of Creative Realities shares held by the Reflect stockholders on the three-year anniversary of the effective time of the Merger (subject to a possible six-month extension period).</w:t>
      </w:r>
    </w:p>
    <w:p>
      <w:pPr>
        <w:spacing w:after="0" w:line="19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the closing of the Merger (the “Closing”), the Merger Agreement requires Creative Realities to adopt a Retention Plan in substantially the form attached as Exhibit C to the Merger Agreement, pursuant to which key members of Reflect’s management team will be eligible to receive an aggregate of $1,333,333 in cash, which will be paid 50% at the Closing, and subject to continuous employment with Reflect, 25% on the one-year anniversary of Closing and 25% on the two-year anniversary of the Closing. The future cash payments due on the one-year and two-year anniversaries of the Closing will be deposited into a “rabbi trust” at Closing. The Retention Plan also will require Creative Realities to issue Creative Realities shares having an aggregate value of $666,667 to the plan participants as follows: 50% of the value of such shares will be issued at the Closing, and subject to continuous employment with Reflect, 25% of the value of such shares will be issued on the one-year anniversary of Closing and the remaining 25% of the value of such shares will be issued on the two-year anniversary of the Closing. The shares to be issued will be determined based on dividing the value of shares issuable on such date by the trailing 10-day volume weighed average price (VWAP) of the shares as of the such date The Merger is subject to standard Closing conditions, including the approval of RSI’s stockholders, the approval of the listing of additional shares of CRI common stock to be issued to RSI’s stockholders in the Merger, required federal and state regulatory approvals and other customary Closing conditions. We expect the merger to close in the first quarter of 2022.</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following discussion contains various forward-looking statements within the meaning of Section 21E of the Exchange Act of 1934, as amended. Although we believe that, in making any such statements, our expectations are based on reasonable assumptions, any such statements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our management or the Merger, are intended to identify such forward-looking statements.</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example, forward-looking statements include any statements regarding the strategies, prospects, plans, expectations or objectives of management of Creative Realities or Reflect for future operations of the combined company, the risk that the conditions to the closing of the proposed Merger are not satisfied, including the failure to timely or at all obtain approval of the Creative Realities Proposals and Reflect Proposal; uncertainties as to the timing of the consummation of the proposed Merger and the ability of each of Creative Realities and Reflect to consummate the proposed Merger; risks related to Creative Realities’ ability to correctly estimate its operating expenses and expenses associated with the proposed Merger, including any debt expenses related to any debt financing obtained in advanced of the closing of the proposed Merger; Creative Realities’ ability to obtaining any financing necessary to pay the $18,666,667 cash portion of the Merger consideration and fund the $1,333,333 cash portion of the Reflect Retention Plan at the closing of the Merger, including the terms of any debt or equity financing; risks related to the changes in market price of the Creative Realities shares of common stock; competitive responses to the proposed Merger; unexpected costs, charges or expenses resulting from the proposed Merger; the effect of the COVID-19 pandemic and the steps taken by governments and customers of Creative Realities and Reflect to address the pandemic, including business closures; potential adverse reactions or changes to business relationships resulting from the announcement or completion of the proposed Merger; and legislative, regulatory, political and economic developments. The foregoing review of important factors that could cause actual events to differ from expectations should not be construed as exhaustive and should be read in conjunction with statements that are included herein and elsewhere.</w:t>
      </w:r>
    </w:p>
    <w:p>
      <w:pPr>
        <w:spacing w:after="0" w:line="17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2020, Form 10-Q for the quarter ended March 31, 2021, and preliminary joint proxy statement/prospectus included in the Form S-4 registration statement, as filed with the Securities and Exchange Commission on March 10, 2021 May 17, 2021, and November 12, 2021 respectively.</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this report. We do not undertake to update any forward-looking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solutions to a broad range of companies, individual brands, enterprises, and organizations throughout the United States and in certain international markets. We have expertise in a broad range of existing and emerging digital marketing technologies across a variety of strategic vertical markets, as well as the related media management and distribution software platforms and networks, device and content management, product management, customized software service layers, systems, experiences, workflows, and integrated solutions. Our technology and solutions include: digital merchandising systems and omni-channel customer engagement systems; content creation, production and scheduling programs and systems; a comprehensive series of recurring maintenance, support, and field service offerings; interactive digital shopping assistants, advisors and kiosks; and, other interactive marketing technologies such as mobile, social media, point-of-sale transactions, beaconing and web-based media that enable our customers to transform how they engage with consumers.</w:t>
      </w:r>
    </w:p>
    <w:p>
      <w:pPr>
        <w:spacing w:after="0" w:line="16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main operations are conducted directly through Creative Realities, Inc., and under our wholly owned subsidiaries Allure Global Solutions, Inc., a Georgia corporation (“Allure”),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primarily generate revenue in our business by:</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consulting with our customers to determine the technologies and solutions required to achieve their specific goals, strategies and objectives;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designing our customers’ digital marketing experiences, content and interfaces;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engineering the systems architecture delivering the digital marketing experiences we design – both software and hardware – and integrating those systems into a customized, reliable and effective digital marketing experience;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the efficient, timely and cost-effective deployment of our digital marketing technology solutions for our customers;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and updating the content of our digital marketing technology solutions using a suite of advanced media, content and network management software products; and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3" w:name="page24"/>
    <w:bookmarkEnd w:id="23"/>
    <w:p>
      <w:pPr>
        <w:ind w:left="980" w:right="14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our customers’ digital marketing technology solutions by: providing content production and related services; creating additional software-based features and functionality; hosting the solutions; monitoring solution service levels; and responding to and/or managing remote or onsite field service maintenance, troubleshooting and support calls.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activities generate revenue through: bundled-solution sales; consulting services, experience design, content development and production, software development, engineering, implementation, and field services; software license fees; and maintenance and support services related to our software, managed systems and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Merger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November 12, 2021, Creative Realities and Reflect Systems, Inc., or “Reflect,” entered into an Agreement and Plan of Merger, or the “Merger Agreement,” pursuant to which a direct, wholly owned subsidiary of Creative Realities, CRI Acquisition Corporation, or “Merger Sub,” will merge with and into Reflect, with Reflect surviving as a wholly owned subsidiary of Creative Realities, and the surviving company of the merger, which transaction is referred to herein as the “Merger.”</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Subject to the terms and conditions of the Merger Agreement, upon the closing of the Merger, Reflect stockholders as of the effective time of the Merger collectively will receive from Creative Realities, in the aggregate the following Merger consideration: (i) $18,666,667 payable in cash, (ii) 2,333,334 shares of common stock of Creative Realities (valued based on an issuance price of $2 per share) (the “CREX Shares”), and (iii)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6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ind w:right="60" w:firstLine="8"/>
        <w:spacing w:after="0" w:line="273"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Creative Realities provides written notice of its election to exercise the Extension Option at least 10 days prior to the three-year anniversary of the Closing. The “Extension Threshold Price” means the average closing price per share of Creative Realities Shares as reported on the Nasdaq Capital Market (or NYSE) in the fifteen (15) consecutive trading day period ending fifteen (15) days prior to the three-year anniversary of the Closing Date. If the Extension Threshold Price is less than 80% of the Guaranteed Price, then the Guaranteed Price will be increased by $1.00 per share.</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the terms of the Merger Agreement, Creative Realities will adopt a retention bonus plan for key Reflect employees that will continue their services after the effective time of the Merger in substantially the form attached as Exhibit C to the Merger Agreement (the “Retention Bonus Plan”), pursuant to which key members of Reflect’s management team will be eligible to receive an aggregate of $1,333,333 in cash, which will be paid 50% at the closing of the Merger, and subject to continuous employment with Reflect, 25% on the one-year anniversary of the closing of the Merger and 25% on the two-year anniversary of the closing of the Merger. The future cash payments due on the one-year and two-year anniversaries of the closing of the Merger will be deposited into a “rabbi” trust at the closing of the Merger. The Reflect Retention Plan also will require Creative Realities to issue Creative Realities Shares having an aggregate value of $666,667 to the plan participants as follows: 50% of the value of such shares will be issued at the closing of the Merger at the issuance price of $2.00 per share. Subject to continuous employment with Reflect, 25% of the value of such shares will be issued on the one-year anniversary of the closing of the Merger and the remaining 25% of the value of such shares will be issued on the two-year anniversary of the closing of the Merger. The shares to be issued on the one and two year anniversaries of the Merger will be determined based on dividing the value of shares issuable on such date by the trailing 10-day volume weighed average price (VWAP) of the shares as of the such vesting date as reported on the Nasdaq Capital Market.</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Merger Agreement contains customary closing conditions. Among these conditions, the Merger Agreement requires that the stockholders of Reflect approve the Merger and other related proposals (the “Reflect Proposals”), and that the shareholders of Creative Realities approve the issuance of the CREX Shares Consideration, and the terms of the Retention Bonus Plan and other related proposals (the “Creative Realities Proposals”). The parties intend to seek stockholder approvals of the Creative Realities Proposals and Reflect Proposal via a joint proxy statement/prospectus on Form S-4 (the “Proxy Statement”) with the Securities Exchange Commission (the “SEC”), which will include audited annual and unaudited interim historical financial information for the operations comprising the business of Reflect, together with pro forma financial information, and such other information as required by applicable SEC rules.</w:t>
      </w:r>
    </w:p>
    <w:p>
      <w:pPr>
        <w:spacing w:after="0" w:line="19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Merger Agreement contains customary representations, warranties, covenants, escrow and indemnification provisions. At closing of the Merger, $2.5 million of the cash Merger consideration will be deposited into a one-year escrow account as the sole remedy to secure the indemnification obligations of Reflect stockholders; provided that claims related to breaches of certain representations, warranties and covenants will not be limited by the escrow account and will be limited by the Merger consideration paid to such stockholders. Losses must exceed $200,000 before Reflect stockholders would be liable for any indemnification obligations, in which event Reflect stockholders would be responsible for the amount of all losses above such amount. Creative Realities may offset from the Guaranteed Consideration the amount of losses that Creative Realities is finally determined to be entitled under the indemnification provisions of the Merger Agreement.</w:t>
      </w:r>
    </w:p>
    <w:p>
      <w:pPr>
        <w:spacing w:after="0" w:line="19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An additional $250,000 of the cash Merger consideration will be deposited into an escrow account to secure any required payments by the Reflect stockholders as part of the post-closing purchase price adjustments for closing date net working capital set forth in the Merger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65" w:gutter="0" w:footer="0" w:header="0"/>
        </w:sectPr>
      </w:pPr>
    </w:p>
    <w:bookmarkStart w:id="24" w:name="page25"/>
    <w:bookmarkEnd w:id="24"/>
    <w:p>
      <w:pPr>
        <w:ind w:right="180" w:firstLine="648"/>
        <w:spacing w:after="0" w:line="259" w:lineRule="auto"/>
        <w:rPr>
          <w:sz w:val="20"/>
          <w:szCs w:val="20"/>
          <w:color w:val="auto"/>
        </w:rPr>
      </w:pPr>
      <w:r>
        <w:rPr>
          <w:rFonts w:ascii="Arial" w:cs="Arial" w:eastAsia="Arial" w:hAnsi="Arial"/>
          <w:sz w:val="18"/>
          <w:szCs w:val="18"/>
          <w:color w:val="auto"/>
        </w:rPr>
        <w:t>The Merger Agreement contains certain termination rights for both Creative Realities and Reflect, including rights to terminate the Merger Agreement in the event of a breach by the other party (which right includes the right to recover out-of-pocket costs incurred by the non-breaching party) and limited rights permitting Creative Realities to terminate the Merger Agreement upon the failure to obtain sufficient financing to fund the cash portion of the Merger consideration, and certain adverse developments in the Reflect’s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the merger to close in the first quarter of 2022.</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a discussion of the factors that may cause Creative Realities’, Reflect’s and the combined company’s actual results, performance or achievements to differ materially from any future results, performance or achievements expressed or implied in such forward-looking statements, and for a discussion of risk associated with the ability of Creative Realities and Reflect to complete the Merger and the effect of the Merger on the business of Creative Realities, Reflect and the combined company, see “Risk Factors” set forth in the preliminary Proxy Statement filed with the SEC on November 12, 2021. Readers are also urged to carefully review and consider the various disclosures we make in amendments to the Proxy Statement filed with the SEC and that we will mail to our shareholders. In addition, additional factors that could cause actual results to differ materially from those expressed in the forward-looking statements are discussed in reports filed with the SEC by Creative Realities. There can be no assurance that the proposed Merger will be completed, or if it is completed, that it will be consummated within the anticipated time period or that the expected benefits of the proposed Merger will be realized.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2020, an outbreak of a new strain of coronavirus, COVID-19, was identified in Wuhan, China. Through the first quarter of 2020, the disease became widespread around the world, and on March 11, 2020, the World Health Organization declared a pandemic. Thereafter, state and local authorities in the United States and worldwide have forced many businesses to temporarily reduce or cease operations to slow the spread of the COVID-19 pandemic.</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a result of the COVID-19 pandemic, we experienced rapid and immediate deterioration in our business in each of our key vertical markets. The elective and forced closures of, and implementation of social distancing policies on, businesses across the United States resulted in materially reduced demand and customer budgets for our services throughout 2020 and into 2021, as our customers purchase our products and services to engage with their end customers in a physical space through digital technology, particularly in our theater, sports arena and large entertainment markets. Those conditions resulted in downward revisions of our internal forecasts on current and future projected earnings and cash flows, resulting in a non-cash impairment loss of $10,646 recorded during the first quarter of 2020 and reduced liquidity as described below.</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While we have experienced an intense curtail in demand, our long-term outlook for the digital signage industry remains strong and we believe that the COIVD-19 pandemic has accelerated the long-term adoption of digital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 Chip Shortage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Company’s suppliers of digital displays, the primary hardware component in the Company’s digital systems, have informed the Company that, due to semiconductor chip shortages in the industry, such suppliers expect delays and potentially increased costs for the Company to obtain digital displays necessary to fulfill and install the Company’s digital solutions. Historically, such digital displays have been readily available for purchase and delivery, to be purchased by the Company from distributors from such distributor’s existing inventory. Such delays will likely result in a longer sales cycles and prolonged periods in which the Company will be able to recognize revenues compared to historical time periods. The increased costs for such displays may also reduce the margins in which the Company has received on account of the purchase and installation of such displays as part the Company’s digital signage product offerings. Although we believe that such shortage will be alleviated during the first half of 2022, the Company is unable to confirm how long such delays may exist, the effect such delays and increased demand may have on the cost to procure such digital screens, or the adverse impacts on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primarily generate revenue through digital marketing solution sales, which include system hardware, professional and implementation services, software design and development, software licensing, deployment, and maintenance and support services.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14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The Company’s significant accounting policies are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Company’s Condensed Consolidated Financial Statements included elsewhere in this filing.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8"/>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w w:val="97"/>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2,406</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2,663</w:t>
            </w:r>
          </w:p>
        </w:tc>
        <w:tc>
          <w:tcPr>
            <w:tcW w:w="3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1,849</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2,866</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Gain on settlement of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Provision from income taxes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decreased by $354, or 7%, during the three months ended September 30, 2021 as compared to the same period in 2020 primarily driven by a reduction of $635 in hardware sales resulting from limited supply chain availability of semiconductor chips delaying the delivery of digital displays and media players to the Company, combined with a reduction in Safe Space Solutions hardware in 2021 following wide distribution of the COVID-19 vaccine. These reductions were partially offset by an increase in installation activity related to a continued customer rollout of previously purchased hardware. The supply disruption for digital displays prevented the Company from delivery of hardware and execution of installation activities during the quarter. As of September 30, 2021, the Company had customer purchase orders for equipment and installation activities in excess of $1,200 which were delayed as a result of product availability. The Company expects to experience continued disruptions and delays related to fulfillment of inventory purchases from vendors throughout the remainder of 2021, which may impact our results for the remainder of 2021. We expect a full recovery in the timely availability of equipment during the first half of 2022. During the three months ended September 30, 2021 and 2020, of our Safe Space Solutions products and services (inclusive of the portion of revenue recognized during the three months ended September 30, 2021 related to annual contracts sold in prior periods), were $182 and $2,067,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Gross profit decreased $97, or 4% during the three months ended September 30, 2021 as compared to the same period in 2020 driven by the decrease in sales but offset by an increase in gross profit margin. Gross profit margin increased to 49.4% in 2021 from 47.9% during the same period in 2020 as a result of an increase in managed services as a percentage of total revenue during the period and headcount reductions in personnel servicing customers as a result of cost reductions executed throughout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$81, or 20%, in 2021 compared to 2020. The decrease was driven by $50 of Employee Retention Credits related to the retention and payment of salaries to sales personnel during the period. The remaining reduction was the result of reduced commissions and bonuses.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335"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Research and development expenses generally include personnel and development tools costs associated with the continued development of the Company’s content management systems and other related application development. Research and development decreased by $3, or 1%, in 2021 compared to 2020. The decrease was driven by $49 of Employee Retention Credits related to the retention and payment of salaries to sales personnel throughout 2020 and the three months ended September 30, 2021, partially offset by increased headcount as we began re-investment into our content management platforms.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general and administrative expenses were flat for the three months ended September 30, 2021 as compared to the same period in 2020. There was a decrease of $186 from Employee Retention Credits related to the retention and payment of salaries to sales personnel during the period, offset by $95 in expenses related to one-time deal and transaction expenses and an increase of $83 in non-cash stock compensation expenses from employee stock option awards with time and performance-based vesting.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Depreciation and amortization expenses decreased by $30, or 8%, in 2021 compared to 2020. This decrease was the result of a trade name asset becoming fully amortized during 2020, while no amortization was recorded during the three months ended September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three months ended September 30, 2021 the statute of limitations passed related to the remaining liability on a lease abandoned by the Company in 2015, resulting in a gain of $256.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For the Nine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7"/>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6,578</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6,599</w:t>
            </w:r>
          </w:p>
        </w:tc>
        <w:tc>
          <w:tcPr>
            <w:tcW w:w="3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1,209</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6,340</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Bad debt (recovery) / expense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830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(1,293)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1,123</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10,646</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(10,646)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20,935</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(13,451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income /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Change in fair value of Convertible Loan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(702)</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debt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3,294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7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Provision from income taxes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4260" w:type="dxa"/>
            <w:vAlign w:val="bottom"/>
            <w:vMerge w:val="continue"/>
            <w:shd w:val="clear" w:color="auto" w:fill="CCEEFF"/>
          </w:tcPr>
          <w:p>
            <w:pPr>
              <w:spacing w:after="0"/>
              <w:rPr>
                <w:sz w:val="21"/>
                <w:szCs w:val="21"/>
                <w:color w:val="auto"/>
              </w:rPr>
            </w:pPr>
          </w:p>
        </w:tc>
        <w:tc>
          <w:tcPr>
            <w:tcW w:w="19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20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18,181</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Sales increased by $567, or 5%, in the nine months ended September 30, 2021 as compared to the same period in 2020 driven by an increase of $509 in hardware sales as compared to the same period in 2020, despite a decrease of $1,385 in the sale of our Safe Space Solutions products, which launched in April 2020. Core digital signage sales expanded by $976 in the period despite constraints from further growth due to limited supply chain availability of semiconductor chips delaying the delivery of digital displays and media players to the Company. The supply disruption for digital displays prevented the Company from delivery of hardware and execution of installation activities during the quarter. As of September 30, 2021, the Company had customer purchase orders for equipment and installation activities in excess of $1,200 which were delayed as a result of product availability. The Company expects to experience continued disruptions and delays related to fulfillment of inventory purchases from vendors throughout the remainder of 2021, which may impact our results for the remainder of 2021. We expect a full recovery in the timely availability of equipment during the first half of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Gross profit increased $588, or 10%, during the nine months ended September 30, 2021 as compared to the same period in 2020, driven by both an increase in sales, which contributed $322 of incremental gross profit on a constant gross profit margin basis, and an increase in gross profit margin, which contributed $266 of incremental gross profit. Gross profit margin increased to 49.5% from 47.1% driven primarily by increased hardware margins driven by increased purchasing power with distributors as our purchases of digital displays have increased.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$375, or 31%, in 2021 compared to 2020. The decrease was driven by $232 of Employee Retention Credits related to the retention and payment of salaries to sales personnel throughout 2020 and the nine months ended September 30, 2021. The remaining reduction was the result of reduced personnel costs, partially offset by an increase of $78 on trade show activity and related travel costs following a return to participation in industry trade shows and events after the elimination of such costs in 2020 as a result of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Research and development expenses generally include personnel and development tools costs associated with the continued development of the Company’s content management systems and other related application development. Research and development decreased by $332, or 44%, in 2021 compared to 2020. The decrease was driven by $196 of Employee Retention Credits related to the retention and payment of salaries to sales personnel throughout 2020 and the nine months ended September 30, 2021. The remaining reduction was the result of reduced personnel costs following the reduction of personnel and salary reductions implemented throughout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Total general and administrative expenses decreased by $717, or 11%, in 2021 compared to 2020. The decrease was driven by $694 of Employee Retention Credits related to the retention and payment of salaries to sales personnel throughout 2020 and the nine months ended September 30, 2021. Excluding the consideration of those Employee Retention Credits recorded in the period, total general and administrative expenses decreased $23, or 0%, during the nine months ended September 30, 2021 as compared to the same period in 2020. The comparable year-over-year expenses included reductions of (a) $157 in non-ERC-related personnel costs, including salaries, benefits, and travel-related expenses, (b) $280 in rent expense following closure, downsizing, or restructuring of four leases during 2020, and (c) reductions in legal expenses of $255 following settlement of the Amended and Restated Seller Note, partially offset by an increase in stock compensation amortization expense of $849 related to incremental employee and directors’ awards granted during 2020 which are being amortized over a nineteen (19) month remaining vesting period based on the grant date fair value calculated using the Black Scholes method. Personnel costs were reduced following completion of a reduction-in-force and salary reductions for remaining personnel in March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Expenses related to the Company’s allowance for bad debts decreased by $1,293, or 156%, for the nine months ended September 30, 2021 compared to 2020. This decrease was primarily driven by a cash recovery of $555 related to a customer bankruptcy for which the Company previously recorded a reserve during the three months ended June 30, 2020.</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xml:space="preserve"> to the Condensed Consolidated Financial Statements for a discussion of the Company’s interim impairment test and the non-cash impairment charge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Depreciation and amortization expenses decreased by $88, or 8%, in 2021 compared to 2020. This decrease was the result of a trade name asset becoming fully amortized during 2020, while no amortization was recorded during the nine months ended September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Change in fair value of Convertible Loan</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We updated our fair value analysis of the Convertible Loan quarterly, resulting in recognition of a $166 gain and a $702 loss during the nine months ended September 30, 2021 and 2020, respectively. 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Convertible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January 11, 2021, the Company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Amended and Restated Seller Note and the accrued interest have been eliminated, resulting in a gain in the Condensed Consolidated Financial statements of $1,624, representing $1,538 related to the Amended and Restated Seller Note and $86 of related interest thereon, during the three months ended June 30, 2021.</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three months ended September 30, 2021 the statute of limitations passed related to the remaining liability on a lease abandoned by the Company in 2015, resulting in a gain of $256.</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Summary Unaudited Quarterly Financial Information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15"/>
          </w:tcPr>
          <w:p>
            <w:pPr>
              <w:ind w:left="660"/>
              <w:spacing w:after="0"/>
              <w:rPr>
                <w:sz w:val="20"/>
                <w:szCs w:val="20"/>
                <w:color w:val="auto"/>
              </w:rPr>
            </w:pPr>
            <w:r>
              <w:rPr>
                <w:rFonts w:ascii="Arial" w:cs="Arial" w:eastAsia="Arial" w:hAnsi="Arial"/>
                <w:sz w:val="18"/>
                <w:szCs w:val="18"/>
                <w:color w:val="auto"/>
              </w:rPr>
              <w:t>The following represents unaudited financial information derived from the Company’s quarterly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0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6"/>
              </w:rPr>
              <w:t>March 31,</w:t>
            </w:r>
          </w:p>
        </w:tc>
        <w:tc>
          <w:tcPr>
            <w:tcW w:w="1320" w:type="dxa"/>
            <w:vAlign w:val="bottom"/>
            <w:gridSpan w:val="3"/>
          </w:tcPr>
          <w:p>
            <w:pPr>
              <w:jc w:val="right"/>
              <w:ind w:right="161"/>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12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2,406</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2,770</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2,737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w w:val="94"/>
              </w:rPr>
              <w:t>Operating expenses, excluding 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2,404</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(404)</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(411)</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Operating Results on a Non-GAAP Basis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following non-GAAP data, which adjusts for the categories of expenses described below, is a non-GAAP financial measure. Our management believes that this non-GAAP financial measure is useful information for investors, shareholders and other stakeholders of the Company in evaluating our results of operations on an ongoing basis. We believe that earnings before interest, taxes, depreciation, and amortization (“EBITDA”) is a performance measure and not a liquidity measure, and therefore a reconciliation between net loss/income and EBITDA and Adjusted EBITDA, which is calculated by removing the impact of non-recurring and primarily non-cash transactions from EBITDA, has been provided. Neither EBITDA nor Adjusted EBITDA should be considered as an alternative to net loss/income as an indicator of performance, or as an alternative to cash flows from operating activities as an indicator of cash flows, in each case as determined in accordance with GAAP, or as a measure of liquidity. In addition, neither EBITDA nor Adjusted EBITDA takes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Nature of Organization and Operations</w:t>
      </w:r>
      <w:r>
        <w:rPr>
          <w:rFonts w:ascii="Arial" w:cs="Arial" w:eastAsia="Arial" w:hAnsi="Arial"/>
          <w:sz w:val="18"/>
          <w:szCs w:val="18"/>
          <w:color w:val="auto"/>
        </w:rPr>
        <w:t xml:space="preserve"> to the accompanying Condensed Consolidated Financial Statements for a detailed discussion of liquidity and financial resources.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cash flows used in operating activities were ($367) and ($4,110) for the nine months ended September 30, 2021 and 2020, respectively. We produced net income during the nine months ended September 30, 2021 of $1,954, which was primarily reduced via addback of the gain on forgiveness of the Company’s PPP Loan in the amount of $1,552 and gain on the settlement of obligations in the amount of $1,624, representing $1,538 related to the Seller Note and $86 of related interest thereon, partially offset by an addback for depreciation and amortization, including amortization of debt discount and stock based compensation, of $2,417. The change in cash flows used in operations year-over-year was driven primarily by the current year gains on settlement of the Seller Note and forgiveness of the PPP loan, combined with a reduction in prepaid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Net cash used in investing activities during the nine months ended September 30, 2021 was $432 compared to $559 during the same period in 2020. The use of cash in both periods represents payments made for capital assets, primarily related to the capitalization of both internal and external software development. We currently do not have any material commitments for capital expenditures as of September 30, 2021; however, we anticipate an increase in our capital expenditures of approximately $430 in excess of our historical trends throughout the balance of 2021 to maintain and enhance the software platform for our customers and to enhance revenue generating activities through the platform.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Net cash provided by financing activities during the nine months ended September 30, 2021 and 2020 were $1,745 and $2,990, respectively. On February 18, 2021, the Company entered into a securities purchase agreement with an institutional investor for the issuance and sale of the Company’s common stock. The net proceeds from the Offering after paying estimated offering expenses were approximately $1,849. These proceeds were partially offset by the settlement payment of $100 on the Seller Note. The 2020 proceeds were driven by the Company’s receipt of a $1,552 Paycheck Protection Program loan, execution of sales via an at-the-market offering of $1,335, and the exercise of 27,600 warrants.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three and nine months ended September 30, 2021, we did not engage in any off-balance sheet arrangements set forth in Item 303(a)(4)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September 30, 2021,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10, 2021 and our Quarterly Report on Form 10-Q filed with the SEC on May 17, 2021. Such risks and uncertainties have the potential to affect our business, financial condition, results of operations, cash flow, strategies or prospects in a material and adverse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Release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November 15, 2021, the Company issued a press release announcing its financial condition and results of operations for the three and nine months ended September 30, 2021.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2.1</w:t>
            </w:r>
          </w:p>
        </w:tc>
        <w:tc>
          <w:tcPr>
            <w:tcW w:w="100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Agreement and Plan of Merger dated November 12, 2021 (incorporated by reference to Exhibit 2.2 of the Company’s registration statement</w:t>
              </w:r>
            </w:hyperlink>
          </w:p>
        </w:tc>
        <w:tc>
          <w:tcPr>
            <w:tcW w:w="160" w:type="dxa"/>
            <w:vAlign w:val="bottom"/>
            <w:tcBorders>
              <w:bottom w:val="single" w:sz="8" w:color="CCEEFF"/>
            </w:tcBorders>
            <w:shd w:val="clear" w:color="auto" w:fill="CCEEFF"/>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10220" w:type="dxa"/>
            <w:vAlign w:val="bottom"/>
            <w:gridSpan w:val="8"/>
            <w:shd w:val="clear" w:color="auto" w:fill="CCEEFF"/>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on Form S-4 filed November 12,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220" w:type="dxa"/>
            <w:vAlign w:val="bottom"/>
            <w:gridSpan w:val="8"/>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Chief Executive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220" w:type="dxa"/>
            <w:vAlign w:val="bottom"/>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Chief Financial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220" w:type="dxa"/>
            <w:vAlign w:val="bottom"/>
            <w:gridSpan w:val="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Chief Executive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220" w:type="dxa"/>
            <w:vAlign w:val="bottom"/>
            <w:gridSpan w:val="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Chief Financial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220" w:type="dxa"/>
            <w:vAlign w:val="bottom"/>
            <w:gridSpan w:val="8"/>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Press release dated November 15,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5540" w:right="3660" w:hanging="5532"/>
        <w:spacing w:after="0" w:line="778" w:lineRule="auto"/>
        <w:tabs>
          <w:tab w:leader="none" w:pos="102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3" w:name="page34"/>
    <w:bookmarkEnd w:id="33"/>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10-Q for the three and nine months ended September 30, 2021,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4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332"/>
        <w:spacing w:after="0" w:line="277" w:lineRule="auto"/>
        <w:tabs>
          <w:tab w:leader="none" w:pos="5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4" w:name="page35"/>
    <w:bookmarkEnd w:id="34"/>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520" w:hanging="18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10-Q for the three and nine months ended September 30, 2021,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4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332"/>
        <w:spacing w:after="0" w:line="277" w:lineRule="auto"/>
        <w:tabs>
          <w:tab w:leader="none" w:pos="5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10-Q for the three and nine months ended September 30, 2021,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10-Q for the three and nine months ended September 30, 2021,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Creative Realities Reports Third Quarter 2021 Results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Comments on anticipated merger with Reflect Systems, Inc.</w:t>
      </w:r>
    </w:p>
    <w:p>
      <w:pPr>
        <w:spacing w:after="0" w:line="205" w:lineRule="exact"/>
        <w:rPr>
          <w:sz w:val="20"/>
          <w:szCs w:val="20"/>
          <w:color w:val="auto"/>
        </w:rPr>
      </w:pPr>
    </w:p>
    <w:p>
      <w:pPr>
        <w:ind w:right="300"/>
        <w:spacing w:after="0" w:line="312" w:lineRule="auto"/>
        <w:rPr>
          <w:sz w:val="20"/>
          <w:szCs w:val="20"/>
          <w:color w:val="auto"/>
        </w:rPr>
      </w:pPr>
      <w:r>
        <w:rPr>
          <w:rFonts w:ascii="Arial" w:cs="Arial" w:eastAsia="Arial" w:hAnsi="Arial"/>
          <w:sz w:val="17"/>
          <w:szCs w:val="17"/>
          <w:b w:val="1"/>
          <w:bCs w:val="1"/>
          <w:color w:val="auto"/>
        </w:rPr>
        <w:t xml:space="preserve">LOUISVILLE, KY – November 15, 2021 </w:t>
      </w:r>
      <w:r>
        <w:rPr>
          <w:rFonts w:ascii="Arial" w:cs="Arial" w:eastAsia="Arial" w:hAnsi="Arial"/>
          <w:sz w:val="17"/>
          <w:szCs w:val="17"/>
          <w:color w:val="auto"/>
        </w:rPr>
        <w:t>– Creative Realities, Inc. (“Creative Realities,” “CRI,” or the “Company”) (NASDAQ: CREX, CREXW), a</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provider of digital marketing solutions, announced its financial results for the three- and nine-months ended September 30, 2021.</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Rick Mills, Chief Executive Officer, commented “During the third quarter of 2021, we saw demand for our core digital signage offerings begin to approach pre-pandemic levels. Revenues from our core digital signage products and services increased $1.5 million, or approximately 50%, versus the same period in 2020. Throughout 2021 we have been engaged in customer conversations which were challenged by a lack of customer budget allocation for the 2021 calendar year as a reaction to the COVID-19 pandemic. As many of our current and prospective customers enter into the 2022 budget cycle, we are witnessing a significant expansion in both customer marketing and IT budgets with respect to the allocation of funds for digital transformation and signage projects. We are engaging in meaningful conversations that we believe will translate into a return to strong top-line growth beginning in the fourth quarter and continuing throughout 2022.”</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“Despite facing continued disruptions in delivering and executing sold engagements due to limited supply chain availability of semiconductor chips, which has delayed the delivery of digital displays to the Company, we have received high praise from customers and vendor partners for our consistent and transparent communications which have further built trust and engagement. While we have seen a significant increase in market activity and remain bullish on a number of opportunities as we move into 2022, we expect to experience continued disruptions and delays related to fulfilment of inventory purchases from vendors and the associated services into the first half of 2022. Despite these industry challenges, specifically the lack of availability of displays, I am proud of our ability to generate positive EBITDA for the fifth consecutive quarter.”</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“Beyond the current financial results, I could not be more excited about the opportunity to join forces with Reflect Systems, Inc., which we announced last week. Reflect has an incredible track record for growing annual recurring revenues via software subscriptions to its content management system. In addition, it brings CRI a tremendous ADTECH platform (AdLogic) which we will leverage to support the strong growth continuing in the digital-out-of-home advertising industry. The combined company becomes a key player for enterprise customers in the digital signage industry. By fully integrating our solutions and business operations, we can bring to bear the most competitive product and service offerings available for the digital signage market, including the potential for integrated programmatic advertising solutions. We expect the merger to close in the first quarter of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Third Quarter 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as compared to the same period in the prior year:</w:t>
      </w:r>
    </w:p>
    <w:p>
      <w:pPr>
        <w:spacing w:after="0" w:line="211" w:lineRule="exact"/>
        <w:rPr>
          <w:sz w:val="20"/>
          <w:szCs w:val="20"/>
          <w:color w:val="auto"/>
        </w:rPr>
      </w:pPr>
    </w:p>
    <w:p>
      <w:pPr>
        <w:ind w:left="660" w:right="1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were $4.8 million, representing a decrease of $0.4 million, or 7%, as compared to the same period in 2020 despite a reduction in revenues generated from the sale of our Safe Space Solutions products and services of $1.9 million. Revenues generated from our core digital signage products and services increased $1.5 million, or 50%, for the three months ended September 30, 2021 as compared to the same period in 2020.</w:t>
      </w:r>
    </w:p>
    <w:p>
      <w:pPr>
        <w:spacing w:after="0" w:line="186"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Hardware revenues were $2.2 million in 2021, a decrease of $0.6 million, or 21%, as compared to the prior year, driven by (1) continued supply chain disruptions related to semiconductor chips delaying the delivery of digital displays and media players to the Company, and (2) reduced revenues from the sale of our Safe Space Solutions hardware of $1.9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right="120"/>
        <w:spacing w:after="0" w:line="257" w:lineRule="auto"/>
        <w:rPr>
          <w:sz w:val="20"/>
          <w:szCs w:val="20"/>
          <w:color w:val="auto"/>
        </w:rPr>
      </w:pPr>
      <w:r>
        <w:rPr>
          <w:rFonts w:ascii="Arial" w:cs="Arial" w:eastAsia="Arial" w:hAnsi="Arial"/>
          <w:sz w:val="18"/>
          <w:szCs w:val="18"/>
          <w:color w:val="auto"/>
        </w:rPr>
        <w:t>The supply disruption for digital displays prevented the Company from delivery of hardware and execution of installation activities during the quarter. As of September 30, 2021, the Company had customer purchase orders for equipment and installation activities in excess of $1.2 million which were delayed as a result of product unavailability. The Company expects to experience continued disruptions and delays related to fulfilment of inventory purchases from vendors throughout the remainder of 2021; however, the Company currently anticipates those disruptions will be resolved in the first half of 2022.</w:t>
      </w:r>
    </w:p>
    <w:p>
      <w:pPr>
        <w:spacing w:after="0" w:line="188" w:lineRule="exact"/>
        <w:rPr>
          <w:sz w:val="20"/>
          <w:szCs w:val="20"/>
          <w:color w:val="auto"/>
        </w:rPr>
      </w:pPr>
    </w:p>
    <w:p>
      <w:pPr>
        <w:ind w:left="660" w:right="260" w:hanging="328"/>
        <w:spacing w:after="0" w:line="29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Services and other revenues were $2.5 million in 2021, an increase of $0.3 million, or 13%, as compared to 2020 driven by increases in both installation ($0.3 million) and managed services ($0.1 million) revenue. Managed services revenue, which includes both software-as-a-service (“SaaS”) and help desk technical subscription services for our traditional digital signage and Safe Space Solutions product offerings, were $1.4 million in 2021 as compared to $1.3 million in 2020 as digital signage subscription revenue began to rebuild following (1) customer reopening activities, and (2) the continued expansion in the number of devices managed by the Company generating such revenues.</w:t>
      </w:r>
    </w:p>
    <w:p>
      <w:pPr>
        <w:spacing w:after="0" w:line="161" w:lineRule="exact"/>
        <w:rPr>
          <w:rFonts w:ascii="Arial" w:cs="Arial" w:eastAsia="Arial" w:hAnsi="Arial"/>
          <w:sz w:val="16"/>
          <w:szCs w:val="16"/>
          <w:color w:val="auto"/>
        </w:rPr>
      </w:pPr>
    </w:p>
    <w:p>
      <w:pPr>
        <w:jc w:val="both"/>
        <w:ind w:left="660" w:right="1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 decreased by $0.1 million, or 4%, during the three months ended September 30, 2021 as compared to the same period in 2020 driven by a reduction in revenue but offset by an increase in gross profit margin. Gross profit margin increased to 49.4% in 2021 from 47.9% during the same period in 2020 as a result of improved mix and from increasing managed services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as compared to the same period in the prior year:</w:t>
      </w:r>
    </w:p>
    <w:p>
      <w:pPr>
        <w:spacing w:after="0" w:line="225" w:lineRule="exact"/>
        <w:rPr>
          <w:sz w:val="20"/>
          <w:szCs w:val="20"/>
          <w:color w:val="auto"/>
        </w:rPr>
      </w:pPr>
    </w:p>
    <w:p>
      <w:pPr>
        <w:ind w:left="660" w:right="4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 expenses decreased by $0.1 million, or 20%, having benefited by approximately $0.1 million in the current period from Employee Retention Credits (“ERC”) recognized during the three months ended September 30,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expenses were flat in 2021 as compared to 2020.</w:t>
      </w:r>
    </w:p>
    <w:p>
      <w:pPr>
        <w:spacing w:after="0" w:line="252"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and administrative expenses were flat in 2021 as compared to 2020. General and administrative expenses included a benefit of $0.2 million in the three months ended September 30, 2021, which was offset by an increase of $0.1 million in non-cash stock compensation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loss, and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as compared to the same period in the prior year:</w:t>
      </w:r>
    </w:p>
    <w:p>
      <w:pPr>
        <w:spacing w:after="0" w:line="225" w:lineRule="exact"/>
        <w:rPr>
          <w:sz w:val="20"/>
          <w:szCs w:val="20"/>
          <w:color w:val="auto"/>
        </w:rPr>
      </w:pPr>
    </w:p>
    <w:p>
      <w:pPr>
        <w:ind w:left="660" w:hanging="328"/>
        <w:spacing w:after="0" w:line="31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loss was $0.4 million in both 2021 and 2020, reducing by approximately 4% in 2021 and compared to 2020, which included a benefit of a $0.4 million of employee retention credit (described below) recorded in the three months ended September 30, 2021, partially offset by an increase of $0.1 million in non-cash share-based compensation expenses as a result of probable vesting of performance-based option awards.</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loss was $0.3 million in 2021 as compared to net loss of $0.6 million in 2020, representing a reduction in the net loss of 41%.</w:t>
      </w:r>
    </w:p>
    <w:p>
      <w:pPr>
        <w:spacing w:after="0" w:line="252"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was $0.5 million in 2021 as compared to EBITDA of $0.3 million in 2020. Adjusted EBITDA was $0.3 million in 2021, compared to an Adjusted EBITDA of $.02 million in 2020. See below for a description of these non-GAAP financial measures and reconciliation to our net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material transactions during the three months ended June 30, 2021:</w:t>
      </w:r>
    </w:p>
    <w:p>
      <w:pPr>
        <w:spacing w:after="0" w:line="225" w:lineRule="exact"/>
        <w:rPr>
          <w:sz w:val="20"/>
          <w:szCs w:val="20"/>
          <w:color w:val="auto"/>
        </w:rPr>
      </w:pPr>
    </w:p>
    <w:p>
      <w:pPr>
        <w:ind w:left="66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Employee Retention Credits</w:t>
      </w:r>
      <w:r>
        <w:rPr>
          <w:rFonts w:ascii="Arial" w:cs="Arial" w:eastAsia="Arial" w:hAnsi="Arial"/>
          <w:sz w:val="18"/>
          <w:szCs w:val="18"/>
          <w:color w:val="auto"/>
        </w:rPr>
        <w:t>: The CARES Act provided an employee retention credit (“ERC”) that is a refundable tax credit against certain employer taxes. The Company qualified for the ERC beginning on March 13, 2020 (the earliest eligibility date) through September 30, 2021 (the most recent assessment date). During the three months ended September 30, 2021, the Company recorded an ERC totaling $0.4 million which was included as a reduction in payroll taxes within the Condensed Consolidated Statement of Operations and allocated to the financial statement caption from which the employee taxes were originally incurred.</w:t>
      </w:r>
    </w:p>
    <w:p>
      <w:pPr>
        <w:spacing w:after="0" w:line="18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Settlement of Obligations</w:t>
      </w:r>
      <w:r>
        <w:rPr>
          <w:rFonts w:ascii="Arial" w:cs="Arial" w:eastAsia="Arial" w:hAnsi="Arial"/>
          <w:sz w:val="18"/>
          <w:szCs w:val="18"/>
          <w:color w:val="auto"/>
        </w:rPr>
        <w:t>: In September 2021 the statute of limitations expired with respect to the possibility of a claim against the Company related to abandonment of a legacy lease in 2015. The Company recorded a gain on settlement of obligations of approximately $0.3 million during the three months ended September 30,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will host a webinar to review the results and provide additional commentary about the Company’s recent performance, which is scheduled for Tuesday, November 16, 2021 at 9:00 am Eastern Time.</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Prior to the call, participants should register at https://bit.ly/criearnings2021Q3. Once registered, participants can use the weblink provided in the registration email to listen to and view prepared materials via live webcast. An archived edition of the conference call will also be posted on our website at www.cri.com later that same day and will remain available to interested parties via the same link for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Creative Realities helps clients use the latest omnichannel technologies to inspire better customer experiences. CRI designs, develops and deploys consumer experiences for high-end enterprise level networks, and is actively providing recurring SaaS and support services across diverse vertical markets, including but not limited to Automotive, Advertising Networks, Apparel &amp; Accessories, Convenience Stores, Foodservice/QSR, Gaming, Theater, and Stadium Venues. The Company has operations across North America with active installations in more than 10 countries. On November 12, 2021, the Company entered into a Merger Agreement with Reflect Systems, Inc. (“Reflect”) and other parties thereto, pursuant to which a wholly owned subsidiary of the Company will merge with and into Reflect, and thereafter Reflect will be a wholly-owned subsidiary of the Company (the “Merger”).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Reflect</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Reflect provides powerful, cost-effective digital signage platforms and solutions, helping organizations to create compelling experiences that engage staff and keep customers coming back for more. Reflect supplies everything brands need, including strategy, creative services, robust content management and ad trafficking systems, and media sales, all backed by the market leading ReflectView and AdLogic software platforms.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further information, please refer to Creative Realities, Inc.’s filings available online at www.sec.gov, including its Annual Report on Form 10-K filed with the Securities and Exchange Commission on March 10, 2021.</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certain statements that are deemed "forward-looking statements" under Section 27A of the Securities Act of 1933 and Section 21E of the Securities Exchange Act of 1934. This communication contains forward-looking statements relating to Creative Realities, Reflect and the proposed Merger.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Neither Creative Realities nor Reflect can assure you that the events or circumstances reflected in these statements will be achieved or will occur. You can identify forward-looking statements by the use of forward-looking terminology including “believes,” “expects,” “may,” “will,” “should,” “seeks,” “intends,” “plans,” “pro forma,” “estimates,” or “anticipates” or the negative of these words and phrases or other variations of these words and phrases or comparable terminology. All statements other than statements of historical fact are statements that could be deemed forward-looking statements. For example, forward-looking statements include any statements regarding our strategy for customer retention; growth; product development; market position; financial results; our reserves; our ability to meet Nasdaq’s continued listing standards; our ability to execute on our business plan; our ability to retain key personnel; potential litigation; supply chain shortages; and general economic and market conditions impacting demand for our products and services; the strategies, prospects, plans, expectations or objectives of management of Creative Realities and Reflect for future operations of the combined company; the risk that the conditions to the closing of the proposed Merger are not satisfied, including the failure to timely or at all obtain approval of the Creative Realities Proposals and Reflect Proposal; uncertainties as to the timing of the consummation of the proposed Merger and the ability of each of Creative Realities and Reflect to consummate the proposed Merger; risks related to Creative Realities’ ability to correctly estimate its operating expenses and expenses associated with the proposed Merger, including any debt expenses related to any debt financing obtained in advanced of the closing of the proposed Merger; Creative Realities’ ability to obtaining any financing necessary to pay the $18,666,667 cash portion of the Merger consideration and fund the $1,333,333 cash portion of the Reflect Retention Plan at the closing of the Merger, including the terms of any debt or equity financing; risks related to the changes in market price of the Creative Realities shares of common stock; competitive responses to the proposed Merger; unexpected costs, charges or expenses resulting from the proposed Merger; the effect of the COVID-19 pandemic and the steps taken by governments and customers of Creative Realities and Reflect to address the pandemic, including business closures; potential adverse reactions or changes to business relationships resulting from the announcement or completion of the proposed Merger; and legislative, regulatory, political and economic developments. The foregoing review of important factors that could cause actual events to differ from expectations should not be construed as exhaustive and should be read in conjunction with statements that are included herein and elsewhere.</w:t>
      </w:r>
    </w:p>
    <w:p>
      <w:pPr>
        <w:spacing w:after="0" w:line="3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a discussion of the factors that may cause Creative Realities’, Reflect’s and the combined company’s actual results, performance or achievements to differ materially from any future results, performance or achievements expressed or implied in such forward-looking statements, and for a discussion of risk associated with the ability of Creative Realities and Reflect to complete the proposed Merger and the effect of the proposed Merger on the business of Creative Realities, Reflect and the combined company, see “Risk Factors” set forth in the registration statement on Form S-4 with the SEC, which includes a joint proxy statement/prospectus (the “Proxy Statement”), filed with the SEC on November 12, 2021. Readers are also urged to carefully review and consider the various disclosures we make in amendments to the Proxy Statement filed with the SEC and that we will mail to our shareholders. In addition, additional factors that could cause actual results to differ materially from those expressed in the forward-looking statements are discussed in reports filed with the SEC by Creative Realities. There can be no assurance that the proposed Merger will be completed, or if it is completed, that it will be consummated within the anticipated time period or that the expected benefits of the proposed Merger will be realized.</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any of these risks or uncertainties materialize or any of these assumptions prove incorrect, the results of Creative Realities, Reflect or the combined company could differ materially from the forward-looking statements. All forward-looking statements in this communication are current only as of the date on which the statements were made. Neither Creative Realities nor Reflect undertake any obligation (and expressly disclaim any such obligation to) to publicly update any forward-looking statement to reflect events or circumstances after the date on which any statement is made or to reflect the occurrence of unanticipated events.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Important Additional Information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12, 2021, Creative Realities filed a registration statement on Form S-4 with the SEC, which includes a joint proxy statement/prospectus (the “Proxy Statement”), and intends to mail to its shareholders the definitive Proxy Statement in connection with the proposed Merger. The Proxy Statement contain important information about Creative Realities, Reflect, the proposed Merger and the Merger Agreement, the Creative Realities Proposals and the Reflect Proposal. Investors and security holders are urged to read the Proxy Statement carefully before making any voting or investment decision with respect to the proposed Merger or proposals therein.</w:t>
      </w:r>
    </w:p>
    <w:p>
      <w:pPr>
        <w:spacing w:after="0" w:line="18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Investors and security holders will be able to obtain free copies of the Proxy Statement and other documents filed by Creative Realities with the SEC through the website maintained by the SEC at www.sec.gov. In addition, investors and security holders will be able to obtain free copies of the Proxy Statement from Creative Realities by contacting Creative Realities’ investor relations at (502) 791-8800.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Creative Realities and its directors and executive officers may be deemed to be participants in the solicitation of proxies with respect to the Creative Realities Proposals. Information regarding the directors and executive officers of Creative Realities and their ownership of shares of Creative Realities common stock is contained in the Proxy Statement, the preliminary form of which was filed with the SEC on November 12, 2021, and is supplemented by other public filings made, and to be made, with the SEC. Creative Realities’ directors and executive officers beneficially own approximately 10.25% of Creative Realities’ common stock. A more complete description is set forth in the Proxy Statement. Investors and security holders may obtain additional information regarding the direct and indirect interests of Creative Realities and its directors and executive officers with respect to the proposed Merger by reading the Proxy Statement and other filings referred to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ir@cri.com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https://investors.cri.com/</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22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upperLetter"/>
      <w:start w:val="2"/>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Roman"/>
      <w:start w:val="2"/>
    </w:lvl>
  </w:abstractNum>
  <w:abstractNum w:abstractNumId="8">
    <w:nsid w:val="4E6AFB66"/>
    <w:multiLevelType w:val="hybridMultilevel"/>
    <w:lvl w:ilvl="0">
      <w:lvlJc w:val="left"/>
      <w:lvlText w:val="%1"/>
      <w:numFmt w:val="decimal"/>
      <w:start w:val="104"/>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5"/>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47" Type="http://schemas.openxmlformats.org/officeDocument/2006/relationships/hyperlink" Target="http://www.sec.gov/Archives/edgar/data/1356093/000121390021058796/ea149949ex2-2_creativere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2021-11-15T16:45:38Z</dcterms:created>
  <dcterms:modified xsi:type="dcterms:W3CDTF">2021-11-15T16:45:38Z</dcterms:modified>
</cp:coreProperties>
</file>