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420" w:right="940" w:hanging="2479"/>
        <w:spacing w:after="0" w:line="503" w:lineRule="auto"/>
        <w:tabs>
          <w:tab w:leader="none" w:pos="114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 to ___________</w:t>
      </w:r>
    </w:p>
    <w:p>
      <w:pPr>
        <w:ind w:left="43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154305</wp:posOffset>
            </wp:positionV>
            <wp:extent cx="246888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60" w:type="dxa"/>
            <w:vAlign w:val="bottom"/>
            <w:gridSpan w:val="5"/>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rPr>
              <w:t>Minnesota</w:t>
            </w:r>
          </w:p>
        </w:tc>
        <w:tc>
          <w:tcPr>
            <w:tcW w:w="35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41-1967918</w:t>
            </w:r>
          </w:p>
        </w:tc>
      </w:tr>
      <w:tr>
        <w:trPr>
          <w:trHeight w:val="191"/>
        </w:trPr>
        <w:tc>
          <w:tcPr>
            <w:tcW w:w="55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jc w:val="center"/>
              <w:ind w:right="183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60" w:type="dxa"/>
            <w:vAlign w:val="bottom"/>
            <w:gridSpan w:val="5"/>
          </w:tcPr>
          <w:p>
            <w:pPr>
              <w:jc w:val="center"/>
              <w:ind w:right="21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660" w:type="dxa"/>
            <w:vAlign w:val="bottom"/>
            <w:gridSpan w:val="5"/>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13100 Magisterial Drive, Suite 201, Louisville KY</w:t>
            </w:r>
          </w:p>
        </w:tc>
        <w:tc>
          <w:tcPr>
            <w:tcW w:w="35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40223</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(502) 791-8800</w:t>
            </w:r>
          </w:p>
        </w:tc>
        <w:tc>
          <w:tcPr>
            <w:tcW w:w="14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7"/>
        </w:trPr>
        <w:tc>
          <w:tcPr>
            <w:tcW w:w="7660" w:type="dxa"/>
            <w:vAlign w:val="bottom"/>
            <w:gridSpan w:val="5"/>
          </w:tcPr>
          <w:p>
            <w:pPr>
              <w:jc w:val="center"/>
              <w:ind w:left="3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80" w:type="dxa"/>
            <w:vAlign w:val="bottom"/>
          </w:tcPr>
          <w:p>
            <w:pPr>
              <w:spacing w:after="0"/>
              <w:rPr>
                <w:sz w:val="20"/>
                <w:szCs w:val="20"/>
                <w:color w:val="auto"/>
              </w:rPr>
            </w:pPr>
          </w:p>
        </w:tc>
      </w:tr>
    </w:tbl>
    <w:p>
      <w:pPr>
        <w:spacing w:after="0" w:line="19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0"/>
                <w:szCs w:val="20"/>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CREX</w:t>
            </w:r>
          </w:p>
        </w:tc>
        <w:tc>
          <w:tcPr>
            <w:tcW w:w="10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88"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w:t>
      </w:r>
    </w:p>
    <w:p>
      <w:pPr>
        <w:spacing w:after="0" w:line="27" w:lineRule="exact"/>
        <w:rPr>
          <w:sz w:val="24"/>
          <w:szCs w:val="24"/>
          <w:color w:val="auto"/>
        </w:rPr>
      </w:pPr>
    </w:p>
    <w:p>
      <w:pPr>
        <w:ind w:right="20"/>
        <w:spacing w:after="0" w:line="230" w:lineRule="exact"/>
        <w:rPr>
          <w:sz w:val="20"/>
          <w:szCs w:val="20"/>
          <w:color w:val="auto"/>
        </w:rPr>
      </w:pPr>
      <w:r>
        <w:rPr>
          <w:rFonts w:ascii="Times New Roman" w:cs="Times New Roman" w:eastAsia="Times New Roman" w:hAnsi="Times New Roman"/>
          <w:sz w:val="18"/>
          <w:szCs w:val="18"/>
          <w:color w:val="auto"/>
        </w:rPr>
        <w:t xml:space="preserve">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 w:name="page2"/>
    <w:bookmarkEnd w:id="1"/>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80" w:right="339" w:bottom="1440" w:gutter="0" w:footer="0" w:header="0"/>
        </w:sectPr>
      </w:pPr>
    </w:p>
    <w:p>
      <w:pPr>
        <w:spacing w:after="0" w:line="135" w:lineRule="exact"/>
        <w:rPr>
          <w:sz w:val="20"/>
          <w:szCs w:val="20"/>
          <w:color w:val="auto"/>
        </w:rPr>
      </w:pPr>
    </w:p>
    <w:p>
      <w:pPr>
        <w:ind w:left="7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0"/>
          <w:szCs w:val="20"/>
          <w:color w:val="auto"/>
        </w:rPr>
      </w:pPr>
    </w:p>
    <w:p>
      <w:pPr>
        <w:ind w:left="7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5140" w:space="720"/>
            <w:col w:w="5380"/>
          </w:cols>
          <w:pgMar w:left="320" w:top="580" w:right="339" w:bottom="1440" w:gutter="0" w:footer="0" w:header="0"/>
          <w:type w:val="continuous"/>
        </w:sectPr>
      </w:pPr>
    </w:p>
    <w:p>
      <w:pPr>
        <w:spacing w:after="0" w:line="17" w:lineRule="exact"/>
        <w:rPr>
          <w:sz w:val="20"/>
          <w:szCs w:val="20"/>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6"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May 13, 2026, the registrant had 10,567,268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84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40" w:type="dxa"/>
            <w:vAlign w:val="bottom"/>
          </w:tcPr>
          <w:p>
            <w:pPr>
              <w:spacing w:after="0"/>
              <w:rPr>
                <w:sz w:val="24"/>
                <w:szCs w:val="24"/>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10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INFORMATION</w:t>
            </w: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Item 1. Financial Statements</w:t>
            </w: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Condensed Consolidated Balance Sheets as of March 31, 2026 (unaudited) and December 31, 2025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Unaudited Condensed Consolidated Statements of Operations for the Three Months Ended March 31, 2026 and 2025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Unaudited Condensed Consolidated Statements of Comprehensive (Loss) Income for the Three Months Ended March 31, 2026 and 2025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Unaudited Condensed Consolidated Statements of Changes in Stockholders’ Equity for the Three Months Ended March 31, 2026 and 2025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 for the Three Months Ended March 31, 2026 and 2025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Item 4. Controls and Procedures</w:t>
            </w: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Item 1. Legal Proceedings</w:t>
            </w: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Item 1A. Risk Factors</w:t>
            </w: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Item 3. Defaults Upon Senior Securities</w:t>
            </w: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Item 5. Other Information</w:t>
            </w: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Item 6. Exhibits</w:t>
            </w: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10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8"/>
              </w:rPr>
              <w:t xml:space="preserve">PART I </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 xml:space="preserve"> FINANCIAL INFORMATION</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1,559</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19,219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7,420</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3,199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5,347</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2,937</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52,153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53,266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35,906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22,658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2,117</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TEMPORARY EQUITY,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10,876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16,673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3,837</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1,823</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finance leases</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3,799</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4,430</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39,273</w:t>
            </w:r>
          </w:p>
        </w:tc>
        <w:tc>
          <w:tcPr>
            <w:tcW w:w="100" w:type="dxa"/>
            <w:vAlign w:val="bottom"/>
            <w:gridSpan w:val="2"/>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debt, net of deferred financing costs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33,501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34,583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14,785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17,844</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3,541</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Redeemable Convertible Preferred stock, $1,000 stated value, 50,000 shares authorized; 30</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as of March 31, 2026 and December 31, 2025</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Liquidation preference of $30,623 and $30,232 as of March 31, 2026 and December 31 2025,</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28,079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66,666 shares authorized; 10,567 and 10,519 shares issued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w:t>
            </w: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85,033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85,300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(72,591)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(65,130)</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Temporary Equity, and Shareholders'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138,247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240" w:type="dxa"/>
            <w:vAlign w:val="bottom"/>
            <w:gridSpan w:val="7"/>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51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37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4,557</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3,394</w:t>
            </w:r>
          </w:p>
        </w:tc>
      </w:tr>
      <w:tr>
        <w:trPr>
          <w:trHeight w:val="23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2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11,791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6,340</w:t>
            </w:r>
          </w:p>
        </w:tc>
      </w:tr>
      <w:tr>
        <w:trPr>
          <w:trHeight w:val="209"/>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8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3,919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2,304</w:t>
            </w:r>
          </w:p>
        </w:tc>
      </w:tr>
      <w:tr>
        <w:trPr>
          <w:trHeight w:val="23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2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6,833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2,977</w:t>
            </w:r>
          </w:p>
        </w:tc>
      </w:tr>
      <w:tr>
        <w:trPr>
          <w:trHeight w:val="209"/>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28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Borders>
              <w:bottom w:val="single" w:sz="8" w:color="CCEEFF"/>
            </w:tcBorders>
          </w:tcPr>
          <w:p>
            <w:pPr>
              <w:spacing w:after="0"/>
              <w:rPr>
                <w:sz w:val="18"/>
                <w:szCs w:val="18"/>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2,897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1,247</w:t>
            </w:r>
          </w:p>
        </w:tc>
      </w:tr>
      <w:tr>
        <w:trPr>
          <w:trHeight w:val="23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8,905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3,928</w:t>
            </w:r>
          </w:p>
        </w:tc>
      </w:tr>
      <w:tr>
        <w:trPr>
          <w:trHeight w:val="209"/>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tcBorders>
              <w:bottom w:val="single" w:sz="8" w:color="CCEEFF"/>
            </w:tcBorders>
          </w:tcPr>
          <w:p>
            <w:pPr>
              <w:spacing w:after="0"/>
              <w:rPr>
                <w:sz w:val="18"/>
                <w:szCs w:val="18"/>
                <w:color w:val="auto"/>
              </w:rPr>
            </w:pPr>
          </w:p>
        </w:tc>
      </w:tr>
      <w:tr>
        <w:trPr>
          <w:trHeight w:val="20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(6,206)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2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2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r>
      <w:tr>
        <w:trPr>
          <w:trHeight w:val="23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265</w:t>
            </w:r>
          </w:p>
        </w:tc>
      </w:tr>
      <w:tr>
        <w:trPr>
          <w:trHeight w:val="210"/>
        </w:trPr>
        <w:tc>
          <w:tcPr>
            <w:tcW w:w="51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other expenses (income), net</w:t>
            </w:r>
          </w:p>
        </w:tc>
        <w:tc>
          <w:tcPr>
            <w:tcW w:w="28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3,467</w:t>
            </w:r>
          </w:p>
        </w:tc>
      </w:tr>
      <w:tr>
        <w:trPr>
          <w:trHeight w:val="229"/>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0"/>
        </w:trPr>
        <w:tc>
          <w:tcPr>
            <w:tcW w:w="51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8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(7,461)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Series A Redeemable Convertible Preferred Stock dividends</w:t>
            </w:r>
          </w:p>
        </w:tc>
        <w:tc>
          <w:tcPr>
            <w:tcW w:w="2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stockholders</w:t>
            </w:r>
          </w:p>
        </w:tc>
        <w:tc>
          <w:tcPr>
            <w:tcW w:w="28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income per common share</w:t>
            </w:r>
          </w:p>
        </w:tc>
        <w:tc>
          <w:tcPr>
            <w:tcW w:w="37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5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1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8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10,552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10,447</w:t>
            </w:r>
          </w:p>
        </w:tc>
      </w:tr>
      <w:tr>
        <w:trPr>
          <w:trHeight w:val="20"/>
        </w:trPr>
        <w:tc>
          <w:tcPr>
            <w:tcW w:w="800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89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i w:val="1"/>
                <w:iCs w:val="1"/>
                <w:color w:val="auto"/>
                <w:w w:val="99"/>
              </w:rPr>
              <w:t>See accompanying Notes to Condensed Consolidated Financial Statements.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180" w:type="dxa"/>
            <w:vAlign w:val="bottom"/>
          </w:tcPr>
          <w:p>
            <w:pPr>
              <w:spacing w:after="0"/>
              <w:rPr>
                <w:sz w:val="24"/>
                <w:szCs w:val="24"/>
                <w:color w:val="auto"/>
              </w:rPr>
            </w:pPr>
          </w:p>
        </w:tc>
        <w:tc>
          <w:tcPr>
            <w:tcW w:w="282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18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27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8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80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(7,461)</w:t>
            </w:r>
          </w:p>
        </w:tc>
        <w:tc>
          <w:tcPr>
            <w:tcW w:w="1020" w:type="dxa"/>
            <w:vAlign w:val="bottom"/>
            <w:gridSpan w:val="2"/>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3,368</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(711)</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Balance at January 1, 2025 </w:t>
      </w:r>
      <w:r>
        <w:rPr>
          <w:rFonts w:ascii="Times New Roman" w:cs="Times New Roman" w:eastAsia="Times New Roman" w:hAnsi="Times New Roman"/>
          <w:sz w:val="18"/>
          <w:szCs w:val="18"/>
          <w:color w:val="auto"/>
        </w:rPr>
        <w:t>Stock-based compensation Issuance of warrants</w:t>
      </w: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700" w:type="dxa"/>
            <w:vAlign w:val="bottom"/>
            <w:gridSpan w:val="7"/>
          </w:tcPr>
          <w:p>
            <w:pPr>
              <w:ind w:lef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3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10,446,659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82,210</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ind w:right="952"/>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(56,854)</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25,460</w:t>
            </w:r>
          </w:p>
        </w:tc>
        <w:tc>
          <w:tcPr>
            <w:tcW w:w="20" w:type="dxa"/>
            <w:vAlign w:val="bottom"/>
          </w:tcPr>
          <w:p>
            <w:pPr>
              <w:spacing w:after="0"/>
              <w:rPr>
                <w:sz w:val="16"/>
                <w:szCs w:val="16"/>
                <w:color w:val="auto"/>
              </w:rPr>
            </w:pPr>
          </w:p>
        </w:tc>
      </w:tr>
      <w:tr>
        <w:trPr>
          <w:trHeight w:val="216"/>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1,040</w:t>
            </w:r>
          </w:p>
        </w:tc>
        <w:tc>
          <w:tcPr>
            <w:tcW w:w="112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1,040</w:t>
            </w:r>
          </w:p>
        </w:tc>
      </w:tr>
      <w:tr>
        <w:trPr>
          <w:trHeight w:val="234"/>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3,368</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3,368</w:t>
            </w:r>
          </w:p>
        </w:tc>
      </w:tr>
      <w:tr>
        <w:trPr>
          <w:trHeight w:val="209"/>
        </w:trPr>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10,446,659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83,252</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(53,486)</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20" w:type="dxa"/>
            <w:vAlign w:val="bottom"/>
          </w:tcPr>
          <w:p>
            <w:pPr>
              <w:spacing w:after="0"/>
              <w:rPr>
                <w:sz w:val="18"/>
                <w:szCs w:val="18"/>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-719455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-445135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-162560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720"/>
            <w:col w:w="7960"/>
          </w:cols>
          <w:pgMar w:left="320" w:top="819"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10,518,932</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85,300</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(65,130)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21,498</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Redeemable Convertible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w:t>
            </w:r>
          </w:p>
        </w:tc>
        <w:tc>
          <w:tcPr>
            <w:tcW w:w="4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48,336</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 warrants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4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(7,461)</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(7,461)</w:t>
            </w:r>
          </w:p>
        </w:tc>
      </w:tr>
      <w:tr>
        <w:trPr>
          <w:trHeight w:val="20"/>
        </w:trPr>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10,567,268</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85,033</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(72,591)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13,059</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23"/>
        </w:trPr>
        <w:tc>
          <w:tcPr>
            <w:tcW w:w="80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(7,461)</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3,893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 net of acquisitions: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4,527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826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2,108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(5,692)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(1,744)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653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40" w:type="dxa"/>
            <w:vAlign w:val="bottom"/>
          </w:tcPr>
          <w:p>
            <w:pPr>
              <w:spacing w:after="0"/>
              <w:rPr>
                <w:sz w:val="19"/>
                <w:szCs w:val="19"/>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of costs for software development</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w:t>
            </w:r>
          </w:p>
        </w:tc>
      </w:tr>
      <w:tr>
        <w:trPr>
          <w:trHeight w:val="209"/>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term debt and promissory note</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(1,097)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borrowings under revolving credit facility</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11,037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12,111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borrowings under revolving credit facility</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(6,472)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 warrants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940" w:type="dxa"/>
            <w:vAlign w:val="bottom"/>
          </w:tcPr>
          <w:p>
            <w:pPr>
              <w:spacing w:after="0"/>
              <w:rPr>
                <w:sz w:val="19"/>
                <w:szCs w:val="19"/>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8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on cash and cash equivalents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94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1,559</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ORGANIZATION AND OPERATIONS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indicates, references in these Notes to the accompanying consolidated financial statements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Creative Realities, Inc. and its subsidiaries.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Nature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Business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main operations are conducted directly through Creative Realities, Inc., and under our wholly owned subsidiaries, Cineplex Digital Media Inc., a Canadian corporation (“CDMI”), and Cineplex Digital Media U.S. Inc., a Delaware corporation (“CDMUS”).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Liquidity and Financial Condition; Going Concern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Accounting Standards Update (“ASU”) No. 2014-15, Disclosure of Uncertainties about an Entity’s Ability to Continue as a Going Concern (Subtopic 205-40) (“ASU 205-40”), the Company has evaluated whether there are certain conditions and events, considered in the aggregate, that raise substantial doubt about the Company’s ability to continue as a going concern within one year after the date that the condensed consolidated financial statements are issued.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6, 2025, the Company completed a refinancing of its senior debt facilities, and on November 7, 2025, the Company completed the acquisition of DDC Group International, Inc., and related financing arrangements. Management believes these actions are likely to significantly improve the Company’s liquidity, scale, and overall financial condition. Its ability to generate positive net income and cash flows from operations is reliant on the successful integration and operation of this newly acquired business and therefore the financial impacts of this acquisition were not fully known at the time of the Company's going concern assessment. Management believes the completion of these transactions and the planned integration and operating plan for the newly acquired business with expected realization of synergies present the opportunity to prospectively eliminate the conditions giving rise to substantial doubt regarding the Company’s ability to continue as a going concern in future periods. However, there can be no assurance that these efforts will be successful.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has an accumulated deficit of $72,591 and negative working capital of $9,528. For the three months ended March 31, 2026, the Company generated a net loss of $7,461 and used net cash in operations of $1,723. The Company remains dependent on improving cash flows from operations, securing additional sources of liquidity, or both, to fund ongoing operations to meet our financial obligations, including our debt obligations under our current Credit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for at least twelve months after the issuance date of these condensed consolidated financial statements.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the Annual Report for the year ended December 31, 2025, there have been no material changes to the Company’s significant accounting policies, except as disclosed in this note.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Basis of Presentation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(“U.S. GAAP”) for interim financial information and with the instructions to Form 10-Q and Article 8 of Regulation S-X. Accordingly, they do not include all of the information and disclosures required by U.S. GAAP for complete financial statements. In the opinion of management, such statements include all adjustments (consisting only of normal recurring items) which are considered necessary for a fair presentation of the condensed consolidated financial statements of the Company as of March 31, 2026 and for the three months then ended. The results of operations for the three months ended March 31, 2026 are not necessarily indicative of the operating results for the full year ending December 31, 2026 or any other period.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consolidated financial statements of the Company and related footnotes for the year ended December 31, 2025, included in the Company’s Annual Report on Form 10-K filed with the Securities and Exchange Commission on April 15,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Recently Issued and Adopted Accounting Pronouncements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The amendments introduce a practical expedient that permits entities to assume current conditions as of the balance sheet date do not change for the remaining life of current accounts receivable and current contract assets within the scope of ASC 606 when developing reasonable and supportable forecasts of expected credit losses, thereby removing the requirement to incorporate macroeconomic forecasts for those assets. The ASU also provides an accounting policy election to consider post-balance-sheet collection activity in estimating expected credit losses; this election is available only to entities other than public business entities and is therefore not available to the Company. The amendments are effective for annual reporting periods beginning after December 15, 2025, and interim periods within those annual periods, with early adoption permitted. The Company adopted this standard on January 1, 2026. The adoption of ASU 2025-05 did not have a material impact on its condensed consolidated financial statements and related disclosures.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2026, the FASB issued ASU 2026-01, Equity (Topic 505): Initial Measurement of Paid-in-Kind Dividends on Equity-Classified Preferred Stock. The amendments in this update require entities to initially measure paid-in-kind ("PIK") dividends on equity-classified preferred stock using the PIK dividend rate stated in the preferred stock agreement, rather than at fair value. The ASU is effective for annual periods beginning after December 15, 2026, including interim periods within those fiscal years, with early adoption permitted. The Company is currently evaluating the impact of ASU 2026-01 on its condensed consolidated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Cash Concentrations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Cash consists of cash on deposit in financial institutions in both the United States and Canada. The Company does not hold any investments that qualify as cash equivalents as of March 31, 2026 or December 31, 2025. Balances may exceed the Federal Deposit Insurance Corporation ("FDIC") limit of $250 USD in the United States and may exceed the Canada Deposit Insurance Corporation ("CDIC") limit of $100 CAD in Canada. As of March 31, 2026 and December 31, 2025, the Company did not have USD cash in excess of FDIC insurance limits. As of March 31, 2026 and December 31, 2025, the Company had CAD cash in excess of CDIC insurance limits of $1,925 and $1,037, respectively. The Company does not believe the balances present a material credit risk, as the cash is held with reputable financial institutions and the Company has never experienced any losses related to these balances, although no assurance can be provided that it will not experience any losses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 Revenue Recognition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applying the five-step model. The Company evaluates each customer contract to identify the distinct performance obligations promised therein. A performance obligation is considered distinct if the customer can benefit from the good or service on its own or together with other resources that are readily available, and if the Company's promise to transfer the good or service is separately identifiable from other promises in the contract. If an individual promised good or service is not distinct from another promised good or service, the Company combines those promised goods or services into a single combined performance obligation. The total contract transaction price is allocated to the identified distinct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 For contracts when one or more performance obligations have observable standalone selling prices, the residual approach is applied to determine the allocation for highly variable components, including SaaS and support pricing, which both vary based on engagement size.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customer and variable services being performed, the range of possible revenue amounts and the magnitude of the variable consideration to the overall arrangement. The Company receives variable consideration in very few instances. The Company generally does not accept returns or provide refunds related to its customer contracts.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528" w:gutter="0" w:footer="0" w:header="0"/>
        </w:sectPr>
      </w:pPr>
    </w:p>
    <w:bookmarkStart w:id="10" w:name="page11"/>
    <w:bookmarkEnd w:id="1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has very few contracts with material extended payment terms as payment is typically due at or shortly after the time of the sale, typically ranging between thirty and ninety days. In those instances where the Company offers material extended payment terms (most commonly in multi-year arrangements), the Company determines whether a significant financing component exists. Where the Company acts as an agent to a transaction on behalf of its customers (primarily for the sale of extended warranties that are performed by the equipment manufacturer), the Company recognizes revenue on a net basis.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contract liability is recognized as deferred revenue when the Company invoices customers in advance of performing the related services under the terms of a contract. Deferred revenue is recognized as revenue when or as the Company satisfies the related performance obligation.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Allowance for Credit Losses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allowance for credit losses is the Company's best estimate of the amount of expected lifetime credit losses in the Company's accounts receivable. The Company regularly reviews the adequacy of its allowance for credit losses. The Company estimates losses over the contractual life using assumptions to capture the risk of loss, even if remote, based principally on how long a receivable has been outstanding. Account balances are charged off against the allowance for credit losses after all reasonable means of collection have been exhausted and the potential for recovery is considered remote. Other factors considered include historical write-off experience, current economic conditions, customer credit, and past transaction history with the customer. The allowance for credit losses is included in accounts receivable, net in the accompanying condensed consolidated balance sheets.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the following activity for its allowance for credit losses for the three months ended March 31, 2026 and 2025:</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284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56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6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1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3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0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 Inventories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determined by the first-in, first-out (FIFO) method, and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2840" w:type="dxa"/>
            <w:vAlign w:val="bottom"/>
            <w:tcBorders>
              <w:bottom w:val="single" w:sz="8" w:color="CCEEFF"/>
            </w:tcBorders>
          </w:tcPr>
          <w:p>
            <w:pPr>
              <w:spacing w:after="0"/>
              <w:rPr>
                <w:sz w:val="20"/>
                <w:szCs w:val="20"/>
                <w:color w:val="auto"/>
              </w:rPr>
            </w:pPr>
          </w:p>
        </w:tc>
        <w:tc>
          <w:tcPr>
            <w:tcW w:w="28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3"/>
              </w:rPr>
              <w:t>4,822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2,555</w:t>
            </w:r>
          </w:p>
        </w:tc>
        <w:tc>
          <w:tcPr>
            <w:tcW w:w="160" w:type="dxa"/>
            <w:vAlign w:val="bottom"/>
          </w:tcPr>
          <w:p>
            <w:pPr>
              <w:spacing w:after="0"/>
              <w:rPr>
                <w:sz w:val="19"/>
                <w:szCs w:val="19"/>
                <w:color w:val="auto"/>
              </w:rPr>
            </w:pP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2,598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8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3"/>
              </w:rPr>
              <w:t>7,420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4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7. Basic and Diluted Net (Loss) Income per Common Share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net (loss) income per common share is calculated using the two-class method in accordance with ASC Topic 260, Earnings Per Share. The two-class method allocates net income between common stockholders and holders of participating securities. The Company’s Series A Convertible Preferred Stock are deemed to be participating securities due to their rights to participate in dividends with common stock. However, the two-class method has no impact on the calculation of net loss per common share during periods when the Company has a net loss, because the holders of participating securities are not required to absorb losses.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net (loss) income per common share is computed by dividing net (loss) income attributable to common stockholders by the weighted average number of common shares outstanding during the period. Diluted net (loss) income per common share is computed by dividing net (loss) income attributable to common stockholders by the weighted average number of common shares outstanding, plus the number of additional common shares that would have been outstanding if the potential common shares had been issued (computed using the more dilutive of the treasury stock or the if converted method, as applicable, and the two-class method).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Shares reserved for outstanding stock options, including stock options with performance restricted vesting, and warrants totaling 6,634,533 and 30,000 shares of the Series A Preferred Stock, convertible into 10,000,000 shares of common stock as of March 31, 2026 were excluded from the computation of diluted net loss per common share for the three months ended March 31, 2026 as the Company was in a net loss position and their inclusion would have been anti-dilutive. Shares reserved for outstanding stock options, including stock options with performance restricted vesting, and warrants totaling 6,913,928 at March 31, 2025 were excluded from the computation of diluted net income per common share for the three months ended March 31, 2025 as the strike price on the options and warrants were higher than the Company’s average market price of its common stock during the period and therefore anti-dilutive.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 Foreign Currency Translation</w:t>
      </w:r>
    </w:p>
    <w:p>
      <w:pPr>
        <w:spacing w:after="0" w:line="227" w:lineRule="exact"/>
        <w:rPr>
          <w:sz w:val="20"/>
          <w:szCs w:val="20"/>
          <w:color w:val="auto"/>
        </w:rPr>
      </w:pPr>
    </w:p>
    <w:p>
      <w:pPr>
        <w:jc w:val="both"/>
        <w:ind w:firstLine="810"/>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Canadian subsidiaries is the Canadian dollar. The financial statements of these subsidiaries are translated into U.S. dollars in accordance with ASC 830, Foreign Currency Matters. Assets and liabilities denominated in foreign currencies are translated into U.S. dollars at the exchange rates in effect at the balance sheet date. Revenue and expense accounts are translated at the average exchange rates during the period. The resulting translation adjustments are recorded as a component of accumulated other comprehensive income (loss) within shareholders' equity. Gains and losses arising from foreign currency transactions are included in other expense (income), net in the condensed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 Use of Estimates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the fair value of assets acquired and liabilities assumed in business combinations, including identifiable intangible assets; allowance for credit losses; valuation allowances related to deferred tax assets, including the realizability of acquired Canadian deferred tax assets; assumptions and estimates used to evaluate the recoverability of goodwill and other intangible assets and the related amortization methods and periods; the incremental borrowing rate used to measure right-of-use assets and lease liabilities; the fair value of stock-based compensation awards; and the assessment of the Company's ability to continue as a going concern, including projected cash flows and available liquidity. Actual results could differ from those estimates.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 Reclassifications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Certain prior year amounts in the condensed consolidated financial statements and accompanying notes have been reclassified to conform to the current year presentation. These reclassifications had </w:t>
      </w:r>
      <w:r>
        <w:rPr>
          <w:rFonts w:ascii="Times New Roman" w:cs="Times New Roman" w:eastAsia="Times New Roman" w:hAnsi="Times New Roman"/>
          <w:sz w:val="18"/>
          <w:szCs w:val="18"/>
          <w:i w:val="1"/>
          <w:iCs w:val="1"/>
          <w:color w:val="auto"/>
        </w:rPr>
        <w:t>no</w:t>
      </w:r>
      <w:r>
        <w:rPr>
          <w:rFonts w:ascii="Times New Roman" w:cs="Times New Roman" w:eastAsia="Times New Roman" w:hAnsi="Times New Roman"/>
          <w:sz w:val="18"/>
          <w:szCs w:val="18"/>
          <w:color w:val="auto"/>
        </w:rPr>
        <w:t xml:space="preserve"> effect on previously reported net loss, total assets, total liabilities, shareholders’ equity, or cash flows from operations. Management has evaluated these reclassifications and determined that they are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material, individually or in the aggregate, to the condensed consolidated financial statements taken as a whole.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applies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for revenue recognition. The table below disaggregates the Company’s revenue by major source as follows:</w:t>
      </w:r>
    </w:p>
    <w:p>
      <w:pPr>
        <w:spacing w:after="0" w:line="156"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694"/>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Recognition Policy:</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4,557</w:t>
            </w:r>
          </w:p>
        </w:tc>
        <w:tc>
          <w:tcPr>
            <w:tcW w:w="108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3,394</w:t>
            </w: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Managed Services</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5,106</w:t>
            </w: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4,247</w:t>
            </w: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Media Advertising</w:t>
            </w:r>
          </w:p>
        </w:tc>
        <w:tc>
          <w:tcPr>
            <w:tcW w:w="9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3,017</w:t>
            </w:r>
          </w:p>
        </w:tc>
        <w:tc>
          <w:tcPr>
            <w:tcW w:w="10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Over time</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Installation Services</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2,319</w:t>
            </w: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1,595</w:t>
            </w: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Services</w:t>
            </w:r>
          </w:p>
        </w:tc>
        <w:tc>
          <w:tcPr>
            <w:tcW w:w="9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1,349</w:t>
            </w:r>
          </w:p>
        </w:tc>
        <w:tc>
          <w:tcPr>
            <w:tcW w:w="10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Services</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11,791</w:t>
            </w: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6,340</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Hardware and Services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16,348</w:t>
            </w:r>
          </w:p>
        </w:tc>
        <w:tc>
          <w:tcPr>
            <w:tcW w:w="108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9,734</w:t>
            </w:r>
          </w:p>
        </w:tc>
        <w:tc>
          <w:tcPr>
            <w:tcW w:w="2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activities in deferred revenue for the three months ended March 31, 2026:</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460" w:type="dxa"/>
            <w:vAlign w:val="bottom"/>
          </w:tcPr>
          <w:p>
            <w:pPr>
              <w:spacing w:after="0"/>
              <w:rPr>
                <w:sz w:val="24"/>
                <w:szCs w:val="24"/>
                <w:color w:val="auto"/>
              </w:rPr>
            </w:pPr>
          </w:p>
        </w:tc>
        <w:tc>
          <w:tcPr>
            <w:tcW w:w="73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r>
      <w:tr>
        <w:trPr>
          <w:trHeight w:val="209"/>
        </w:trPr>
        <w:tc>
          <w:tcPr>
            <w:tcW w:w="46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8,115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billed and deferred during the period</w:t>
            </w:r>
          </w:p>
        </w:tc>
        <w:tc>
          <w:tcPr>
            <w:tcW w:w="340" w:type="dxa"/>
            <w:vAlign w:val="bottom"/>
          </w:tcPr>
          <w:p>
            <w:pPr>
              <w:spacing w:after="0"/>
              <w:rPr>
                <w:sz w:val="18"/>
                <w:szCs w:val="18"/>
                <w:color w:val="auto"/>
              </w:rPr>
            </w:pPr>
          </w:p>
        </w:tc>
        <w:tc>
          <w:tcPr>
            <w:tcW w:w="120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8"/>
              </w:rPr>
              <w:t>3,911</w:t>
            </w:r>
          </w:p>
        </w:tc>
        <w:tc>
          <w:tcPr>
            <w:tcW w:w="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that was included in the beginning balance</w:t>
            </w:r>
          </w:p>
        </w:tc>
        <w:tc>
          <w:tcPr>
            <w:tcW w:w="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(1,785)</w:t>
            </w:r>
          </w:p>
        </w:tc>
      </w:tr>
      <w:tr>
        <w:trPr>
          <w:trHeight w:val="216"/>
        </w:trPr>
        <w:tc>
          <w:tcPr>
            <w:tcW w:w="46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amounts deferred during the period</w:t>
            </w:r>
          </w:p>
        </w:tc>
        <w:tc>
          <w:tcPr>
            <w:tcW w:w="340" w:type="dxa"/>
            <w:vAlign w:val="bottom"/>
          </w:tcPr>
          <w:p>
            <w:pPr>
              <w:spacing w:after="0"/>
              <w:rPr>
                <w:sz w:val="18"/>
                <w:szCs w:val="18"/>
                <w:color w:val="auto"/>
              </w:rPr>
            </w:pPr>
          </w:p>
        </w:tc>
        <w:tc>
          <w:tcPr>
            <w:tcW w:w="12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8"/>
              </w:rPr>
              <w:t>(1,598)</w:t>
            </w:r>
          </w:p>
        </w:tc>
      </w:tr>
      <w:tr>
        <w:trPr>
          <w:trHeight w:val="230"/>
        </w:trPr>
        <w:tc>
          <w:tcPr>
            <w:tcW w:w="46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on Canadian deferred revenue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CEEFF"/>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8"/>
              </w:rPr>
              <w:t>8,698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significant revenues recognized during the three months ended March 31, 2026 and 2025 from performance obligations that were satisfied (or partially satisfied) in prior periods as a result of contract price changes, changes in estimates or variable consideration true-ups.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aggregate amount of the transaction price allocated to remaining performance obligations (i.e., unsatisfied or partially unsatisfied performance obligations) was $10,362. The following table presents the expected timing of recognition of that amount:</w:t>
      </w:r>
    </w:p>
    <w:p>
      <w:pPr>
        <w:sectPr>
          <w:pgSz w:w="11900" w:h="16838" w:orient="portrait"/>
          <w:cols w:equalWidth="0" w:num="1">
            <w:col w:w="11240"/>
          </w:cols>
          <w:pgMar w:left="320" w:top="846" w:right="339" w:bottom="1440" w:gutter="0" w:footer="0" w:header="0"/>
        </w:sectPr>
      </w:pPr>
    </w:p>
    <w:p>
      <w:pPr>
        <w:spacing w:after="0" w:line="38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Recognition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19685</wp:posOffset>
            </wp:positionV>
            <wp:extent cx="570039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Within 1 year</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13335</wp:posOffset>
            </wp:positionV>
            <wp:extent cx="570039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Between 2 and 3 years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438"/>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31" w:lineRule="exact"/>
        <w:rPr>
          <w:sz w:val="20"/>
          <w:szCs w:val="20"/>
          <w:color w:val="auto"/>
        </w:rPr>
      </w:pPr>
    </w:p>
    <w:p>
      <w:pPr>
        <w:ind w:left="1118" w:hanging="1118"/>
        <w:spacing w:after="0"/>
        <w:tabs>
          <w:tab w:leader="none" w:pos="111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6,538</w:t>
      </w:r>
    </w:p>
    <w:p>
      <w:pPr>
        <w:spacing w:after="0" w:line="34" w:lineRule="exact"/>
        <w:rPr>
          <w:rFonts w:ascii="Times New Roman" w:cs="Times New Roman" w:eastAsia="Times New Roman" w:hAnsi="Times New Roman"/>
          <w:sz w:val="17"/>
          <w:szCs w:val="17"/>
          <w:color w:val="auto"/>
        </w:rPr>
      </w:pPr>
    </w:p>
    <w:p>
      <w:pPr>
        <w:ind w:left="111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3,714</w:t>
      </w:r>
    </w:p>
    <w:p>
      <w:pPr>
        <w:spacing w:after="0" w:line="20" w:lineRule="exact"/>
        <w:rPr>
          <w:rFonts w:ascii="Times New Roman" w:cs="Times New Roman" w:eastAsia="Times New Roman" w:hAnsi="Times New Roman"/>
          <w:sz w:val="17"/>
          <w:szCs w:val="17"/>
          <w:color w:val="auto"/>
        </w:rPr>
      </w:pPr>
    </w:p>
    <w:p>
      <w:pPr>
        <w:ind w:left="125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9683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 w:lineRule="exact"/>
        <w:rPr>
          <w:sz w:val="20"/>
          <w:szCs w:val="20"/>
          <w:color w:val="auto"/>
        </w:rPr>
      </w:pPr>
    </w:p>
    <w:p>
      <w:pPr>
        <w:ind w:left="1038" w:hanging="1038"/>
        <w:spacing w:after="0"/>
        <w:tabs>
          <w:tab w:leader="none" w:pos="103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9683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41910</wp:posOffset>
            </wp:positionV>
            <wp:extent cx="9683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82" w:space="720"/>
            <w:col w:w="2738"/>
          </w:cols>
          <w:pgMar w:left="320" w:top="846" w:right="339" w:bottom="1440" w:gutter="0" w:footer="0" w:header="0"/>
          <w:type w:val="continuous"/>
        </w:sectPr>
      </w:pPr>
    </w:p>
    <w:p>
      <w:pPr>
        <w:spacing w:after="0" w:line="2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remaining performance obligations in the table above primarily consist of non-cancellable multi-year SaaS and maintenance agreements, under which the Company recognizes SaaS and maintenance revenue ratably over the contract term. The Company has elected the optional exemption under ASC 606-10-50-14 and does not disclose information about remaining performance obligations for contracts with an original expected duration of one year or less, which primarily consist of short-term digital media advertising contracts, month-to-month support agreements, media revenue, and transactional arrangements (e.g., hardware and installation, software design and development, content creation).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4: BUSINESS COMBINATION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7, 2025, the Company completed the acquisition of DDC Group International, Inc. (“DDC”), the parent of Cineplex Digital Media Inc. and Cineplex Digital Media U.S. Inc. (collectively, “CDM”), from Cineplex Entertainment Limited Partnership for cash consideration of approximately CAD $60,263 (approximately USD $42,761). The acquisition was accounted for as a business combination under ASC 805, with November 7, 2025 as the acquisition date. The Company’s preliminary purchase price allocation, including the related deferred tax assets and liabilities, remains subject to change during the one-year measurement period in accordance with ASC 805-10-25-13 through 25-19, which extends through November 6, 2026. The initial accounting for the CDM acquisition is incomplete as of March 31, 2026 because the Company is continuing to obtain and evaluate information about facts and circumstances that existed as of the acquisition date. The items for which the initial accounting remains incomplete include the valuation of acquired identifiable intangible assets, the assessment of acquired deferred tax assets and liabilities, the resolution of post-closing working capital adjustments, and the resulting goodwill.</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recorded measurement period adjustments to the preliminary purchase price allocation related to the acquired net deferred tax liability. At the acquisition date, certain amounts in the preliminary purchase price allocation, including the acquired net deferred tax liability, were recorded on a provisional basis pending the receipt of additional information. During the first quarter of 2026, the Company obtained additional information about facts and circumstances that existed as of the acquisition date, which resulted in a measurement period adjustment that decreased the acquired net deferred tax liability by $661, with a corresponding decrease to goodwill. After giving effect to this adjustment, the acquired net deferred tax liability and goodwill recognized in connection with the CDM acquisition were $1,554 and $25,353, respectively, as of March 31, 2026 (compared to $2,215 and $26,013, respectively, as initially reported as of the acquisition date). The following table summarizes the measurement period activity</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Purchase Price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Measurement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Purchase Price</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Allocation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Period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Allocation</w:t>
            </w:r>
          </w:p>
        </w:tc>
      </w:t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(Preliminary)</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Adjustments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(As Revised)</w:t>
            </w:r>
          </w:p>
        </w:tc>
      </w:tr>
      <w:tr>
        <w:trPr>
          <w:trHeight w:val="209"/>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 Consideration:</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83"/>
        </w:trPr>
        <w:tc>
          <w:tcPr>
            <w:tcW w:w="20" w:type="dxa"/>
            <w:vAlign w:val="bottom"/>
          </w:tcPr>
          <w:p>
            <w:pPr>
              <w:spacing w:after="0"/>
              <w:rPr>
                <w:sz w:val="24"/>
                <w:szCs w:val="24"/>
                <w:color w:val="auto"/>
              </w:rPr>
            </w:pPr>
          </w:p>
        </w:tc>
        <w:tc>
          <w:tcPr>
            <w:tcW w:w="3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Cash (net of cash acquired of $4,778)</w:t>
            </w:r>
          </w:p>
        </w:tc>
        <w:tc>
          <w:tcPr>
            <w:tcW w:w="9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37,983</w:t>
            </w:r>
          </w:p>
        </w:tc>
        <w:tc>
          <w:tcPr>
            <w:tcW w:w="120" w:type="dxa"/>
            <w:vAlign w:val="bottom"/>
          </w:tcPr>
          <w:p>
            <w:pPr>
              <w:spacing w:after="0"/>
              <w:rPr>
                <w:sz w:val="24"/>
                <w:szCs w:val="24"/>
                <w:color w:val="auto"/>
              </w:rPr>
            </w:pP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37,983</w:t>
            </w:r>
          </w:p>
        </w:tc>
        <w:tc>
          <w:tcPr>
            <w:tcW w:w="12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Less:</w:t>
            </w: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Technology platform</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Customer relationships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Non-compete covenant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Unfavorable lease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0" w:type="dxa"/>
            <w:vAlign w:val="bottom"/>
          </w:tcPr>
          <w:p>
            <w:pPr>
              <w:spacing w:after="0"/>
              <w:rPr>
                <w:sz w:val="18"/>
                <w:szCs w:val="18"/>
                <w:color w:val="auto"/>
              </w:rPr>
            </w:pPr>
          </w:p>
        </w:tc>
        <w:tc>
          <w:tcPr>
            <w:tcW w:w="3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(23,309)</w:t>
            </w:r>
          </w:p>
        </w:tc>
      </w:tr>
      <w:tr>
        <w:trPr>
          <w:trHeight w:val="216"/>
        </w:trPr>
        <w:tc>
          <w:tcPr>
            <w:tcW w:w="20" w:type="dxa"/>
            <w:vAlign w:val="bottom"/>
          </w:tcPr>
          <w:p>
            <w:pPr>
              <w:spacing w:after="0"/>
              <w:rPr>
                <w:sz w:val="18"/>
                <w:szCs w:val="18"/>
                <w:color w:val="auto"/>
              </w:rPr>
            </w:pPr>
          </w:p>
        </w:tc>
        <w:tc>
          <w:tcPr>
            <w:tcW w:w="3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tax liability</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(1,554)</w:t>
            </w:r>
          </w:p>
        </w:tc>
      </w:tr>
      <w:tr>
        <w:trPr>
          <w:trHeight w:val="230"/>
        </w:trPr>
        <w:tc>
          <w:tcPr>
            <w:tcW w:w="20" w:type="dxa"/>
            <w:vAlign w:val="bottom"/>
          </w:tcPr>
          <w:p>
            <w:pPr>
              <w:spacing w:after="0"/>
              <w:rPr>
                <w:sz w:val="19"/>
                <w:szCs w:val="19"/>
                <w:color w:val="auto"/>
              </w:rPr>
            </w:pPr>
          </w:p>
        </w:tc>
        <w:tc>
          <w:tcPr>
            <w:tcW w:w="3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Debt-free net working capital deficit</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(9,486)</w:t>
            </w: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Identified Net Assets</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Remaining Goodwill Value</w:t>
            </w:r>
          </w:p>
        </w:tc>
        <w:tc>
          <w:tcPr>
            <w:tcW w:w="9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26,013</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(661)</w:t>
            </w: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25,353</w:t>
            </w:r>
          </w:p>
        </w:tc>
        <w:tc>
          <w:tcPr>
            <w:tcW w:w="120" w:type="dxa"/>
            <w:vAlign w:val="bottom"/>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Net Assets Acquired</w:t>
            </w:r>
          </w:p>
        </w:tc>
        <w:tc>
          <w:tcPr>
            <w:tcW w:w="9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37,983</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37,983</w:t>
            </w:r>
          </w:p>
        </w:tc>
        <w:tc>
          <w:tcPr>
            <w:tcW w:w="120" w:type="dxa"/>
            <w:vAlign w:val="bottom"/>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measurement period adjustment recorded during the three months ended March 31, 2026 reflects new information obtained about facts and circumstances that existed as of the acquisition date and did not have a material impact on the Company’s results of operations in any prior period. The preliminary purchase price allocation, including the items identified above, remains subject to further adjustment during the remainder of the measurement period as additional information is obtained, and any such adjustments will be recognized in the reporting period in which they are determined.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5: SUPPLEMENTAL CASH FLOW STATEMENT INFORMATION</w:t>
            </w: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3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3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8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189"/>
        </w:trPr>
        <w:tc>
          <w:tcPr>
            <w:tcW w:w="678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10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43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Capitalized software in accounts payable</w:t>
            </w:r>
          </w:p>
        </w:tc>
        <w:tc>
          <w:tcPr>
            <w:tcW w:w="24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tcBorders>
              <w:top w:val="single" w:sz="8" w:color="CCEEFF"/>
            </w:tcBorders>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Issuance of notes payable as partial settlement of contingent consideration</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6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warrants as partial settlement of contingent consideration</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1,040</w:t>
            </w:r>
          </w:p>
        </w:tc>
      </w:tr>
      <w:tr>
        <w:trPr>
          <w:trHeight w:val="216"/>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Effect of measurement period adjustments to goodwill</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661</w:t>
            </w:r>
          </w:p>
        </w:tc>
        <w:tc>
          <w:tcPr>
            <w:tcW w:w="104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6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Supplemental disclosure information for cash flow</w:t>
            </w: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38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914</w:t>
            </w:r>
          </w:p>
        </w:tc>
        <w:tc>
          <w:tcPr>
            <w:tcW w:w="104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6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w:t>
            </w:r>
          </w:p>
        </w:tc>
        <w:tc>
          <w:tcPr>
            <w:tcW w:w="104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w:t>
            </w:r>
          </w:p>
        </w:tc>
      </w:tr>
      <w:tr>
        <w:trPr>
          <w:trHeight w:val="234"/>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PREPAID EXPENSES AND OTHER CURRENT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and December 31, 2025, prepaid expenses and other current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376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Vendor, project and hardware prepayments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receivable</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MAG reimbursement receivable</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591</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subscriptions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marketing</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other</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10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7: SERIES A REDEEMABLE CONVERTIBLE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Series A Preferred ranks senior to the Company’s common stock with respect to dividend rights and rights upon liquidation. Each share has a liquidation preference equal to $1,000 per share plus accrued and unpaid dividends. The liquidation preference of the Series A Preferred totaled $30,623 as of March 31, 2026.</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Series A Preferred bears cumulative dividends at a rate of 5.25% per annum on the stated value. Dividends accrue daily and compound quarterly beginning on November 6, 2025, and accrue for a five-year period (the “Guaranteed Term”). Dividends are not payable in cash during the Guaranteed Term, except at the Company’s option. Upon certain events occurring during the Guaranteed Term, including a liquidation, fundamental transaction (see below) or mandatory conversion, holders are entitled to a make-whole amount representing dividends that would have accrued through the end of the Guaranteed Term.</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Dividends are recorded as an increase to the carrying value of the Series A Preferred and as an adjustment to net loss attributable to common shareholders in the calculation of basic and diluted net (loss) income per common share. The Company recorded $391 in preferred dividends during the three months ended March 31, 2026. The Series A Preferred stock was issued on November 6, 2025, therefore there were no preferred dividends during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fundamental transaction includes, among other events, a merger, consolidation, sale of substantially all assets, tender offer resulting in a change of control, recapitalization or similar transaction (a “Fundamental Transaction”). Upon the occurrence of a Fundamental Transaction, holders are entitled to receive the greater of (i) the liquidation preference, including accrued dividends, or (ii) the amount they would have received on an as-converted basis.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Since the redemption of the Series A Preferred is contingently or optionally redeemable and therefore not certain to occur, the Series A Preferred is not required to be classified as a liability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the Series A Preferred is redeemable in certain circumstances at the option of the holder and is redeemable in certain circumstances upon the occurrence of an event that is not solely within the Company’s control, the Company has classified the Series A Preferred in temporary equity in the condensed consolidated balance sheets. Because redemption is contingent and not currently probable, the Company has not accreted the carrying value to the redemption amount as of March 31, 2026 and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issuance, the Company entered into a Registration Rights Agreement (the “Registration Rights Agreement”) requiring the Company to file and maintain an effective registration statement covering the resale of the shares of common stock issuable upon conversion. The Registration Rights Agreement provides for liquidated damages of up to 6% of the aggregate purchase price in the event of certain registration failures. As of March 31, 2026 and December 31, 2025, no liability has been recorded related to these provisions.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8: 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and December 31, 2025, accrued expenses and other current liabilities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use taxes payable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1,410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purchases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tcBorders>
              <w:lef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DEBT</w:t>
            </w: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6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As of March 31, 2026, and December 31, 2025 debt consisted of the following:</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4"/>
                <w:szCs w:val="24"/>
                <w:color w:val="auto"/>
              </w:rPr>
            </w:pPr>
          </w:p>
        </w:tc>
        <w:tc>
          <w:tcPr>
            <w:tcW w:w="170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304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Amended and Restated Credit</w:t>
            </w: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Revolving Credit Facility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11/6/2025</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11/6/2028</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9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4,940</w:t>
            </w:r>
          </w:p>
        </w:tc>
        <w:tc>
          <w:tcPr>
            <w:tcW w:w="11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See below</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11/6/2025</w:t>
            </w:r>
          </w:p>
        </w:tc>
        <w:tc>
          <w:tcPr>
            <w:tcW w:w="10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11/6/2028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w:t>
            </w: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35,700</w:t>
            </w:r>
          </w:p>
        </w:tc>
        <w:tc>
          <w:tcPr>
            <w:tcW w:w="112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See below</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Promissory Note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3/14/2025</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9/14/2027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3,810</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47,918</w:t>
            </w: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44,450</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debt issuance costs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497</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net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47,466</w:t>
            </w: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43,953</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 of debt, net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4,430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portion of debt, net</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43,006</w:t>
            </w:r>
          </w:p>
        </w:tc>
        <w:tc>
          <w:tcPr>
            <w:tcW w:w="900" w:type="dxa"/>
            <w:vAlign w:val="bottom"/>
            <w:tcBorders>
              <w:left w:val="single" w:sz="8" w:color="CCEEFF"/>
            </w:tcBorders>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39,523</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financing costs related to the New Revolving Credit Facility of $397 and $435 as of March 31, 2026 and December 31, 2025, respectively, are included in other non-current assets on the condensed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Credit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6, 2025 (the “Refinancing Date”), the Company and certain of its subsidiaries entered into the Amended and Restated Credit Agreement (the “Amended Credit Agreement”), with FMB acting as agent (“Agent”), and a new syndicate of lenders (“Lenders”) which included FMB and two additional creditors, Northwest Bank (“NWB”) and Axos Bank (“Axos”; together with NWB, the “New Lenders”). The Amended Credit Agreement provides the Company, CDMI and CDMUS (collectively, “Borrowers”) with two debt facilities, including a three-year term loan of $36,000 (the “Term Loan”) and a three-year revolving debt arrangement of up to $22,500 (the “New Revolving Credit Facility”). The Term Loan and New Revolving Credit Facility in the Amended Credit Agreement both have maturity dates of November 6, 2028 (the “Maturity Date”) and are secured by all the assets of the Borrowers.</w:t>
      </w:r>
    </w:p>
    <w:p>
      <w:pPr>
        <w:spacing w:after="0" w:line="18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Additionally, monthly interest payments for both facilities of the Amended Credit Agreement are due and payable on the first day of each successive calendar month following the Refinancing Date, which commenced on December 1, 2025, at a rate equal to the sums of (a) the one-month Term SOFR, (b) base rate of 0.11%; and (c) a floating margin ranging between (i) 2.75% to 3.25% for the New Revolving Credit Facility, or (ii) 3.00% to 3.50% for the Term Loan, in each case adjusted quarterly based upon the Company’s Senior Funded Debt to EBITDA Ratio (as defined in the Amended Credit Agreement). The floating margin is computed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Senior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Debt to</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w:t>
            </w:r>
          </w:p>
        </w:tc>
        <w:tc>
          <w:tcPr>
            <w:tcW w:w="160" w:type="dxa"/>
            <w:vAlign w:val="bottom"/>
          </w:tcPr>
          <w:p>
            <w:pPr>
              <w:spacing w:after="0"/>
              <w:rPr>
                <w:sz w:val="18"/>
                <w:szCs w:val="18"/>
                <w:color w:val="auto"/>
              </w:rPr>
            </w:pP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100" w:type="dxa"/>
            <w:vAlign w:val="bottom"/>
          </w:tcPr>
          <w:p>
            <w:pPr>
              <w:spacing w:after="0"/>
              <w:rPr>
                <w:sz w:val="18"/>
                <w:szCs w:val="18"/>
                <w:color w:val="auto"/>
              </w:rPr>
            </w:pPr>
          </w:p>
        </w:tc>
        <w:tc>
          <w:tcPr>
            <w:tcW w:w="13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Revolving</w:t>
            </w:r>
          </w:p>
        </w:tc>
        <w:tc>
          <w:tcPr>
            <w:tcW w:w="160" w:type="dxa"/>
            <w:vAlign w:val="bottom"/>
          </w:tcPr>
          <w:p>
            <w:pPr>
              <w:spacing w:after="0"/>
              <w:rPr>
                <w:sz w:val="18"/>
                <w:szCs w:val="18"/>
                <w:color w:val="auto"/>
              </w:rPr>
            </w:pP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Applicable</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Grid</w:t>
            </w:r>
          </w:p>
        </w:tc>
        <w:tc>
          <w:tcPr>
            <w:tcW w:w="100" w:type="dxa"/>
            <w:vAlign w:val="bottom"/>
          </w:tcPr>
          <w:p>
            <w:pPr>
              <w:spacing w:after="0"/>
              <w:rPr>
                <w:sz w:val="18"/>
                <w:szCs w:val="18"/>
                <w:color w:val="auto"/>
              </w:rPr>
            </w:pPr>
          </w:p>
        </w:tc>
        <w:tc>
          <w:tcPr>
            <w:tcW w:w="13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EBITDA</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160" w:type="dxa"/>
            <w:vAlign w:val="bottom"/>
          </w:tcPr>
          <w:p>
            <w:pPr>
              <w:spacing w:after="0"/>
              <w:rPr>
                <w:sz w:val="18"/>
                <w:szCs w:val="18"/>
                <w:color w:val="auto"/>
              </w:rPr>
            </w:pP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to the</w:t>
            </w:r>
          </w:p>
        </w:tc>
        <w:tc>
          <w:tcPr>
            <w:tcW w:w="114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Advances</w:t>
            </w:r>
          </w:p>
        </w:tc>
        <w:tc>
          <w:tcPr>
            <w:tcW w:w="16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Loan</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&lt; 2.50x</w:t>
            </w:r>
          </w:p>
        </w:tc>
        <w:tc>
          <w:tcPr>
            <w:tcW w:w="2480" w:type="dxa"/>
            <w:vAlign w:val="bottom"/>
            <w:gridSpan w:val="3"/>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2.75%</w:t>
            </w:r>
          </w:p>
        </w:tc>
        <w:tc>
          <w:tcPr>
            <w:tcW w:w="204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176"/>
        </w:trPr>
        <w:tc>
          <w:tcPr>
            <w:tcW w:w="1120" w:type="dxa"/>
            <w:vAlign w:val="bottom"/>
          </w:tcPr>
          <w:p>
            <w:pPr>
              <w:spacing w:after="0"/>
              <w:rPr>
                <w:sz w:val="15"/>
                <w:szCs w:val="15"/>
                <w:color w:val="auto"/>
              </w:rPr>
            </w:pPr>
          </w:p>
        </w:tc>
        <w:tc>
          <w:tcPr>
            <w:tcW w:w="2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&gt; 2.50x</w:t>
            </w:r>
          </w:p>
        </w:tc>
        <w:tc>
          <w:tcPr>
            <w:tcW w:w="2480" w:type="dxa"/>
            <w:vAlign w:val="bottom"/>
            <w:gridSpan w:val="3"/>
          </w:tcPr>
          <w:p>
            <w:pPr>
              <w:jc w:val="right"/>
              <w:ind w:right="570"/>
              <w:spacing w:after="0" w:line="176" w:lineRule="exact"/>
              <w:rPr>
                <w:sz w:val="20"/>
                <w:szCs w:val="20"/>
                <w:color w:val="auto"/>
              </w:rPr>
            </w:pPr>
            <w:r>
              <w:rPr>
                <w:rFonts w:ascii="Times New Roman" w:cs="Times New Roman" w:eastAsia="Times New Roman" w:hAnsi="Times New Roman"/>
                <w:sz w:val="18"/>
                <w:szCs w:val="18"/>
                <w:color w:val="auto"/>
              </w:rPr>
              <w:t>3.25%</w:t>
            </w:r>
          </w:p>
        </w:tc>
        <w:tc>
          <w:tcPr>
            <w:tcW w:w="2040" w:type="dxa"/>
            <w:vAlign w:val="bottom"/>
            <w:gridSpan w:val="2"/>
          </w:tcPr>
          <w:p>
            <w:pPr>
              <w:jc w:val="right"/>
              <w:ind w:right="570"/>
              <w:spacing w:after="0" w:line="176" w:lineRule="exact"/>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52"/>
        </w:trPr>
        <w:tc>
          <w:tcPr>
            <w:tcW w:w="1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17" w:name="page18"/>
    <w:bookmarkEnd w:id="1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16, 2026, and in conjunction with the Warrant Repurchase Agreement (see Note 12), the Company and certain of its subsidiaries entered into a First Amendment to Amended and Restated Credit Agreement (the “Amendment”) with the other loan parties signatory thereto (the “Loan Parties”), the financial institutions or other entities from time to time parties thereto (the “Lenders”), and FMB, as Agent for the Lenders. The Amendment amended the Company’s Amended Credit Agreement. Pursuant to the Amendment, the Agent and Lenders provided requisite consent to the Company for the Warrant Repurchase and the parties agreed that payment of the Warrant Repurchase price would not reduce the amount of “Excess Cash Flow” of the Company for purposes of determining certain Company prepayment obligations.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recorded amortization of debt discount on the Term Loan of $44, and amortization of deferred financing costs on the New Revolving Credit Facility of $38, in the Company's condensed consolidated statements of operations. During the three months ended March 31, 2025, the Company recorded amortization of deferred financing costs on its prior revolving credit facility of $26. As of March 31, 2026 and December 31, 2025, the Company had remaining unamortized debt discount on the Term Loan of $452 and $497, respectively, and deferred financing costs on the New Revolving Credit Facility of $397 and $435, respectively.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repaid $900 in principal related to the Term Loan. During the three months ended March 31, 2026, the Company had borrowed $11,037 and repaid $6,472, respectively, under the New Revolving Credit Facility. During the three months ended March 31, 2025, the Company had borrowed $12,111 and repaid $5,917, respectively, under the prior revolving credit facility. At March 31, 2026, the remaining available amount under the New Revolving Credit Facility was $12,995.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Promissory Note was issued on March 14, 2025 as part of the Settlement Agreement to resolve the contingent consideration liability. It is an unsecured obligation of the Company. The Promissory Note bears interest at a fixed annual rate of 14.0% (the “Interest Rate”). In the event of a default (as defined in the Promissory Note), or during any period of non-payment caused by restrictions under the Subordination Agreement (as defined below), the interest rate increases to 17.0% per annum (the “Default Rate”). Commencing October 14, 2025, the Company is required to pay principal and interest in accordance with an amortization schedule that requires equal monthly payments of $109 on the 14th day of each calendar month through maturity on September 14, 2027. On the maturity date, the Company is required to make a final balloon payment of $2,277, representing the remaining principal and accrued but unpaid interest outstanding at maturity. During the three months ended March 31, 2026, the Company made principal repayments of $197 on the Promissory Note.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Stockholders' Representative's rights under the Promissory Note are subject to a Subordination Agreement dated March 14, 2025, by and among the Company, First Merchants Bank and the Stockholders' Representative (the "Subordination Agreement"). Under the terms of the Subordination Agreement, during any period in which an event of default exists under the Amended Credit Agreement, the Company is prohibited from making any payments on the Promissory Note unless FMB provided prior written consent, and the Stockholders' Representative is prohibited from accepting or enforcing any payments during the subordination period. As of March 31, 2026, the Company is in compliance with the monthly required payments and there have been no events of default.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party to any material legal proceedings, other than ordinary routine litigation incidental to the business, and there were no other such proceedings pending during the period covered by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deferred tax assets are primarily related to net federal and state operating loss carryforwards (“NOLs”). The Company has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 The Company has performed a preliminary analysis of the annual NOL carryforwards and limitations that are available to be used against taxable income. Deferred tax assets are evaluated quarterly for recoverability based on available positive and negative evidence. Based on the history of losses the Company continues to maintain a full valuation allowance against U.S. deferred tax assets with definite lives as management determined that realization of such assets does not meet the more-likely-than-not threshold. In Canada, while CDM is in an overall net deferred tax liability position, a partial valuation allowance has been established against specific net operating loss carryforwards that are not expected to be realized due to statutory restrictions and limitations on future utilization.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interim periods, the Company has historically utilized the estimated annual effective tax rate method under which the Company determined its provision for income taxes based on the current estimate of its annual effective tax rate. For the three months ended March 31, 2026, the Company utilized the discrete effective tax rate method, as allowed under ASC Topic 740, Income Taxes—Interim Reporting, when the application of the estimated annual tax rate method is impractical and does not provide a reliable estimate of the annual effective tax rate. The discrete method treats the year-to-date period as if it were the annual period and determines the interim income taxes on that basis. The Company determined that since small changes in estimated annual pre-tax (loss) income would result in significant changes in the estimated annual effective tax rate and significant variations in the customary relationship between the benefit (expense) from income taxes and pre-tax accounting (loss) income, the historical method would not provide a reliable estimate of the effective tax rate for the three months ended March 31, 2026. The Company will reevaluate the use of this method until the Company believes a return to the estimated annual effective tax rate method is deemed appropriate.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income tax benefit (expense) of $530 and ($99), respectively. At March 31, 2026, the net deferred tax liabilities were $2,190 after valuation allowance, compared to net tax liabilities of $3,541 at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149"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12: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had outstanding warrants accounted for as equity instruments in the Company’s condensed consolidated financial statements totaling 3,633,303 shares and 5,364,802 shares at March 31, 2026 and December 31, 2025, respectively. The weighted average exercise price of the outstanding warrants was $4.02 and $4.66 at March 31, 2026 and December 31, 2025, respectively. The weighted average remaining contractual life of the outstanding warrants was 2.52 and 2.55 years at March 31, 2026 and December 31, 2025, respectively.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16, 2026, the Company entered into a Warrant Repurchase Agreement (the “Warrant Repurchase Agreement”) with Slipstream Communications, LLC (the “Warrant Holder”). Under the Warrant Repurchase Agreement, the Company agreed to repurchase from the Warrant Holder a warrant (the “Warrant”) to purchase shares of the Company’s common stock, par value $0.01 per share (the “Common Stock”), for an aggregate repurchase price of $200. There was no repurchase feature in the original warrant agreement that would have impacted the equity classification of these warrants while they were outstanding. The repurchase was negotiated between the parties in a separate transaction. The Warrant was initially issued to the Warrant Holder pursuant to a Second Amended and Restated Loan and Security Agreement, dated as of February 17, 2022, by and among the Company, the Warrant Holder and the other signatories thereto and was subsequently amended and restated twice, as of June 30, 2022 and as of October 17, 2024, respectively. As amended and restated, the Warrant was exercisable for up to an aggregate of 1,731,499 shares of Common Stock (the “Warrant Shares”) at an exercise price per Warrant Share equal to $6.00. The closing of the Warrant Repurchase was completed on February 17, 2026. Upon settlement of the transaction, the Warrant was cancelled and is of no further force or effect.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outstanding options is included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Time Vesting Options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18"/>
                <w:szCs w:val="18"/>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0"/>
        </w:trPr>
        <w:tc>
          <w:tcPr>
            <w:tcW w:w="24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Range of Exercise</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60" w:type="dxa"/>
            <w:vAlign w:val="bottom"/>
          </w:tcPr>
          <w:p>
            <w:pPr>
              <w:spacing w:after="0"/>
              <w:rPr>
                <w:sz w:val="19"/>
                <w:szCs w:val="19"/>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60" w:type="dxa"/>
            <w:vAlign w:val="bottom"/>
          </w:tcPr>
          <w:p>
            <w:pPr>
              <w:spacing w:after="0"/>
              <w:rPr>
                <w:sz w:val="19"/>
                <w:szCs w:val="19"/>
                <w:color w:val="auto"/>
              </w:rPr>
            </w:pPr>
          </w:p>
        </w:tc>
        <w:tc>
          <w:tcPr>
            <w:tcW w:w="1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38"/>
        </w:trPr>
        <w:tc>
          <w:tcPr>
            <w:tcW w:w="24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Prices between</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Life</w:t>
            </w:r>
          </w:p>
        </w:tc>
        <w:tc>
          <w:tcPr>
            <w:tcW w:w="260" w:type="dxa"/>
            <w:vAlign w:val="bottom"/>
          </w:tcPr>
          <w:p>
            <w:pPr>
              <w:spacing w:after="0"/>
              <w:rPr>
                <w:sz w:val="20"/>
                <w:szCs w:val="20"/>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7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60" w:type="dxa"/>
            <w:vAlign w:val="bottom"/>
          </w:tcPr>
          <w:p>
            <w:pPr>
              <w:spacing w:after="0"/>
              <w:rPr>
                <w:sz w:val="20"/>
                <w:szCs w:val="20"/>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0"/>
        </w:trPr>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1,014,000</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2.47</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466,671</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7.38</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466,671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Pr>
          <w:p>
            <w:pPr>
              <w:spacing w:after="0"/>
              <w:rPr>
                <w:sz w:val="18"/>
                <w:szCs w:val="18"/>
                <w:color w:val="auto"/>
              </w:rPr>
            </w:pPr>
          </w:p>
        </w:tc>
      </w:tr>
      <w:tr>
        <w:trPr>
          <w:trHeight w:val="230"/>
        </w:trPr>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8.01+</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22,225</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22.33</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22,225</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22.33</w:t>
            </w:r>
          </w:p>
        </w:tc>
        <w:tc>
          <w:tcPr>
            <w:tcW w:w="80" w:type="dxa"/>
            <w:vAlign w:val="bottom"/>
            <w:shd w:val="clear" w:color="auto" w:fill="CCEEFF"/>
          </w:tcPr>
          <w:p>
            <w:pPr>
              <w:spacing w:after="0"/>
              <w:rPr>
                <w:sz w:val="19"/>
                <w:szCs w:val="19"/>
                <w:color w:val="auto"/>
              </w:rPr>
            </w:pPr>
          </w:p>
        </w:tc>
      </w:tr>
      <w:tr>
        <w:trPr>
          <w:trHeight w:val="223"/>
        </w:trPr>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1,502,896</w:t>
            </w:r>
          </w:p>
        </w:tc>
        <w:tc>
          <w:tcPr>
            <w:tcW w:w="2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8"/>
              </w:rPr>
              <w:t>4.29</w:t>
            </w:r>
          </w:p>
        </w:tc>
        <w:tc>
          <w:tcPr>
            <w:tcW w:w="2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488,896</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Performance Vesting Options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0"/>
        </w:trPr>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00" w:type="dxa"/>
            <w:vAlign w:val="bottom"/>
          </w:tcPr>
          <w:p>
            <w:pPr>
              <w:spacing w:after="0"/>
              <w:rPr>
                <w:sz w:val="18"/>
                <w:szCs w:val="18"/>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300" w:type="dxa"/>
            <w:vAlign w:val="bottom"/>
          </w:tcPr>
          <w:p>
            <w:pPr>
              <w:spacing w:after="0"/>
              <w:rPr>
                <w:sz w:val="18"/>
                <w:szCs w:val="18"/>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60" w:type="dxa"/>
            <w:vAlign w:val="bottom"/>
          </w:tcPr>
          <w:p>
            <w:pPr>
              <w:spacing w:after="0"/>
              <w:rPr>
                <w:sz w:val="18"/>
                <w:szCs w:val="18"/>
                <w:color w:val="auto"/>
              </w:rPr>
            </w:pPr>
          </w:p>
        </w:tc>
      </w:tr>
      <w:tr>
        <w:trPr>
          <w:trHeight w:val="229"/>
        </w:trPr>
        <w:tc>
          <w:tcPr>
            <w:tcW w:w="840" w:type="dxa"/>
            <w:vAlign w:val="bottom"/>
          </w:tcPr>
          <w:p>
            <w:pPr>
              <w:spacing w:after="0"/>
              <w:rPr>
                <w:sz w:val="19"/>
                <w:szCs w:val="19"/>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300" w:type="dxa"/>
            <w:vAlign w:val="bottom"/>
          </w:tcPr>
          <w:p>
            <w:pPr>
              <w:spacing w:after="0"/>
              <w:rPr>
                <w:sz w:val="19"/>
                <w:szCs w:val="19"/>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00" w:type="dxa"/>
            <w:vAlign w:val="bottom"/>
          </w:tcPr>
          <w:p>
            <w:pPr>
              <w:spacing w:after="0"/>
              <w:rPr>
                <w:sz w:val="19"/>
                <w:szCs w:val="19"/>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860" w:type="dxa"/>
            <w:vAlign w:val="bottom"/>
          </w:tcPr>
          <w:p>
            <w:pPr>
              <w:spacing w:after="0"/>
              <w:rPr>
                <w:sz w:val="19"/>
                <w:szCs w:val="19"/>
                <w:color w:val="auto"/>
              </w:rPr>
            </w:pPr>
          </w:p>
        </w:tc>
      </w:tr>
      <w:tr>
        <w:trPr>
          <w:trHeight w:val="238"/>
        </w:trPr>
        <w:tc>
          <w:tcPr>
            <w:tcW w:w="840" w:type="dxa"/>
            <w:vAlign w:val="bottom"/>
          </w:tcPr>
          <w:p>
            <w:pPr>
              <w:spacing w:after="0"/>
              <w:rPr>
                <w:sz w:val="20"/>
                <w:szCs w:val="20"/>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Life</w:t>
            </w:r>
          </w:p>
        </w:tc>
        <w:tc>
          <w:tcPr>
            <w:tcW w:w="300" w:type="dxa"/>
            <w:vAlign w:val="bottom"/>
          </w:tcPr>
          <w:p>
            <w:pPr>
              <w:spacing w:after="0"/>
              <w:rPr>
                <w:sz w:val="20"/>
                <w:szCs w:val="20"/>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300" w:type="dxa"/>
            <w:vAlign w:val="bottom"/>
          </w:tcPr>
          <w:p>
            <w:pPr>
              <w:spacing w:after="0"/>
              <w:rPr>
                <w:sz w:val="20"/>
                <w:szCs w:val="20"/>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86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432"/>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Market Vesting Options</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0"/>
        </w:trPr>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00" w:type="dxa"/>
            <w:vAlign w:val="bottom"/>
          </w:tcPr>
          <w:p>
            <w:pPr>
              <w:spacing w:after="0"/>
              <w:rPr>
                <w:sz w:val="18"/>
                <w:szCs w:val="18"/>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300" w:type="dxa"/>
            <w:vAlign w:val="bottom"/>
          </w:tcPr>
          <w:p>
            <w:pPr>
              <w:spacing w:after="0"/>
              <w:rPr>
                <w:sz w:val="18"/>
                <w:szCs w:val="18"/>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60" w:type="dxa"/>
            <w:vAlign w:val="bottom"/>
          </w:tcPr>
          <w:p>
            <w:pPr>
              <w:spacing w:after="0"/>
              <w:rPr>
                <w:sz w:val="18"/>
                <w:szCs w:val="18"/>
                <w:color w:val="auto"/>
              </w:rPr>
            </w:pPr>
          </w:p>
        </w:tc>
      </w:tr>
      <w:tr>
        <w:trPr>
          <w:trHeight w:val="229"/>
        </w:trPr>
        <w:tc>
          <w:tcPr>
            <w:tcW w:w="840" w:type="dxa"/>
            <w:vAlign w:val="bottom"/>
          </w:tcPr>
          <w:p>
            <w:pPr>
              <w:spacing w:after="0"/>
              <w:rPr>
                <w:sz w:val="19"/>
                <w:szCs w:val="19"/>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300" w:type="dxa"/>
            <w:vAlign w:val="bottom"/>
          </w:tcPr>
          <w:p>
            <w:pPr>
              <w:spacing w:after="0"/>
              <w:rPr>
                <w:sz w:val="19"/>
                <w:szCs w:val="19"/>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00" w:type="dxa"/>
            <w:vAlign w:val="bottom"/>
          </w:tcPr>
          <w:p>
            <w:pPr>
              <w:spacing w:after="0"/>
              <w:rPr>
                <w:sz w:val="19"/>
                <w:szCs w:val="19"/>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860" w:type="dxa"/>
            <w:vAlign w:val="bottom"/>
          </w:tcPr>
          <w:p>
            <w:pPr>
              <w:spacing w:after="0"/>
              <w:rPr>
                <w:sz w:val="19"/>
                <w:szCs w:val="19"/>
                <w:color w:val="auto"/>
              </w:rPr>
            </w:pPr>
          </w:p>
        </w:tc>
      </w:tr>
      <w:tr>
        <w:trPr>
          <w:trHeight w:val="238"/>
        </w:trPr>
        <w:tc>
          <w:tcPr>
            <w:tcW w:w="840" w:type="dxa"/>
            <w:vAlign w:val="bottom"/>
          </w:tcPr>
          <w:p>
            <w:pPr>
              <w:spacing w:after="0"/>
              <w:rPr>
                <w:sz w:val="20"/>
                <w:szCs w:val="20"/>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Life</w:t>
            </w:r>
          </w:p>
        </w:tc>
        <w:tc>
          <w:tcPr>
            <w:tcW w:w="300" w:type="dxa"/>
            <w:vAlign w:val="bottom"/>
          </w:tcPr>
          <w:p>
            <w:pPr>
              <w:spacing w:after="0"/>
              <w:rPr>
                <w:sz w:val="20"/>
                <w:szCs w:val="20"/>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300" w:type="dxa"/>
            <w:vAlign w:val="bottom"/>
          </w:tcPr>
          <w:p>
            <w:pPr>
              <w:spacing w:after="0"/>
              <w:rPr>
                <w:sz w:val="20"/>
                <w:szCs w:val="20"/>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860" w:type="dxa"/>
            <w:vAlign w:val="bottom"/>
          </w:tcPr>
          <w:p>
            <w:pPr>
              <w:spacing w:after="0"/>
              <w:rPr>
                <w:sz w:val="20"/>
                <w:szCs w:val="20"/>
                <w:color w:val="auto"/>
              </w:rPr>
            </w:pPr>
          </w:p>
        </w:tc>
      </w:tr>
      <w:tr>
        <w:trPr>
          <w:trHeight w:val="209"/>
        </w:trPr>
        <w:tc>
          <w:tcPr>
            <w:tcW w:w="840" w:type="dxa"/>
            <w:vAlign w:val="bottom"/>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432"/>
        </w:trPr>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19" w:name="page20"/>
    <w:bookmarkEnd w:id="19"/>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Market Vesting Options</w:t>
            </w:r>
          </w:p>
        </w:tc>
        <w:tc>
          <w:tcPr>
            <w:tcW w:w="220" w:type="dxa"/>
            <w:vAlign w:val="bottom"/>
          </w:tcPr>
          <w:p>
            <w:pPr>
              <w:spacing w:after="0"/>
              <w:rPr>
                <w:sz w:val="20"/>
                <w:szCs w:val="20"/>
                <w:color w:val="auto"/>
              </w:rPr>
            </w:pPr>
          </w:p>
        </w:tc>
        <w:tc>
          <w:tcPr>
            <w:tcW w:w="258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i w:val="1"/>
                <w:iCs w:val="1"/>
                <w:color w:val="auto"/>
              </w:rPr>
              <w:t>Time Vesting Options</w:t>
            </w:r>
          </w:p>
        </w:tc>
        <w:tc>
          <w:tcPr>
            <w:tcW w:w="220" w:type="dxa"/>
            <w:vAlign w:val="bottom"/>
          </w:tcPr>
          <w:p>
            <w:pPr>
              <w:spacing w:after="0"/>
              <w:rPr>
                <w:sz w:val="20"/>
                <w:szCs w:val="20"/>
                <w:color w:val="auto"/>
              </w:rPr>
            </w:pPr>
          </w:p>
        </w:tc>
        <w:tc>
          <w:tcPr>
            <w:tcW w:w="26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Performance Vesting Options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2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Date/Activity</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1,566,230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(63,334)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1,502,896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contractual life for options exercisable is 5.24 years as of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Awards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recognized related to stock options and restricted stock units to employees for the three months ended March 31, 2026 and 2025 was $270 and $2, respectively, and is included in general and administrative expenses in the condensed consolidated financial statements.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there was $2,601 of total unrecognized compensation expense related to unvested share-based awards, which is expected to be recognized over a weighted average period of approximately 2.03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Awards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Compensation expense recognized for the issuance of stock options awarded to our Board of Directors for the three months ended March 31, 2026 and 2025 was $54 and $0, respectively, and was included in general and administrative expenses in the condensed consolidated financial statements. As of March 31, 2026 there was $162 unrecognized compensation expense related to share-based awards to directors, which is expected to be recognized over a weighted average period of approximately 0.75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operate in one reportable segment, marketing technology solutions. The marketing technology solutions segment generates revenue through four primary sources which includes (1) hardware sales from reselling digital signage hardware from original equipment manufacturers, (2) services from helping customers design, deploy, and manage their digital signage and ad-based networks, (3) recurring subscription licensing and support revenue from our digital signage and ad-tech software platforms, which are generally sold via a SaaS model, and (4) selling digital out-of-home (“DOOH”) advertising on infrastructure it owns or operates at retail malls, shopping centers, office buildings, and other commercial properties.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Chief Executive Officer is our chief operating decision maker (the “CODM”). Our CODM evaluates performance and makes operating decisions about allocating resources based on financial data presented on a consolidated basis, accompanied by information about revenue disaggregated by service. Our CODM uses the segment information primarily to evaluate the profitability and strategic growth potential of the segment. The reported measures of profit or loss are benchmarked against historical performance and market expectations. Based on this analysis, the CODM determines whether or not to invest in new technology or reallocate operating expenses - namely personnel. In addition, the CODM reviews supplementary metrics such as disaggregated revenue as disclosed in Note 3, Revenue Recognition, and customer growth to ensure that our strategic decisions are aligned with long-term performance goals.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measure used by our CODM to assess performance and make operating decisions is net loss as reported on our condensed consolidated statements of operations. Significant segment expenses are reported as total expenses on the condensed consolidated statements of operations. Segment assets are disclosed in the condensed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Significant Customers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had one customer that accounted for 11% of revenue for the three months ended March 31, 2026, compared to three customers that accounted for 20%, 11% and 10% of revenue for the three months ended March 31, 2025.</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had one customer that accounted for 10% of accounts receivable as of March 31, 2026 and one customer that accounted for 12% of accounts receivable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by Geographical Area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revenue recognized in the condensed consolidated statements of operations by geographical area:</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29"/>
        </w:trPr>
        <w:tc>
          <w:tcPr>
            <w:tcW w:w="5680" w:type="dxa"/>
            <w:vAlign w:val="bottom"/>
          </w:tcPr>
          <w:p>
            <w:pPr>
              <w:spacing w:after="0"/>
              <w:rPr>
                <w:sz w:val="19"/>
                <w:szCs w:val="19"/>
                <w:color w:val="auto"/>
              </w:rPr>
            </w:pPr>
          </w:p>
        </w:tc>
        <w:tc>
          <w:tcPr>
            <w:tcW w:w="27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5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6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Geographical Area:</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10,643</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9,734</w:t>
            </w:r>
          </w:p>
        </w:tc>
        <w:tc>
          <w:tcPr>
            <w:tcW w:w="60" w:type="dxa"/>
            <w:vAlign w:val="bottom"/>
          </w:tcPr>
          <w:p>
            <w:pPr>
              <w:spacing w:after="0"/>
              <w:rPr>
                <w:sz w:val="18"/>
                <w:szCs w:val="18"/>
                <w:color w:val="auto"/>
              </w:rPr>
            </w:pPr>
          </w:p>
        </w:tc>
      </w:tr>
      <w:tr>
        <w:trPr>
          <w:trHeight w:val="22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5,705</w:t>
            </w: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23"/>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1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Vendors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 vendor accounted for more than 10% of outstanding accounts payable at March 31, 2026, and three vendors accounted for 30%, 18% and 10% of outstanding accounts payable at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Lived Assets by Geographical Region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long-lived assets by geographic area, which consists of property and equipment, net and operating and finance lease right-of-use assets: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2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40" w:type="dxa"/>
            <w:vAlign w:val="bottom"/>
          </w:tcPr>
          <w:p>
            <w:pPr>
              <w:spacing w:after="0"/>
              <w:rPr>
                <w:sz w:val="19"/>
                <w:szCs w:val="19"/>
                <w:color w:val="auto"/>
              </w:rPr>
            </w:pPr>
          </w:p>
        </w:tc>
      </w:tr>
      <w:tr>
        <w:trPr>
          <w:trHeight w:val="238"/>
        </w:trPr>
        <w:tc>
          <w:tcPr>
            <w:tcW w:w="1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9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9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1,950</w:t>
            </w:r>
          </w:p>
        </w:tc>
        <w:tc>
          <w:tcPr>
            <w:tcW w:w="114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23,162</w:t>
            </w:r>
          </w:p>
        </w:tc>
        <w:tc>
          <w:tcPr>
            <w:tcW w:w="32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25,762</w:t>
            </w:r>
          </w:p>
        </w:tc>
        <w:tc>
          <w:tcPr>
            <w:tcW w:w="1140" w:type="dxa"/>
            <w:vAlign w:val="bottom"/>
          </w:tcPr>
          <w:p>
            <w:pPr>
              <w:spacing w:after="0"/>
              <w:rPr>
                <w:sz w:val="19"/>
                <w:szCs w:val="19"/>
                <w:color w:val="auto"/>
              </w:rPr>
            </w:pPr>
          </w:p>
        </w:tc>
      </w:tr>
      <w:tr>
        <w:trPr>
          <w:trHeight w:val="210"/>
        </w:trPr>
        <w:tc>
          <w:tcPr>
            <w:tcW w:w="11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1120" w:type="dxa"/>
            <w:vAlign w:val="bottom"/>
          </w:tcPr>
          <w:p>
            <w:pPr>
              <w:spacing w:after="0"/>
              <w:rPr>
                <w:sz w:val="21"/>
                <w:szCs w:val="21"/>
                <w:color w:val="auto"/>
              </w:rPr>
            </w:pPr>
          </w:p>
        </w:tc>
        <w:tc>
          <w:tcPr>
            <w:tcW w:w="30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24,987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27,712</w:t>
            </w:r>
          </w:p>
        </w:tc>
        <w:tc>
          <w:tcPr>
            <w:tcW w:w="1140" w:type="dxa"/>
            <w:vAlign w:val="bottom"/>
          </w:tcPr>
          <w:p>
            <w:pPr>
              <w:spacing w:after="0"/>
              <w:rPr>
                <w:sz w:val="21"/>
                <w:szCs w:val="21"/>
                <w:color w:val="auto"/>
              </w:rPr>
            </w:pPr>
          </w:p>
        </w:tc>
      </w:tr>
      <w:tr>
        <w:trPr>
          <w:trHeight w:val="20"/>
        </w:trPr>
        <w:tc>
          <w:tcPr>
            <w:tcW w:w="1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9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15: LEASES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lease portfolio is primarily comprised of operating leases for office space and finance leases for computer equipment and DOOH media assets from the acquisition of CDM. At the inception of an arrangement, the Company determines whether the arrangement is or contains a lease based on whether the contract conveys the right to control the use of identified property or equipment for a period of time in exchange for consideration. Leases are classified as operating or finance leases at the commencement date of the lease. Leases may include one or more options to renew. We do not assume renewals in our determination of the lease term unless the renewals are deemed to be reasonably assured at lease commencement. Our lease agreements do not contain any material residual value guarantees or material restrictive covenants.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determines the discount rate used to measure lease liabilities based on the rate implicit in the lease, if readily determinable. If the implicit rate is not available, the Company uses its incremental borrowing rate, which is determined based on the rate at which the Company could borrow on a collateralized basis over a similar term and in a similar economic environment to the lease.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 of operating and finance lease assets and liabilities in the Company's condensed consolidated balance sheet as follows:</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53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r>
      <w:tr>
        <w:trPr>
          <w:trHeight w:val="169"/>
        </w:trPr>
        <w:tc>
          <w:tcPr>
            <w:tcW w:w="6220" w:type="dxa"/>
            <w:vAlign w:val="bottom"/>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22,658</w:t>
            </w:r>
          </w:p>
        </w:tc>
      </w:tr>
      <w:tr>
        <w:trPr>
          <w:trHeight w:val="230"/>
        </w:trPr>
        <w:tc>
          <w:tcPr>
            <w:tcW w:w="6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1,980</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2,117</w:t>
            </w:r>
          </w:p>
        </w:tc>
      </w:tr>
      <w:tr>
        <w:trPr>
          <w:trHeight w:val="263"/>
        </w:trPr>
        <w:tc>
          <w:tcPr>
            <w:tcW w:w="20" w:type="dxa"/>
            <w:vAlign w:val="bottom"/>
            <w:tcBorders>
              <w:bottom w:val="single" w:sz="8" w:color="CCEEFF"/>
            </w:tcBorders>
          </w:tcPr>
          <w:p>
            <w:pPr>
              <w:spacing w:after="0"/>
              <w:rPr>
                <w:sz w:val="22"/>
                <w:szCs w:val="22"/>
                <w:color w:val="auto"/>
              </w:rPr>
            </w:pPr>
          </w:p>
        </w:tc>
        <w:tc>
          <w:tcPr>
            <w:tcW w:w="620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lease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22,405</w:t>
            </w:r>
          </w:p>
        </w:tc>
        <w:tc>
          <w:tcPr>
            <w:tcW w:w="1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80" w:type="dxa"/>
            <w:vAlign w:val="bottom"/>
            <w:tcBorders>
              <w:bottom w:val="single" w:sz="8" w:color="CCEEFF"/>
            </w:tcBorders>
          </w:tcPr>
          <w:p>
            <w:pPr>
              <w:spacing w:after="0"/>
              <w:rPr>
                <w:sz w:val="22"/>
                <w:szCs w:val="22"/>
                <w:color w:val="auto"/>
              </w:rPr>
            </w:pPr>
          </w:p>
        </w:tc>
      </w:tr>
      <w:tr>
        <w:trPr>
          <w:trHeight w:val="197"/>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622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6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20" w:type="dxa"/>
            <w:vAlign w:val="bottom"/>
            <w:shd w:val="clear" w:color="auto" w:fill="CCEEFF"/>
          </w:tcPr>
          <w:p>
            <w:pPr>
              <w:spacing w:after="0"/>
              <w:rPr>
                <w:sz w:val="18"/>
                <w:szCs w:val="18"/>
                <w:color w:val="auto"/>
              </w:rPr>
            </w:pPr>
          </w:p>
        </w:tc>
        <w:tc>
          <w:tcPr>
            <w:tcW w:w="62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1,673</w:t>
            </w:r>
          </w:p>
        </w:tc>
      </w:tr>
      <w:tr>
        <w:trPr>
          <w:trHeight w:val="216"/>
        </w:trPr>
        <w:tc>
          <w:tcPr>
            <w:tcW w:w="6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2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5,758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3,799</w:t>
            </w:r>
          </w:p>
        </w:tc>
      </w:tr>
      <w:tr>
        <w:trPr>
          <w:trHeight w:val="229"/>
        </w:trPr>
        <w:tc>
          <w:tcPr>
            <w:tcW w:w="20" w:type="dxa"/>
            <w:vAlign w:val="bottom"/>
          </w:tcPr>
          <w:p>
            <w:pPr>
              <w:spacing w:after="0"/>
              <w:rPr>
                <w:sz w:val="19"/>
                <w:szCs w:val="19"/>
                <w:color w:val="auto"/>
              </w:rPr>
            </w:pPr>
          </w:p>
        </w:tc>
        <w:tc>
          <w:tcPr>
            <w:tcW w:w="6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Non-current portion of finance lease liabilities</w:t>
            </w: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14,785</w:t>
            </w:r>
          </w:p>
        </w:tc>
        <w:tc>
          <w:tcPr>
            <w:tcW w:w="18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17,844</w:t>
            </w:r>
          </w:p>
        </w:tc>
      </w:tr>
      <w:tr>
        <w:trPr>
          <w:trHeight w:val="223"/>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56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operating and financing lease expenses in the Company's condensed consolidated statements of operations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368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2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1,885</w:t>
            </w:r>
          </w:p>
        </w:tc>
        <w:tc>
          <w:tcPr>
            <w:tcW w:w="1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444</w:t>
            </w:r>
          </w:p>
        </w:tc>
        <w:tc>
          <w:tcPr>
            <w:tcW w:w="116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25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540" w:type="dxa"/>
            <w:vAlign w:val="bottom"/>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The following table provides lease term and discount rate information related to operating and finance leases as follows:</w:t>
      </w:r>
    </w:p>
    <w:p>
      <w:pPr>
        <w:spacing w:after="0" w:line="221"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5.6%</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sets forth future minimum lease payments as follows: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4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4"/>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payments: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4"/>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Leases</w:t>
            </w:r>
          </w:p>
        </w:tc>
      </w:tr>
      <w:tr>
        <w:trPr>
          <w:trHeight w:val="209"/>
        </w:trPr>
        <w:tc>
          <w:tcPr>
            <w:tcW w:w="49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Remainder of 2026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680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8,109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8,789</w:t>
            </w:r>
          </w:p>
        </w:tc>
      </w:tr>
      <w:tr>
        <w:trPr>
          <w:trHeight w:val="216"/>
        </w:trPr>
        <w:tc>
          <w:tcPr>
            <w:tcW w:w="4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9,094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9,632</w:t>
            </w:r>
          </w:p>
        </w:tc>
      </w:tr>
      <w:tr>
        <w:trPr>
          <w:trHeight w:val="216"/>
        </w:trPr>
        <w:tc>
          <w:tcPr>
            <w:tcW w:w="4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r>
      <w:tr>
        <w:trPr>
          <w:trHeight w:val="229"/>
        </w:trPr>
        <w:tc>
          <w:tcPr>
            <w:tcW w:w="4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23,351</w:t>
            </w: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25,796</w:t>
            </w:r>
          </w:p>
        </w:tc>
        <w:tc>
          <w:tcPr>
            <w:tcW w:w="100" w:type="dxa"/>
            <w:vAlign w:val="bottom"/>
          </w:tcPr>
          <w:p>
            <w:pPr>
              <w:spacing w:after="0"/>
              <w:rPr>
                <w:sz w:val="18"/>
                <w:szCs w:val="18"/>
                <w:color w:val="auto"/>
              </w:rPr>
            </w:pPr>
          </w:p>
        </w:tc>
      </w:tr>
      <w:tr>
        <w:trPr>
          <w:trHeight w:val="22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(2,808)</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(3,138)</w:t>
            </w: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20,543</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100" w:type="dxa"/>
            <w:vAlign w:val="bottom"/>
          </w:tcPr>
          <w:p>
            <w:pPr>
              <w:spacing w:after="0"/>
              <w:rPr>
                <w:sz w:val="19"/>
                <w:szCs w:val="19"/>
                <w:color w:val="auto"/>
              </w:rPr>
            </w:pPr>
          </w:p>
        </w:tc>
      </w:tr>
      <w:tr>
        <w:trPr>
          <w:trHeight w:val="20"/>
        </w:trPr>
        <w:tc>
          <w:tcPr>
            <w:tcW w:w="5060" w:type="dxa"/>
            <w:vAlign w:val="bottom"/>
            <w:gridSpan w:val="2"/>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leases include the following:</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4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8"/>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38"/>
        </w:trPr>
        <w:tc>
          <w:tcPr>
            <w:tcW w:w="4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5"/>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5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paid for finance leases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cash flows paid for finance leases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occurring after the balance sheet date through the date the condensed consolidated financial statements were issued and has determined that there were no such events that would require recognition or disclosure in the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contains various forward-looking statements within the meaning of Section 21E of the Exchange Act. Although we believe that, in making any such statement, our expectations are based on reasonable assumptions, any such statement may be influenced by factors that could cause actual outcomes and results to be materially different from those projected. When used in the following discussion, the words “anticipates,” “believes,” “expects,” “intends,” “plans,” “estimates,” “projects,” “should,” “may,” “proposes,” and similar expressions (or the negative versions of such words or expressions), as they relate to us or our management, are intended to identify such forward-looking statements. These forward-looking statements are subject to numerous risks and uncertainties that could cause actual results to differ materially from those anticipated, and many of which are beyond our control. Factors that could cause actual results to differ materially from those anticipated are set forth under the caption “Risk Factors” in the Company’s Annual Report on Form 10-K for the year ended December 31, 2025, as filed with the Securities and Exchange Commission on April 15, 2026.</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the document in which they appear. Except to the extent required by law, we expressly disclaim any obligation to release publicly any updates or revisions to any forward-looking statements contained herein to reflect any change in our expectations with regard thereto or change in events, conditions, or circumstances on which any statement is based.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transforms environments through digital solutions by providing innovative digital signage solutions for key market segments and use cases, including:</w:t>
      </w:r>
    </w:p>
    <w:p>
      <w:pPr>
        <w:spacing w:after="0" w:line="16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Quick Service Restaurants (“QSR”)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Lottery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DOOH Advertising Networks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76"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 and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4" w:name="page25"/>
    <w:bookmarkEnd w:id="24"/>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Traffic content and advertising</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the Company assists customers to design, deploy, manage, and monetize their digital signage and in-store retail media networks. The Company sources leads and opportunities for its solutions through its digital and content marketing initiatives, close relationships with key industry partners, including equipment manufacturers and a media sales agent,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comparing us to other digital signage providers, our customers value the following competitive advantages:</w:t>
      </w:r>
    </w:p>
    <w:p>
      <w:pPr>
        <w:spacing w:after="0" w:line="221" w:lineRule="exact"/>
        <w:rPr>
          <w:sz w:val="20"/>
          <w:szCs w:val="20"/>
          <w:color w:val="auto"/>
        </w:rPr>
      </w:pPr>
    </w:p>
    <w:p>
      <w:pPr>
        <w:jc w:val="both"/>
        <w:ind w:left="980" w:hanging="324"/>
        <w:spacing w:after="0" w:line="26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Breadth of solutions </w:t>
      </w:r>
      <w:r>
        <w:rPr>
          <w:rFonts w:ascii="Times New Roman" w:cs="Times New Roman" w:eastAsia="Times New Roman" w:hAnsi="Times New Roman"/>
          <w:sz w:val="18"/>
          <w:szCs w:val="18"/>
          <w:color w:val="auto"/>
        </w:rPr>
        <w:t>– Creative Realities offers a wide breadth of solutions to our customers. Creative Realities is one of only a few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in the industry capable of providing the full portfolio of products and services required to implement and run an effective digital signage and in-store retail media networks. We leverage a ‘single vendor’ approach, providing customers with a one-stop-shop for sourcing digital signage and media solutions from design through day two services.</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Managed labor pool </w:t>
      </w:r>
      <w:r>
        <w:rPr>
          <w:rFonts w:ascii="Times New Roman" w:cs="Times New Roman" w:eastAsia="Times New Roman" w:hAnsi="Times New Roman"/>
          <w:sz w:val="18"/>
          <w:szCs w:val="18"/>
          <w:color w:val="auto"/>
        </w:rPr>
        <w:t>– Unlike most companies in our industry, we have a curated labor pool of qualified and vetted field technicians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service customers quickly nationwide. We can meet tight schedules even in exceptionally large deployments and still ensure quality and consistency.</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In-house creative resources </w:t>
      </w:r>
      <w:r>
        <w:rPr>
          <w:rFonts w:ascii="Times New Roman" w:cs="Times New Roman" w:eastAsia="Times New Roman" w:hAnsi="Times New Roman"/>
          <w:sz w:val="18"/>
          <w:szCs w:val="18"/>
          <w:color w:val="auto"/>
        </w:rPr>
        <w:t>– We assist customers in creating new content or repurposing existing content for digital signage experiences,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for which the Company has won several design awards in recent years. In each instance, our services can be essential in helping customers develop an effective content program.</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Network scalability and reliability </w:t>
      </w:r>
      <w:r>
        <w:rPr>
          <w:rFonts w:ascii="Times New Roman" w:cs="Times New Roman" w:eastAsia="Times New Roman" w:hAnsi="Times New Roman"/>
          <w:sz w:val="18"/>
          <w:szCs w:val="18"/>
          <w:color w:val="auto"/>
        </w:rPr>
        <w:t>– Our SaaS content management platforms power some of the largest and most complex digital signage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in North America, evidencing our ability to manage enterprise scale projects. This also provides us purchasing power to source products and services for our customers, enabling us to deliver cost effective, reliable and powerful solutions to small and medium size business customers.</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AdTech platforms </w:t>
      </w:r>
      <w:r>
        <w:rPr>
          <w:rFonts w:ascii="Times New Roman" w:cs="Times New Roman" w:eastAsia="Times New Roman" w:hAnsi="Times New Roman"/>
          <w:sz w:val="18"/>
          <w:szCs w:val="18"/>
          <w:color w:val="auto"/>
        </w:rPr>
        <w:t>– The Company has developed and deployed the AdLogic and CPM+ platforms, which, working in conjunction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CMS platforms, present completely integrated digital advertising solutions for existing and prospective customers seeking to monetize their in-store retail media networks. These platforms anchor the Company's vertical expansion into AdTech bringing new, and expanding existing, addressable markets.</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sector expertise </w:t>
      </w:r>
      <w:r>
        <w:rPr>
          <w:rFonts w:ascii="Times New Roman" w:cs="Times New Roman" w:eastAsia="Times New Roman" w:hAnsi="Times New Roman"/>
          <w:sz w:val="18"/>
          <w:szCs w:val="18"/>
          <w:color w:val="auto"/>
        </w:rPr>
        <w:t>– Creative Realities has in-house experts in key market segments such as retail, QSRs, convenience stores,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DOOH advertising. Our expertise in these business segments enable our teams to provide meaningful business conversations and offer tailored solutions with prospects and customers to their unique business objectives. These experts build industry relationship and create thought leadership that drives lead flow and new opportunities for our business.</w:t>
      </w:r>
    </w:p>
    <w:p>
      <w:pPr>
        <w:spacing w:after="0" w:line="176"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Logistics </w:t>
      </w:r>
      <w:r>
        <w:rPr>
          <w:rFonts w:ascii="Times New Roman" w:cs="Times New Roman" w:eastAsia="Times New Roman" w:hAnsi="Times New Roman"/>
          <w:sz w:val="18"/>
          <w:szCs w:val="18"/>
          <w:color w:val="auto"/>
        </w:rPr>
        <w:t>– Implementing a large digital signage project can be a logistical nightmare that can stall an initiative, even before deployment.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logistics improves deployment efficiency, reduces delays and problems, and saves customers time and money.</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support </w:t>
      </w:r>
      <w:r>
        <w:rPr>
          <w:rFonts w:ascii="Times New Roman" w:cs="Times New Roman" w:eastAsia="Times New Roman" w:hAnsi="Times New Roman"/>
          <w:sz w:val="18"/>
          <w:szCs w:val="18"/>
          <w:color w:val="auto"/>
        </w:rPr>
        <w:t>– Digital signage networks present unique challenges for corporate IT departments. We simplify and improve end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by leveraging our own network operations center (“NOC”) in Louisville, Kentucky. The NOC resolves many issues remotely and when field support is required, it can be dispatched quickly from the NOC, leveraging our managed labor pool to resolve customer issues quickly and effectively.</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Integrations and Application Development </w:t>
      </w:r>
      <w:r>
        <w:rPr>
          <w:rFonts w:ascii="Times New Roman" w:cs="Times New Roman" w:eastAsia="Times New Roman" w:hAnsi="Times New Roman"/>
          <w:sz w:val="18"/>
          <w:szCs w:val="18"/>
          <w:color w:val="auto"/>
        </w:rPr>
        <w:t>– The future of digital signage is not still images and videos on a screen. We believe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interactive applications and integrations with other data sources will dominate the future. From social media feeds, mobile integrations, corporate data stores, or POS systems, our proven ability to build scalable applications and integrations is a key advantage that customers can leverage to deliver more compelling and engaging experiences for their customers.</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support </w:t>
      </w:r>
      <w:r>
        <w:rPr>
          <w:rFonts w:ascii="Times New Roman" w:cs="Times New Roman" w:eastAsia="Times New Roman" w:hAnsi="Times New Roman"/>
          <w:sz w:val="18"/>
          <w:szCs w:val="18"/>
          <w:color w:val="auto"/>
        </w:rPr>
        <w:t>– A number of digital signage providers sell a proprietary media player or align themselves with just one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We utilize a range of media players including Windows, Android and BrightSign to provide customers the flexibility they need to select the appropriate hardware for any application knowing the entire network can still be served by a single digital signage platform, reducing complexity and improving the productivity of our customers.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Media Network </w:t>
      </w:r>
      <w:r>
        <w:rPr>
          <w:rFonts w:ascii="Times New Roman" w:cs="Times New Roman" w:eastAsia="Times New Roman" w:hAnsi="Times New Roman"/>
          <w:sz w:val="18"/>
          <w:szCs w:val="18"/>
          <w:color w:val="auto"/>
        </w:rPr>
        <w:t>– The Company owns and operates the largest mall shopping network in Canada.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four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 from reselling digital signage hardware from original equipment manufacturers such as Samsung and BrightSign.</w:t>
      </w:r>
    </w:p>
    <w:p>
      <w:pPr>
        <w:spacing w:after="0" w:line="252" w:lineRule="exact"/>
        <w:rPr>
          <w:rFonts w:ascii="Times New Roman" w:cs="Times New Roman" w:eastAsia="Times New Roman" w:hAnsi="Times New Roman"/>
          <w:sz w:val="18"/>
          <w:szCs w:val="18"/>
          <w:color w:val="auto"/>
        </w:rPr>
      </w:pPr>
    </w:p>
    <w:p>
      <w:pPr>
        <w:ind w:left="980" w:right="480" w:hanging="324"/>
        <w:spacing w:after="0" w:line="53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from helping customers design, deploy and manage their digital signage and in-store retail media networks, including: o Hardware system design/engineering</w:t>
      </w:r>
    </w:p>
    <w:p>
      <w:pPr>
        <w:jc w:val="both"/>
        <w:ind w:left="980" w:right="83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Hardware installation o Content development o Content scheduling</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Post-deployment network and field support</w:t>
      </w:r>
    </w:p>
    <w:p>
      <w:pPr>
        <w:spacing w:after="0" w:line="252"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AdTech to traffic advertising and content directly and through programmatic channels</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subscription licensing and support revenue from our digital signage software platforms, which are generally sold via a SaaS model. Our platforms:</w:t>
      </w:r>
    </w:p>
    <w:p>
      <w:pPr>
        <w:spacing w:after="0" w:line="15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ReflectView</w:t>
      </w:r>
      <w:r>
        <w:rPr>
          <w:rFonts w:ascii="Times New Roman" w:cs="Times New Roman" w:eastAsia="Times New Roman" w:hAnsi="Times New Roman"/>
          <w:sz w:val="18"/>
          <w:szCs w:val="18"/>
          <w:color w:val="auto"/>
        </w:rPr>
        <w:t>, the Company’s core digital signage platform for most applications, scalable and cost effective from 10 to 100,000+ devices;</w:t>
      </w:r>
    </w:p>
    <w:p>
      <w:pPr>
        <w:spacing w:after="0" w:line="252"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Xperience</w:t>
      </w:r>
      <w:r>
        <w:rPr>
          <w:rFonts w:ascii="Times New Roman" w:cs="Times New Roman" w:eastAsia="Times New Roman" w:hAnsi="Times New Roman"/>
          <w:sz w:val="18"/>
          <w:szCs w:val="18"/>
          <w:color w:val="auto"/>
        </w:rPr>
        <w:t>, a web-based interface that allows customers to give content scheduling access to local users via the web or mobile devices, while still maintaining centralized programming control;</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AdLogic</w:t>
      </w:r>
      <w:r>
        <w:rPr>
          <w:rFonts w:ascii="Times New Roman" w:cs="Times New Roman" w:eastAsia="Times New Roman" w:hAnsi="Times New Roman"/>
          <w:sz w:val="18"/>
          <w:szCs w:val="18"/>
          <w:color w:val="auto"/>
        </w:rPr>
        <w:t>, the Company’s ad management platform for digital signage networks, which presently delivers approximately 50 million ads daily;</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Clarity</w:t>
      </w:r>
      <w:r>
        <w:rPr>
          <w:rFonts w:ascii="Times New Roman" w:cs="Times New Roman" w:eastAsia="Times New Roman" w:hAnsi="Times New Roman"/>
          <w:sz w:val="18"/>
          <w:szCs w:val="18"/>
          <w:color w:val="auto"/>
        </w:rPr>
        <w:t>, the Company’s digital signage platform for menu board solutions, which has become a market leader for a range of restaurants, including QSRs and convenience store applications; and</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iShowroomProX</w:t>
      </w:r>
      <w:r>
        <w:rPr>
          <w:rFonts w:ascii="Times New Roman" w:cs="Times New Roman" w:eastAsia="Times New Roman" w:hAnsi="Times New Roman"/>
          <w:sz w:val="18"/>
          <w:szCs w:val="18"/>
          <w:color w:val="auto"/>
        </w:rPr>
        <w:t>, an omni-channel digital sales support platform targeted at original equipment manufacturers in the transportation sector, which integrates with dozens of key data services including dealer inventory at the VIN level.</w:t>
      </w:r>
    </w:p>
    <w:p>
      <w:pPr>
        <w:spacing w:after="0" w:line="15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digital out-of-home (DOOH) advertising on infrastructure it owns or operates at retail malls, shopping centers, office buildings, and other commercial properties.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hardware sales and support services revenues can fluctuate more significantly year over year based on new, large-scale network deployments, the Company is focusing on maintaining and increasing recurring SaaS revenue as digital signage adoption/utilization expands across the vertical markets we 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expenses are comprised of sales and marketing, and general and administrative expenses.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general and administrative expenses consist of corporate overhead, including administrative salaries, real property lease payments, salaries, and benefits for our corporate officers and other expenses such as legal and accounting fees.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 All dollar amounts reported in Results of Operations are in thousands, except per-share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tables presented below compare our results of operations from one period to another and present the results for each period and the change in those results from one period to another in both dollars and percentage change.</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Ended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4,557</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Services and other</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5,451</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6,614</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Hardware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Services and other</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3,856</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(6,206)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759.6%</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1,465</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1,144</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(4,775)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4,775</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other (income) expenses, net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(7,991)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3,467</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(11,458)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960" w:type="dxa"/>
            <w:vAlign w:val="bottom"/>
            <w:gridSpan w:val="2"/>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(7,461)</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(10,829)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increased by $6,614 or 68%, to $16,348 for the three months ended March 31, 2026 compared to the same period in 2025. Hardware revenues during the first quarter 2026 were $4,557, an increase of $1,163 as compared to the same period in 2025. Approximately sixty percent of the increase was due to the inclusion of CDM, while the remaining forty percent increase was driven by new customer deployments during the quarter. The number of new deployments was lower than expected due to adverse weather conditions that delayed planned installations in multiple regions. Services and other revenues were $11,791, an increase of $5,451 for the three months ended March 31, 2026, as compared to the same period in 2025, due to the acquisition of CDM. Managed services revenue, which includes the Company’s SaaS subscription services, were $5,106, an increase of $859, or 20%, as compared to the same period in 2025, largely driven by the inclusion of CDM in 2026, which represented approximately $2,118. Other services revenue also increased as a result of the acquisition of CDM, up $851 for the three months ended March 31, 2026 as compared to the same period in 2025.</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margin was 34% compared to 46% for the three months ended March 31, 2026 and 2025, respectively. Hardware gross margin decreased 18 points, due to an unusually higher mix of lower margin QSR deployments during the period and $486 in costs associated with transitioning away from an outsourced installer of a large CDM customer. Services and other gross margin decreased 11 points in the quarter compared to prior year driven by the expiration of certain customer contracts in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generally include the salaries, taxes, and benefits of our sales and marketing personnel, as well as trade show activities, travel, and other related sales and marketing expenses. Costs increased by $1,650, or 132% for the three months ended March 31, 2026 as compared to the same period in 2025, driven primarily by the inclusion of CDM which contributed $1,398 of expenses for the period.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$4,977 or 127%, for the three months ended March 31, 2026 as compared to the same period in 2025. The increase was primarily driven by the inclusion of CDM, which represented $3,778 of expense and additional accounting, compliance, legal and other one-time fees and severance costs in connection with the integration of CDM.</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increased by $1,144 or 356%, during the three months ended March 31, 2026 as compared to March 31, 2025 primarily as a result of the new Term Loan entered into during November 2025. See </w:t>
      </w:r>
      <w:r>
        <w:rPr>
          <w:rFonts w:ascii="Times New Roman" w:cs="Times New Roman" w:eastAsia="Times New Roman" w:hAnsi="Times New Roman"/>
          <w:sz w:val="18"/>
          <w:szCs w:val="18"/>
          <w:u w:val="single" w:color="auto"/>
          <w:color w:val="0000EE"/>
        </w:rPr>
        <w:t>Note 9, Debt</w:t>
      </w:r>
      <w:r>
        <w:rPr>
          <w:rFonts w:ascii="Times New Roman" w:cs="Times New Roman" w:eastAsia="Times New Roman" w:hAnsi="Times New Roman"/>
          <w:sz w:val="18"/>
          <w:szCs w:val="18"/>
          <w:color w:val="auto"/>
        </w:rPr>
        <w:t>, to the Condensed Consolidated Financial Statements for a discussion of the Company’s debt and related interest expense obligations.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$320 in other expenses for the three months ended March 31, 2026 as compared to $265 for the three months ended March 31, 2025. The increase is a result of legal costs with respect to patent infringement and the inclusion of CDM in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Summary Unaudited Quarterly Financial Information (Non-GAAP)</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non-GAAP financial measure is generally defined as one that purports to measure historical or future financial performance, financial position, or cash flows, but excludes or includes amounts that would not be so excluded or included in the most comparable U.S. generally accepted accounting principles ("GAAP") measure. Earnings before interest, taxes, depreciation, and amortization ("EBITDA") and adjusted EBITDA ("Adjusted EBITDA") are non-GAAP financial performance measures we believe offer a useful view of the overall operations of our business. These non-GAAP financial performance measures, which may not be comparable to, and may be defined differently than, similarly titled measures used or reported by other companies, should not be considered in isolation from or as a substitute for the related GAAP measures and should be read together with financial information presented on a GAAP basis.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EBITDA and Adjusted EBITDA are not measurements of financial performance under GAAP. We use non-GAAP financial performance measures to supplement our GAAP results in order to provide a more complete understanding of the factors and trends affecting our business. We believe these non-GAAP financial performance measures are helpful in identifying trends in our day-to-day performance because the items excluded have little or no significance on our day-to-day operations. These measures provide an assessment of core expenses and afford management the ability to make decisions which are expected to facilitate meeting current financial goals as well as achieve optimal financial performance. Our management believes that these non-GAAP financial measures provide additional information useful for investors, shareholders and other stakeholders of our Company in gauging our results of operations on an ongoing basis.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EBITDA and Adjusted EBITDA have limitations as analytical tools. They should not be viewed in isolation or as a substitute for net income (loss) or any other measure of performance derived in accordance with GAAP. EBITDA and Adjusted EBITDA exclude certain expenses that we believe may not be indicative of our business operating results. EBITDA should not be considered as an alternative to net (loss) income as an indicator of performance or as an alternative to cash flows from operating activities as an indicator of cash flows, in each case as determined in accordance with GAAP, or as a measure of liquidity. EBITDA does not take into account changes in certain assets and liabilities as well as interest and income taxes that can affect cash flows. In addition, Adjusted EBITDA excludes stock-based compensation, fair value adjustments and both cash and non-cash non-recurring gains and charges. We strongly urge you to review the following reconciliation of net (loss) income to EBITDA and Adjusted EBITDA, along with our condensed consolidated financial statements included elsewhere in this Quarterly Report on Form 10-Q. We also strongly urge you not to rely on any single financial performance measure to evaluate our business.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shows the reconciliation of the Company's net (loss) income to EBITDA and Adjusted 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Quarters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45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1,382</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1,441</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2,452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1,175</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3,187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4,975</w:t>
            </w:r>
          </w:p>
        </w:tc>
      </w:tr>
      <w:tr>
        <w:trPr>
          <w:trHeight w:val="196"/>
        </w:trPr>
        <w:tc>
          <w:tcPr>
            <w:tcW w:w="45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 &amp; transaction expenses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CDM related integration and transition costs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1,452</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impairment of software asset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Loss on modification of revolver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5,231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Note 1, </w:t>
      </w:r>
      <w:r>
        <w:rPr>
          <w:rFonts w:ascii="Times New Roman" w:cs="Times New Roman" w:eastAsia="Times New Roman" w:hAnsi="Times New Roman"/>
          <w:sz w:val="18"/>
          <w:szCs w:val="18"/>
          <w:i w:val="1"/>
          <w:iCs w:val="1"/>
          <w:color w:val="auto"/>
        </w:rPr>
        <w:t>Nature of Organization and Operations,</w:t>
      </w:r>
      <w:r>
        <w:rPr>
          <w:rFonts w:ascii="Times New Roman" w:cs="Times New Roman" w:eastAsia="Times New Roman" w:hAnsi="Times New Roman"/>
          <w:sz w:val="18"/>
          <w:szCs w:val="18"/>
          <w:color w:val="auto"/>
        </w:rPr>
        <w:t xml:space="preserve"> to the accompanying Condensed Consolidated Financial Statements for a detailed discussion of liquidity and financial resources.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$1,723 for the three months ended March 31, 2026 compared to net cash used in operating activities of $2,449 for the three months ended March 31, 2025. Cash used in 2026 was primarily attributable to a net loss of $7,461, adjusted for net non-cash charges of $3,882, partially offset by a $1,856 net source of cash from changes in operating assets and liabilities. Cash used in 2025 was primarily attributable to net income of $3,368 reduced by net non-cash charges of $(3,398) (including a $4,775 gain on settlement of contingent consideration) and a net use of cash from changes in operating assets and liabilities of $2,419.</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$552 for the three months ended March 31, 2026 compared to $621 for the three months ended March 31, 2025. Capitalization of internally developed software costs was $369 for the three months ended March 31, 2026 compared to $613 for the three months ended March 31, 2025. Purchases of property and equipment were $183 for the three months ended March 31, 2026 compared to $8 for the three months ended March 31, 2025. The Company did not have any material commitments for capital expenditures as of March 31, 2026.</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was $2,515 for the three months ended March 31, 2026 compared to $3,182 for the three months ended March 31, 2025. Cash provided in 2026 was primarily attributable to net borrowings of $4,565 under the New Revolving Credit Facility ($11,037 in proceeds and $6,472 in repayments), partially offset by $1,097 of scheduled principal payments comprised of $900 on the Term Loan and $197 on the Promissory Note, $753 in repayments of finance lease obligations (which increased relative to the prior-year period as a result of finance leases assumed in the CDM Acquisition), and $200 used to repurchase Common Stock warrants pursuant to the Warrant Repurchase Agreement entered into on February 16, 2026. Remaining available amounts under the New Revolving Credit Facility were $12,995 as of March 31, 2026. Cash provided in 2025 was primarily attributable to net borrowings of $6,194 under the Revolving Credit Facility under the Prior Credit Agreement ($12,111 in proceeds and $5,917 in repayments), partially offset by a $3,000 cash payment in connection with the partial settlement of the contingent consideration liability and $12 in repayments of finance lease obligations. See </w:t>
      </w:r>
      <w:r>
        <w:rPr>
          <w:rFonts w:ascii="Times New Roman" w:cs="Times New Roman" w:eastAsia="Times New Roman" w:hAnsi="Times New Roman"/>
          <w:sz w:val="18"/>
          <w:szCs w:val="18"/>
          <w:u w:val="single" w:color="auto"/>
          <w:color w:val="0000EE"/>
        </w:rPr>
        <w:t>Note 9,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Note 12, Warrants</w:t>
      </w:r>
      <w:r>
        <w:rPr>
          <w:rFonts w:ascii="Times New Roman" w:cs="Times New Roman" w:eastAsia="Times New Roman" w:hAnsi="Times New Roman"/>
          <w:sz w:val="18"/>
          <w:szCs w:val="18"/>
          <w:color w:val="auto"/>
        </w:rPr>
        <w:t>, to the condensed consolidated financial statements for further discussion.</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we had operating and finance lease obligations of approximately $22,658 payable over the next five years. These obligations relate primarily to corporate office space, warehousing and light-assembly facilities used to stage and deploy digital signage hardware, and leased equipment supporting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U.S. GAAP requires us to make estimates and judgments that affect the reported amounts of assets, liabilities, revenue and expense, and the related disclosures. We base our estimates on historical experience and on assumptions that we believe are reasonable under the circumstances; actual results may differ from these estimates.</w:t>
      </w:r>
    </w:p>
    <w:p>
      <w:pPr>
        <w:spacing w:after="0" w:line="176"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are described in Part II, Item 7, Critical Accounting Estimates in our Annual Report on Form 10-K for the year ended December 31, 2025, and our significant accounting policies are described in Note 2, Summary of Significant Accounting Policies, in our financial statements included elsewhere in this quarterly report. There have been no material changes to our critical accounting estimates or significant accounting policies since the filing of our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we did not engage in any off-balance sheet arrangements set forth in Item 303(a)(4) of Regulation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foreign currency risks related to our revenue and operating expenses denominated in currencies other than the U.S. dollar, primarily the Canadian dollar, causing both our revenue and our operating results to be impacted by fluctuations in the exchange rates. Gains or losses from the revaluation of certain cash balances, accounts receivable balances and intercompany balances that are denominated in these currencies impact our net loss. A hypothetical decrease in all foreign currencies against the U.S. dollar of 1% would not result in a material foreign currency loss on foreign-denominated balances, as of March 31, 2026. As our foreign operations expand, our results may be more materially impacted by fluctuations in the exchange rates of the currencies in which we do business. At this time, we do not enter into financial instruments to hedge our foreign currency exchange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of 1934, as amended (“Exchange Act”), as of the end of the period covered by this Report. Based on that evaluation, our management, including our Chief Executive Officer and Chief Financial Officer, concluded that our disclosure controls and procedures were effective as of March 31, 2026, and were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2026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 however, the discussion of our business and operations should be read together with the Risk Factors set forth in our Annual Report on Form 10-K filed with the SEC on April 15, 2026, and subsequent filings made with the SEC. Such risks and uncertainties have the potential to affect our business, financial condition, results of operations, cash flow, strategies or prospects in a material and adverse manner.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5920" w:type="dxa"/>
            <w:vAlign w:val="bottom"/>
            <w:tcBorders>
              <w:top w:val="single" w:sz="8" w:color="auto"/>
            </w:tcBorders>
            <w:gridSpan w:val="5"/>
          </w:tcPr>
          <w:p>
            <w:pPr>
              <w:ind w:left="2180"/>
              <w:spacing w:after="0" w:line="188" w:lineRule="exact"/>
              <w:rPr>
                <w:sz w:val="20"/>
                <w:szCs w:val="20"/>
                <w:color w:val="auto"/>
              </w:rPr>
            </w:pPr>
            <w:r>
              <w:rPr>
                <w:rFonts w:ascii="Times New Roman" w:cs="Times New Roman" w:eastAsia="Times New Roman" w:hAnsi="Times New Roman"/>
                <w:sz w:val="18"/>
                <w:szCs w:val="18"/>
                <w:b w:val="1"/>
                <w:bCs w:val="1"/>
                <w:color w:val="auto"/>
              </w:rPr>
              <w:t>Exhibit Description</w:t>
            </w:r>
          </w:p>
        </w:tc>
        <w:tc>
          <w:tcPr>
            <w:tcW w:w="800" w:type="dxa"/>
            <w:vAlign w:val="bottom"/>
            <w:tcBorders>
              <w:top w:val="single" w:sz="8" w:color="auto"/>
            </w:tcBorders>
            <w:gridSpan w:val="3"/>
          </w:tcPr>
          <w:p>
            <w:pPr>
              <w:jc w:val="center"/>
              <w:ind w:right="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Form</w:t>
            </w:r>
          </w:p>
        </w:tc>
        <w:tc>
          <w:tcPr>
            <w:tcW w:w="920" w:type="dxa"/>
            <w:vAlign w:val="bottom"/>
            <w:tcBorders>
              <w:top w:val="single" w:sz="8" w:color="auto"/>
            </w:tcBorders>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1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Filing Date</w:t>
            </w:r>
          </w:p>
        </w:tc>
        <w:tc>
          <w:tcPr>
            <w:tcW w:w="7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69"/>
        </w:trPr>
        <w:tc>
          <w:tcPr>
            <w:tcW w:w="12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592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color w:val="auto"/>
              </w:rPr>
              <w:t>Warrant Repurchase Agreement dated as of February 16, 2026 by and between</w:t>
            </w:r>
          </w:p>
        </w:tc>
        <w:tc>
          <w:tcPr>
            <w:tcW w:w="240" w:type="dxa"/>
            <w:vAlign w:val="bottom"/>
          </w:tcPr>
          <w:p>
            <w:pPr>
              <w:spacing w:after="0"/>
              <w:rPr>
                <w:sz w:val="14"/>
                <w:szCs w:val="14"/>
                <w:color w:val="auto"/>
              </w:rPr>
            </w:pPr>
          </w:p>
        </w:tc>
        <w:tc>
          <w:tcPr>
            <w:tcW w:w="560" w:type="dxa"/>
            <w:vAlign w:val="bottom"/>
            <w:gridSpan w:val="2"/>
          </w:tcPr>
          <w:p>
            <w:pPr>
              <w:jc w:val="center"/>
              <w:ind w:right="280"/>
              <w:spacing w:after="0" w:line="169"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8-K</w:t>
              </w:r>
            </w:hyperlink>
          </w:p>
        </w:tc>
        <w:tc>
          <w:tcPr>
            <w:tcW w:w="920" w:type="dxa"/>
            <w:vAlign w:val="bottom"/>
            <w:gridSpan w:val="3"/>
          </w:tcPr>
          <w:p>
            <w:pPr>
              <w:jc w:val="center"/>
              <w:spacing w:after="0" w:line="169"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February 18, 2026</w:t>
            </w:r>
          </w:p>
        </w:tc>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r>
      <w:tr>
        <w:trPr>
          <w:trHeight w:val="218"/>
        </w:trPr>
        <w:tc>
          <w:tcPr>
            <w:tcW w:w="1280" w:type="dxa"/>
            <w:vAlign w:val="bottom"/>
          </w:tcPr>
          <w:p>
            <w:pPr>
              <w:spacing w:after="0"/>
              <w:rPr>
                <w:sz w:val="18"/>
                <w:szCs w:val="18"/>
                <w:color w:val="auto"/>
              </w:rPr>
            </w:pPr>
          </w:p>
        </w:tc>
        <w:tc>
          <w:tcPr>
            <w:tcW w:w="5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registrant and Slipstream Communications, LLC.</w:t>
            </w:r>
          </w:p>
        </w:tc>
        <w:tc>
          <w:tcPr>
            <w:tcW w:w="24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4"/>
        </w:trPr>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592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First Amendment to Amended and Restated Credit Agreement dated as of</w:t>
            </w:r>
          </w:p>
        </w:tc>
        <w:tc>
          <w:tcPr>
            <w:tcW w:w="240" w:type="dxa"/>
            <w:vAlign w:val="bottom"/>
          </w:tcPr>
          <w:p>
            <w:pPr>
              <w:spacing w:after="0"/>
              <w:rPr>
                <w:sz w:val="16"/>
                <w:szCs w:val="16"/>
                <w:color w:val="auto"/>
              </w:rPr>
            </w:pPr>
          </w:p>
        </w:tc>
        <w:tc>
          <w:tcPr>
            <w:tcW w:w="560" w:type="dxa"/>
            <w:vAlign w:val="bottom"/>
            <w:gridSpan w:val="2"/>
          </w:tcPr>
          <w:p>
            <w:pPr>
              <w:jc w:val="center"/>
              <w:ind w:right="280"/>
              <w:spacing w:after="0" w:line="194"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8-K</w:t>
              </w:r>
            </w:hyperlink>
          </w:p>
        </w:tc>
        <w:tc>
          <w:tcPr>
            <w:tcW w:w="920" w:type="dxa"/>
            <w:vAlign w:val="bottom"/>
            <w:gridSpan w:val="3"/>
          </w:tcPr>
          <w:p>
            <w:pPr>
              <w:jc w:val="center"/>
              <w:spacing w:after="0" w:line="194"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15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February 18, 2026</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w:t>
            </w:r>
          </w:p>
        </w:tc>
      </w:tr>
      <w:tr>
        <w:trPr>
          <w:trHeight w:val="218"/>
        </w:trPr>
        <w:tc>
          <w:tcPr>
            <w:tcW w:w="1280" w:type="dxa"/>
            <w:vAlign w:val="bottom"/>
          </w:tcPr>
          <w:p>
            <w:pPr>
              <w:spacing w:after="0"/>
              <w:rPr>
                <w:sz w:val="18"/>
                <w:szCs w:val="18"/>
                <w:color w:val="auto"/>
              </w:rPr>
            </w:pPr>
          </w:p>
        </w:tc>
        <w:tc>
          <w:tcPr>
            <w:tcW w:w="5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February 16, 2026 by and among the registrant, the other Loan Parties signatory</w:t>
            </w:r>
          </w:p>
        </w:tc>
        <w:tc>
          <w:tcPr>
            <w:tcW w:w="24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5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thereto, the financial institutions or other entities from time to time parties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5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thereto, each as a Lender, and First Merchants Bank, as Agent for the Lenders.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4"/>
        </w:trPr>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576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9"/>
              </w:rPr>
              <w:t>Chief Executive Officer Certification pursuant to Exchange Act Rule 13a-14(a).</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59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Chief Financial Officer Certification pursuant to Exchange Act Rule 13a-14(a).</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53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Chief Executive Officer Certification pursuant to 18 U.S.C. Section 1350.</w:t>
            </w:r>
          </w:p>
        </w:tc>
        <w:tc>
          <w:tcPr>
            <w:tcW w:w="380" w:type="dxa"/>
            <w:vAlign w:val="bottom"/>
            <w:tcBorders>
              <w:top w:val="single" w:sz="8" w:color="0000EE"/>
            </w:tcBorders>
          </w:tcPr>
          <w:p>
            <w:pPr>
              <w:spacing w:after="0"/>
              <w:rPr>
                <w:sz w:val="17"/>
                <w:szCs w:val="17"/>
                <w:color w:val="auto"/>
              </w:rPr>
            </w:pPr>
          </w:p>
        </w:tc>
        <w:tc>
          <w:tcPr>
            <w:tcW w:w="2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59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Chief Financial Officer Certification pursuant to 18 U.S.C. Section 1350.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1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52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60" w:type="dxa"/>
            <w:vAlign w:val="bottom"/>
            <w:gridSpan w:val="4"/>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5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5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5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5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5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5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80" w:type="dxa"/>
            <w:vAlign w:val="bottom"/>
            <w:tcBorders>
              <w:bottom w:val="single" w:sz="8" w:color="auto"/>
            </w:tcBorders>
          </w:tcPr>
          <w:p>
            <w:pPr>
              <w:spacing w:after="0"/>
              <w:rPr>
                <w:sz w:val="20"/>
                <w:szCs w:val="20"/>
                <w:color w:val="auto"/>
              </w:rPr>
            </w:pPr>
          </w:p>
        </w:tc>
        <w:tc>
          <w:tcPr>
            <w:tcW w:w="59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Exhibit 101).</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426"/>
        </w:trPr>
        <w:tc>
          <w:tcPr>
            <w:tcW w:w="1280" w:type="dxa"/>
            <w:vAlign w:val="bottom"/>
          </w:tcPr>
          <w:p>
            <w:pPr>
              <w:spacing w:after="0"/>
              <w:rPr>
                <w:sz w:val="24"/>
                <w:szCs w:val="24"/>
                <w:color w:val="auto"/>
              </w:rPr>
            </w:pPr>
          </w:p>
        </w:tc>
        <w:tc>
          <w:tcPr>
            <w:tcW w:w="5260" w:type="dxa"/>
            <w:vAlign w:val="bottom"/>
          </w:tcPr>
          <w:p>
            <w:pPr>
              <w:ind w:left="426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5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33" w:name="page34"/>
    <w:bookmarkEnd w:id="3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4600" w:type="dxa"/>
            <w:vAlign w:val="bottom"/>
            <w:gridSpan w:val="4"/>
          </w:tcPr>
          <w:p>
            <w:pPr>
              <w:ind w:left="2180"/>
              <w:spacing w:after="0"/>
              <w:rPr>
                <w:sz w:val="20"/>
                <w:szCs w:val="20"/>
                <w:color w:val="auto"/>
              </w:rPr>
            </w:pPr>
            <w:r>
              <w:rPr>
                <w:rFonts w:ascii="Times New Roman" w:cs="Times New Roman" w:eastAsia="Times New Roman" w:hAnsi="Times New Roman"/>
                <w:sz w:val="18"/>
                <w:szCs w:val="18"/>
                <w:b w:val="1"/>
                <w:bCs w:val="1"/>
                <w:color w:val="auto"/>
                <w:w w:val="98"/>
              </w:rPr>
              <w:t>CREATIVE REALITIES, INC.</w:t>
            </w:r>
          </w:p>
        </w:tc>
      </w:tr>
      <w:tr>
        <w:trPr>
          <w:trHeight w:val="39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4600" w:type="dxa"/>
            <w:vAlign w:val="bottom"/>
            <w:gridSpan w:val="4"/>
          </w:tcPr>
          <w:p>
            <w:pPr>
              <w:ind w:left="2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Richard Mills</w:t>
            </w:r>
          </w:p>
        </w:tc>
      </w:tr>
      <w:tr>
        <w:trPr>
          <w:trHeight w:val="20"/>
        </w:trPr>
        <w:tc>
          <w:tcPr>
            <w:tcW w:w="3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8"/>
        </w:trPr>
        <w:tc>
          <w:tcPr>
            <w:tcW w:w="3500" w:type="dxa"/>
            <w:vAlign w:val="bottom"/>
          </w:tcPr>
          <w:p>
            <w:pPr>
              <w:spacing w:after="0"/>
              <w:rPr>
                <w:sz w:val="18"/>
                <w:szCs w:val="18"/>
                <w:color w:val="auto"/>
              </w:rPr>
            </w:pPr>
          </w:p>
        </w:tc>
        <w:tc>
          <w:tcPr>
            <w:tcW w:w="4600" w:type="dxa"/>
            <w:vAlign w:val="bottom"/>
            <w:gridSpan w:val="4"/>
          </w:tcPr>
          <w:p>
            <w:pPr>
              <w:ind w:left="2180"/>
              <w:spacing w:after="0"/>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3500" w:type="dxa"/>
            <w:vAlign w:val="bottom"/>
          </w:tcPr>
          <w:p>
            <w:pPr>
              <w:spacing w:after="0"/>
              <w:rPr>
                <w:sz w:val="20"/>
                <w:szCs w:val="20"/>
                <w:color w:val="auto"/>
              </w:rPr>
            </w:pPr>
          </w:p>
        </w:tc>
        <w:tc>
          <w:tcPr>
            <w:tcW w:w="4600" w:type="dxa"/>
            <w:vAlign w:val="bottom"/>
            <w:gridSpan w:val="4"/>
          </w:tcPr>
          <w:p>
            <w:pPr>
              <w:ind w:left="21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0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4600" w:type="dxa"/>
            <w:vAlign w:val="bottom"/>
            <w:gridSpan w:val="4"/>
          </w:tcPr>
          <w:p>
            <w:pPr>
              <w:ind w:left="2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Tamra Koshewa</w:t>
            </w:r>
          </w:p>
        </w:tc>
      </w:tr>
      <w:tr>
        <w:trPr>
          <w:trHeight w:val="20"/>
        </w:trPr>
        <w:tc>
          <w:tcPr>
            <w:tcW w:w="3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8"/>
        </w:trPr>
        <w:tc>
          <w:tcPr>
            <w:tcW w:w="3500" w:type="dxa"/>
            <w:vAlign w:val="bottom"/>
          </w:tcPr>
          <w:p>
            <w:pPr>
              <w:spacing w:after="0"/>
              <w:rPr>
                <w:sz w:val="18"/>
                <w:szCs w:val="18"/>
                <w:color w:val="auto"/>
              </w:rPr>
            </w:pPr>
          </w:p>
        </w:tc>
        <w:tc>
          <w:tcPr>
            <w:tcW w:w="4600" w:type="dxa"/>
            <w:vAlign w:val="bottom"/>
            <w:gridSpan w:val="4"/>
          </w:tcPr>
          <w:p>
            <w:pPr>
              <w:ind w:left="2180"/>
              <w:spacing w:after="0"/>
              <w:rPr>
                <w:sz w:val="20"/>
                <w:szCs w:val="20"/>
                <w:color w:val="auto"/>
              </w:rPr>
            </w:pPr>
            <w:r>
              <w:rPr>
                <w:rFonts w:ascii="Times New Roman" w:cs="Times New Roman" w:eastAsia="Times New Roman" w:hAnsi="Times New Roman"/>
                <w:sz w:val="18"/>
                <w:szCs w:val="18"/>
                <w:color w:val="auto"/>
              </w:rPr>
              <w:t>Tamra Koshewa</w:t>
            </w:r>
          </w:p>
        </w:tc>
      </w:tr>
      <w:tr>
        <w:trPr>
          <w:trHeight w:val="234"/>
        </w:trPr>
        <w:tc>
          <w:tcPr>
            <w:tcW w:w="3500" w:type="dxa"/>
            <w:vAlign w:val="bottom"/>
          </w:tcPr>
          <w:p>
            <w:pPr>
              <w:spacing w:after="0"/>
              <w:rPr>
                <w:sz w:val="20"/>
                <w:szCs w:val="20"/>
                <w:color w:val="auto"/>
              </w:rPr>
            </w:pPr>
          </w:p>
        </w:tc>
        <w:tc>
          <w:tcPr>
            <w:tcW w:w="4600" w:type="dxa"/>
            <w:vAlign w:val="bottom"/>
            <w:gridSpan w:val="4"/>
          </w:tcPr>
          <w:p>
            <w:pPr>
              <w:ind w:left="2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00" w:type="dxa"/>
            <w:vAlign w:val="bottom"/>
          </w:tcPr>
          <w:p>
            <w:pPr>
              <w:spacing w:after="0"/>
              <w:rPr>
                <w:sz w:val="24"/>
                <w:szCs w:val="24"/>
                <w:color w:val="auto"/>
              </w:rPr>
            </w:pPr>
          </w:p>
        </w:tc>
        <w:tc>
          <w:tcPr>
            <w:tcW w:w="24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140"/>
          </w:cols>
          <w:pgMar w:left="320" w:top="576" w:right="4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Mills,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2026, of Creative Realities,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8"/>
        <w:spacing w:after="0" w:line="266" w:lineRule="auto"/>
        <w:tabs>
          <w:tab w:leader="none" w:pos="1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100" w:firstLine="8"/>
        <w:spacing w:after="0" w:line="266" w:lineRule="auto"/>
        <w:tabs>
          <w:tab w:leader="none" w:pos="1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8"/>
        <w:spacing w:after="0" w:line="282" w:lineRule="auto"/>
        <w:tabs>
          <w:tab w:leader="none" w:pos="1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380" w:firstLine="8"/>
        <w:spacing w:after="0" w:line="282" w:lineRule="auto"/>
        <w:tabs>
          <w:tab w:leader="none" w:pos="1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right="28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100" w:firstLine="8"/>
        <w:spacing w:after="0" w:line="282" w:lineRule="auto"/>
        <w:tabs>
          <w:tab w:leader="none" w:pos="1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20" w:firstLine="8"/>
        <w:spacing w:after="0" w:line="282" w:lineRule="auto"/>
        <w:tabs>
          <w:tab w:leader="none" w:pos="1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 Richard Mills</w: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Richard Mills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Tamra Koshewa, certify that:</w:t>
      </w:r>
    </w:p>
    <w:p>
      <w:pPr>
        <w:spacing w:after="0" w:line="225" w:lineRule="exact"/>
        <w:rPr>
          <w:sz w:val="20"/>
          <w:szCs w:val="20"/>
          <w:color w:val="auto"/>
        </w:rPr>
      </w:pPr>
    </w:p>
    <w:p>
      <w:pPr>
        <w:ind w:left="520" w:hanging="188"/>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2026, of Creative Realities, Inc.;</w:t>
      </w:r>
    </w:p>
    <w:p>
      <w:pPr>
        <w:spacing w:after="0" w:line="225"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332"/>
        <w:spacing w:after="0" w:line="266" w:lineRule="auto"/>
        <w:tabs>
          <w:tab w:leader="none" w:pos="5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332"/>
        <w:spacing w:after="0" w:line="266" w:lineRule="auto"/>
        <w:tabs>
          <w:tab w:leader="none" w:pos="5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5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40" w:firstLine="332"/>
        <w:spacing w:after="0" w:line="282" w:lineRule="auto"/>
        <w:tabs>
          <w:tab w:leader="none" w:pos="5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60" w:firstLine="332"/>
        <w:spacing w:after="0" w:line="282" w:lineRule="auto"/>
        <w:tabs>
          <w:tab w:leader="none" w:pos="5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right="220" w:firstLine="332"/>
        <w:spacing w:after="0" w:line="282" w:lineRule="auto"/>
        <w:tabs>
          <w:tab w:leader="none" w:pos="5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20" w:firstLine="332"/>
        <w:spacing w:after="0" w:line="282" w:lineRule="auto"/>
        <w:tabs>
          <w:tab w:leader="none" w:pos="5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Tamra Koshewa</w: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Tamra Koshewa</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Creative Realities, Inc. (the “Company”) on Form 10-Q for the quarterly period ended March 31, 2026, as filed with the Securities and Exchange Commission on the date hereof (the “Report”), I, Richard Mills, certify, pursuant to 18 U.S.C. Section 1350, as adopted pursuant to Section 906 of the Sarbanes-Oxley Act of 2002, that:</w:t>
      </w:r>
    </w:p>
    <w:p>
      <w:pPr>
        <w:spacing w:after="0" w:line="176" w:lineRule="exact"/>
        <w:rPr>
          <w:sz w:val="20"/>
          <w:szCs w:val="20"/>
          <w:color w:val="auto"/>
        </w:rPr>
      </w:pPr>
    </w:p>
    <w:p>
      <w:pPr>
        <w:ind w:left="520" w:hanging="188"/>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 Richard Mills</w: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Richard Mills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 PURSUANT TO</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Creative Realities, Inc. (the “Company”) on Form 10-Q for the quarterly period ended March 31, 2026, as filed with the Securities and Exchange Commission on the date hereof (the “Report”), I, Tamra Koshewa, certify, pursuant to 18 U.S.C. Section 1350, as adopted pursuant to Section 906 of the Sarbanes-Oxley Act of 2002, that:</w:t>
      </w:r>
    </w:p>
    <w:p>
      <w:pPr>
        <w:spacing w:after="0" w:line="176" w:lineRule="exact"/>
        <w:rPr>
          <w:sz w:val="20"/>
          <w:szCs w:val="20"/>
          <w:color w:val="auto"/>
        </w:rPr>
      </w:pPr>
    </w:p>
    <w:p>
      <w:pPr>
        <w:ind w:left="520" w:hanging="188"/>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Tamra Koshewa</w: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Tamra Koshewa</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hyperlink" Target="http://www.sec.gov/Archives/edgar/data/1356093/000143774926004453/crex20260218_8k.htm" TargetMode="External"/><Relationship Id="rId44" Type="http://schemas.openxmlformats.org/officeDocument/2006/relationships/hyperlink" Target="http://www.sec.gov/Archives/edgar/data/1356093/000143774926004453/ex_922020.htm" TargetMode="External"/><Relationship Id="rId45" Type="http://schemas.openxmlformats.org/officeDocument/2006/relationships/hyperlink" Target="http://www.sec.gov/Archives/edgar/data/1356093/000143774926004453/ex_922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2026-05-15T07:07:54Z</dcterms:created>
  <dcterms:modified xsi:type="dcterms:W3CDTF">2026-05-15T07:07:54Z</dcterms:modified>
</cp:coreProperties>
</file>